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0006A3">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220"/>
        <w:jc w:val="center"/>
        <w:textAlignment w:val="auto"/>
        <w:rPr>
          <w:rFonts w:hint="eastAsia" w:ascii="华文中宋" w:hAnsi="华文中宋" w:eastAsia="华文中宋" w:cs="华文中宋"/>
          <w:color w:val="000000"/>
          <w:sz w:val="44"/>
          <w:szCs w:val="44"/>
        </w:rPr>
      </w:pPr>
      <w:r>
        <w:rPr>
          <w:rFonts w:hint="eastAsia" w:ascii="华文中宋" w:hAnsi="华文中宋" w:eastAsia="华文中宋" w:cs="华文中宋"/>
          <w:color w:val="000000"/>
          <w:sz w:val="44"/>
          <w:szCs w:val="44"/>
        </w:rPr>
        <w:t>中国进出口银行</w:t>
      </w:r>
      <w:r>
        <w:rPr>
          <w:rFonts w:hint="eastAsia" w:ascii="华文中宋" w:hAnsi="华文中宋" w:eastAsia="华文中宋" w:cs="华文中宋"/>
          <w:color w:val="000000"/>
          <w:sz w:val="44"/>
          <w:szCs w:val="44"/>
          <w:lang w:eastAsia="zh-CN"/>
        </w:rPr>
        <w:t>新疆维吾尔自治区</w:t>
      </w:r>
      <w:r>
        <w:rPr>
          <w:rFonts w:hint="eastAsia" w:ascii="华文中宋" w:hAnsi="华文中宋" w:eastAsia="华文中宋" w:cs="华文中宋"/>
          <w:color w:val="000000"/>
          <w:sz w:val="44"/>
          <w:szCs w:val="44"/>
        </w:rPr>
        <w:t>分行</w:t>
      </w:r>
    </w:p>
    <w:p w14:paraId="324D4EA0">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220"/>
        <w:jc w:val="center"/>
        <w:textAlignment w:val="auto"/>
        <w:rPr>
          <w:rFonts w:hint="eastAsia" w:ascii="华文中宋" w:hAnsi="华文中宋" w:eastAsia="华文中宋" w:cs="华文中宋"/>
          <w:color w:val="000000"/>
          <w:sz w:val="44"/>
          <w:szCs w:val="44"/>
        </w:rPr>
      </w:pPr>
      <w:r>
        <w:rPr>
          <w:rFonts w:hint="eastAsia" w:ascii="华文中宋" w:hAnsi="华文中宋" w:eastAsia="华文中宋" w:cs="华文中宋"/>
          <w:color w:val="000000"/>
          <w:sz w:val="44"/>
          <w:szCs w:val="44"/>
        </w:rPr>
        <w:t>2025年度</w:t>
      </w:r>
      <w:r>
        <w:rPr>
          <w:rFonts w:hint="eastAsia" w:ascii="华文中宋" w:hAnsi="华文中宋" w:eastAsia="华文中宋" w:cs="华文中宋"/>
          <w:color w:val="000000"/>
          <w:sz w:val="44"/>
          <w:szCs w:val="44"/>
          <w:lang w:val="en-US" w:eastAsia="zh-CN"/>
        </w:rPr>
        <w:t>机房专用设备</w:t>
      </w:r>
      <w:r>
        <w:rPr>
          <w:rFonts w:hint="eastAsia" w:ascii="华文中宋" w:hAnsi="华文中宋" w:eastAsia="华文中宋" w:cs="华文中宋"/>
          <w:color w:val="000000"/>
          <w:sz w:val="44"/>
          <w:szCs w:val="44"/>
        </w:rPr>
        <w:t>报废处置项目</w:t>
      </w:r>
    </w:p>
    <w:p w14:paraId="570298A4">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220"/>
        <w:jc w:val="center"/>
        <w:textAlignment w:val="auto"/>
        <w:rPr>
          <w:rFonts w:hint="default" w:ascii="华文中宋" w:hAnsi="华文中宋" w:eastAsia="华文中宋" w:cs="华文中宋"/>
          <w:sz w:val="44"/>
          <w:szCs w:val="44"/>
          <w:lang w:val="en-US" w:eastAsia="zh-CN"/>
        </w:rPr>
      </w:pPr>
      <w:r>
        <w:rPr>
          <w:rFonts w:hint="eastAsia" w:ascii="华文中宋" w:hAnsi="华文中宋" w:eastAsia="华文中宋" w:cs="华文中宋"/>
          <w:color w:val="000000"/>
          <w:sz w:val="44"/>
          <w:szCs w:val="44"/>
          <w:lang w:val="en-US" w:eastAsia="zh-CN"/>
        </w:rPr>
        <w:t>更正公告</w:t>
      </w:r>
    </w:p>
    <w:p w14:paraId="45B3917D">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0"/>
        <w:jc w:val="both"/>
        <w:textAlignment w:val="auto"/>
        <w:rPr>
          <w:rFonts w:hint="eastAsia" w:ascii="方正仿宋_GB2312" w:hAnsi="方正仿宋_GB2312" w:eastAsia="方正仿宋_GB2312" w:cs="方正仿宋_GB2312"/>
          <w:color w:val="000000"/>
          <w:sz w:val="32"/>
          <w:szCs w:val="32"/>
        </w:rPr>
      </w:pPr>
    </w:p>
    <w:p w14:paraId="506CE1E3">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780"/>
        <w:jc w:val="both"/>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中国进出口银行</w:t>
      </w:r>
      <w:r>
        <w:rPr>
          <w:rFonts w:hint="eastAsia" w:ascii="方正仿宋_GB2312" w:hAnsi="方正仿宋_GB2312" w:eastAsia="方正仿宋_GB2312" w:cs="方正仿宋_GB2312"/>
          <w:color w:val="000000"/>
          <w:sz w:val="32"/>
          <w:szCs w:val="32"/>
          <w:lang w:eastAsia="zh-CN"/>
        </w:rPr>
        <w:t>新疆维吾尔自治区</w:t>
      </w:r>
      <w:r>
        <w:rPr>
          <w:rFonts w:hint="eastAsia" w:ascii="方正仿宋_GB2312" w:hAnsi="方正仿宋_GB2312" w:eastAsia="方正仿宋_GB2312" w:cs="方正仿宋_GB2312"/>
          <w:color w:val="000000"/>
          <w:sz w:val="32"/>
          <w:szCs w:val="32"/>
        </w:rPr>
        <w:t>分行（以下简称“我行”）现对2025年度机房专用设备报废处置，欢迎具备服务能力的响应方前来报名。</w:t>
      </w:r>
    </w:p>
    <w:p w14:paraId="2663B98F">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780"/>
        <w:jc w:val="both"/>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一、项目名称</w:t>
      </w:r>
    </w:p>
    <w:p w14:paraId="0B144C87">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780"/>
        <w:jc w:val="both"/>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中国进出口银行</w:t>
      </w:r>
      <w:r>
        <w:rPr>
          <w:rFonts w:hint="eastAsia" w:ascii="方正仿宋_GB2312" w:hAnsi="方正仿宋_GB2312" w:eastAsia="方正仿宋_GB2312" w:cs="方正仿宋_GB2312"/>
          <w:color w:val="000000"/>
          <w:sz w:val="32"/>
          <w:szCs w:val="32"/>
          <w:lang w:eastAsia="zh-CN"/>
        </w:rPr>
        <w:t>新疆维吾尔自治区</w:t>
      </w:r>
      <w:r>
        <w:rPr>
          <w:rFonts w:hint="eastAsia" w:ascii="方正仿宋_GB2312" w:hAnsi="方正仿宋_GB2312" w:eastAsia="方正仿宋_GB2312" w:cs="方正仿宋_GB2312"/>
          <w:color w:val="000000"/>
          <w:sz w:val="32"/>
          <w:szCs w:val="32"/>
        </w:rPr>
        <w:t>分行2025年度机房专用设备报废处置项目</w:t>
      </w:r>
    </w:p>
    <w:p w14:paraId="456425A8">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780"/>
        <w:jc w:val="both"/>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二、项目简介</w:t>
      </w:r>
    </w:p>
    <w:p w14:paraId="44421EFF">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780"/>
        <w:jc w:val="both"/>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我行以公开的方式对2025年度机房专用设备报废处置合作方进行选择。本项目总体流程为：响应方（可事先现场勘验、电话咨询报废科技设备情况）估算价值、提交正式报价文件、出让方选择最终成交单位并履行后续流程。</w:t>
      </w:r>
    </w:p>
    <w:p w14:paraId="37488E0C">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780"/>
        <w:jc w:val="both"/>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三、响应方的基本资质要求</w:t>
      </w:r>
    </w:p>
    <w:p w14:paraId="534FDE63">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780"/>
        <w:jc w:val="both"/>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满足以下条件：</w:t>
      </w:r>
    </w:p>
    <w:p w14:paraId="17494460">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780"/>
        <w:jc w:val="both"/>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具有健全内部管理控制机制且在中华人民共和国境内合法注册的独立法人或其他合法组织。</w:t>
      </w:r>
    </w:p>
    <w:p w14:paraId="21F71EEC">
      <w:pPr>
        <w:keepNext w:val="0"/>
        <w:keepLines w:val="0"/>
        <w:pageBreakBefore w:val="0"/>
        <w:widowControl w:val="0"/>
        <w:numPr>
          <w:ilvl w:val="0"/>
          <w:numId w:val="1"/>
        </w:numPr>
        <w:kinsoku/>
        <w:overflowPunct/>
        <w:topLinePunct w:val="0"/>
        <w:bidi w:val="0"/>
        <w:adjustRightInd/>
        <w:spacing w:line="560" w:lineRule="exact"/>
        <w:ind w:firstLine="640" w:firstLineChars="200"/>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参与须知</w:t>
      </w:r>
    </w:p>
    <w:p w14:paraId="033EC0B6">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780"/>
        <w:jc w:val="both"/>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响应方需在2025年1</w:t>
      </w:r>
      <w:r>
        <w:rPr>
          <w:rFonts w:hint="eastAsia" w:ascii="方正仿宋_GB2312" w:hAnsi="方正仿宋_GB2312" w:eastAsia="方正仿宋_GB2312" w:cs="方正仿宋_GB2312"/>
          <w:color w:val="000000"/>
          <w:sz w:val="32"/>
          <w:szCs w:val="32"/>
          <w:lang w:val="en-US" w:eastAsia="zh-CN"/>
        </w:rPr>
        <w:t>2</w:t>
      </w:r>
      <w:r>
        <w:rPr>
          <w:rFonts w:hint="eastAsia" w:ascii="方正仿宋_GB2312" w:hAnsi="方正仿宋_GB2312" w:eastAsia="方正仿宋_GB2312" w:cs="方正仿宋_GB2312"/>
          <w:color w:val="000000"/>
          <w:sz w:val="32"/>
          <w:szCs w:val="32"/>
        </w:rPr>
        <w:t>月</w:t>
      </w:r>
      <w:r>
        <w:rPr>
          <w:rFonts w:hint="eastAsia" w:ascii="方正仿宋_GB2312" w:hAnsi="方正仿宋_GB2312" w:eastAsia="方正仿宋_GB2312" w:cs="方正仿宋_GB2312"/>
          <w:color w:val="000000"/>
          <w:sz w:val="32"/>
          <w:szCs w:val="32"/>
          <w:lang w:val="en-US" w:eastAsia="zh-CN"/>
        </w:rPr>
        <w:t>4</w:t>
      </w:r>
      <w:r>
        <w:rPr>
          <w:rFonts w:hint="eastAsia" w:ascii="方正仿宋_GB2312" w:hAnsi="方正仿宋_GB2312" w:eastAsia="方正仿宋_GB2312" w:cs="方正仿宋_GB2312"/>
          <w:color w:val="000000"/>
          <w:sz w:val="32"/>
          <w:szCs w:val="32"/>
        </w:rPr>
        <w:t>日下午17:00前递交报价文件，所需文件如下：</w:t>
      </w:r>
    </w:p>
    <w:p w14:paraId="2BAD6396">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780"/>
        <w:jc w:val="both"/>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1．企业营业执照副本复印件并加盖公章；</w:t>
      </w:r>
    </w:p>
    <w:p w14:paraId="63BD3899">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780"/>
        <w:jc w:val="both"/>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2．中国执行信息公开网查询结果记录并加盖公章；</w:t>
      </w:r>
    </w:p>
    <w:p w14:paraId="1BC0996A">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780"/>
        <w:jc w:val="both"/>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3．授权代表身份证复印件并加盖公章（需注明联系方式，原件备查）；</w:t>
      </w:r>
    </w:p>
    <w:p w14:paraId="33825B3E">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780"/>
        <w:jc w:val="both"/>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4．报价文件。</w:t>
      </w:r>
    </w:p>
    <w:p w14:paraId="00C83001">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780"/>
        <w:jc w:val="both"/>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五、拟处置的设备概况</w:t>
      </w:r>
    </w:p>
    <w:tbl>
      <w:tblPr>
        <w:tblStyle w:val="2"/>
        <w:tblW w:w="8522" w:type="dxa"/>
        <w:jc w:val="cente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Layout w:type="autofit"/>
        <w:tblCellMar>
          <w:top w:w="0" w:type="dxa"/>
          <w:left w:w="0" w:type="dxa"/>
          <w:bottom w:w="0" w:type="dxa"/>
          <w:right w:w="0" w:type="dxa"/>
        </w:tblCellMar>
      </w:tblPr>
      <w:tblGrid>
        <w:gridCol w:w="668"/>
        <w:gridCol w:w="1427"/>
        <w:gridCol w:w="945"/>
        <w:gridCol w:w="5482"/>
      </w:tblGrid>
      <w:tr w14:paraId="7C1E9115">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0" w:hRule="atLeast"/>
          <w:tblHeader/>
          <w:jc w:val="center"/>
        </w:trPr>
        <w:tc>
          <w:tcPr>
            <w:tcW w:w="668" w:type="dxa"/>
            <w:tcBorders>
              <w:top w:val="single" w:color="000000" w:sz="4" w:space="0"/>
              <w:left w:val="single" w:color="000000" w:sz="4" w:space="0"/>
              <w:bottom w:val="single" w:color="000000" w:sz="4" w:space="0"/>
              <w:right w:val="single" w:color="000000" w:sz="4" w:space="0"/>
            </w:tcBorders>
            <w:vAlign w:val="center"/>
          </w:tcPr>
          <w:p w14:paraId="5D7E1503">
            <w:pPr>
              <w:keepNext w:val="0"/>
              <w:keepLines w:val="0"/>
              <w:pageBreakBefore w:val="0"/>
              <w:widowControl w:val="0"/>
              <w:kinsoku/>
              <w:wordWrap w:val="0"/>
              <w:overflowPunct/>
              <w:topLinePunct w:val="0"/>
              <w:autoSpaceDE w:val="0"/>
              <w:autoSpaceDN w:val="0"/>
              <w:bidi w:val="0"/>
              <w:adjustRightInd/>
              <w:snapToGrid w:val="0"/>
              <w:spacing w:before="0" w:after="0" w:line="240" w:lineRule="auto"/>
              <w:ind w:left="0" w:leftChars="0" w:right="0" w:rightChars="0" w:firstLine="0" w:firstLineChars="0"/>
              <w:jc w:val="center"/>
              <w:textAlignment w:val="auto"/>
              <w:rPr>
                <w:rFonts w:hint="eastAsia" w:ascii="方正仿宋_GB2312" w:hAnsi="方正仿宋_GB2312" w:eastAsia="方正仿宋_GB2312" w:cs="方正仿宋_GB2312"/>
                <w:b/>
                <w:color w:val="000000"/>
                <w:sz w:val="22"/>
                <w:szCs w:val="22"/>
              </w:rPr>
            </w:pPr>
            <w:r>
              <w:rPr>
                <w:rFonts w:hint="eastAsia" w:ascii="方正仿宋_GB2312" w:hAnsi="方正仿宋_GB2312" w:eastAsia="方正仿宋_GB2312" w:cs="方正仿宋_GB2312"/>
                <w:b/>
                <w:color w:val="000000"/>
                <w:sz w:val="22"/>
                <w:szCs w:val="22"/>
              </w:rPr>
              <w:t>序号</w:t>
            </w:r>
          </w:p>
        </w:tc>
        <w:tc>
          <w:tcPr>
            <w:tcW w:w="1427" w:type="dxa"/>
            <w:tcBorders>
              <w:top w:val="single" w:color="000000" w:sz="4" w:space="0"/>
              <w:left w:val="single" w:color="000000" w:sz="4" w:space="0"/>
              <w:bottom w:val="single" w:color="000000" w:sz="4" w:space="0"/>
              <w:right w:val="single" w:color="000000" w:sz="4" w:space="0"/>
            </w:tcBorders>
            <w:vAlign w:val="center"/>
          </w:tcPr>
          <w:p w14:paraId="44B83A46">
            <w:pPr>
              <w:keepNext w:val="0"/>
              <w:keepLines w:val="0"/>
              <w:pageBreakBefore w:val="0"/>
              <w:widowControl w:val="0"/>
              <w:kinsoku/>
              <w:wordWrap w:val="0"/>
              <w:overflowPunct/>
              <w:topLinePunct w:val="0"/>
              <w:autoSpaceDE w:val="0"/>
              <w:autoSpaceDN w:val="0"/>
              <w:bidi w:val="0"/>
              <w:adjustRightInd/>
              <w:snapToGrid w:val="0"/>
              <w:spacing w:before="0" w:after="0" w:line="240" w:lineRule="auto"/>
              <w:ind w:left="0" w:leftChars="0" w:right="0" w:rightChars="0" w:firstLine="0" w:firstLineChars="0"/>
              <w:jc w:val="center"/>
              <w:textAlignment w:val="auto"/>
              <w:rPr>
                <w:rFonts w:hint="eastAsia" w:ascii="方正仿宋_GB2312" w:hAnsi="方正仿宋_GB2312" w:eastAsia="方正仿宋_GB2312" w:cs="方正仿宋_GB2312"/>
                <w:b/>
                <w:color w:val="000000"/>
                <w:sz w:val="22"/>
                <w:szCs w:val="22"/>
              </w:rPr>
            </w:pPr>
            <w:r>
              <w:rPr>
                <w:rFonts w:hint="eastAsia" w:ascii="方正仿宋_GB2312" w:hAnsi="方正仿宋_GB2312" w:eastAsia="方正仿宋_GB2312" w:cs="方正仿宋_GB2312"/>
                <w:b/>
                <w:color w:val="000000"/>
                <w:sz w:val="22"/>
                <w:szCs w:val="22"/>
              </w:rPr>
              <w:t>品名</w:t>
            </w:r>
          </w:p>
        </w:tc>
        <w:tc>
          <w:tcPr>
            <w:tcW w:w="945" w:type="dxa"/>
            <w:tcBorders>
              <w:top w:val="single" w:color="000000" w:sz="4" w:space="0"/>
              <w:left w:val="single" w:color="000000" w:sz="4" w:space="0"/>
              <w:bottom w:val="single" w:color="000000" w:sz="4" w:space="0"/>
              <w:right w:val="single" w:color="000000" w:sz="4" w:space="0"/>
            </w:tcBorders>
            <w:vAlign w:val="center"/>
          </w:tcPr>
          <w:p w14:paraId="752C35B9">
            <w:pPr>
              <w:keepNext w:val="0"/>
              <w:keepLines w:val="0"/>
              <w:pageBreakBefore w:val="0"/>
              <w:widowControl w:val="0"/>
              <w:kinsoku/>
              <w:wordWrap w:val="0"/>
              <w:overflowPunct/>
              <w:topLinePunct w:val="0"/>
              <w:autoSpaceDE w:val="0"/>
              <w:autoSpaceDN w:val="0"/>
              <w:bidi w:val="0"/>
              <w:adjustRightInd/>
              <w:snapToGrid w:val="0"/>
              <w:spacing w:before="0" w:after="0" w:line="240" w:lineRule="auto"/>
              <w:ind w:left="0" w:leftChars="0" w:right="0" w:rightChars="0" w:firstLine="0" w:firstLineChars="0"/>
              <w:jc w:val="center"/>
              <w:textAlignment w:val="auto"/>
              <w:rPr>
                <w:rFonts w:hint="eastAsia" w:ascii="方正仿宋_GB2312" w:hAnsi="方正仿宋_GB2312" w:eastAsia="方正仿宋_GB2312" w:cs="方正仿宋_GB2312"/>
                <w:b/>
                <w:color w:val="000000"/>
                <w:sz w:val="22"/>
                <w:szCs w:val="22"/>
              </w:rPr>
            </w:pPr>
            <w:r>
              <w:rPr>
                <w:rFonts w:hint="eastAsia" w:ascii="方正仿宋_GB2312" w:hAnsi="方正仿宋_GB2312" w:eastAsia="方正仿宋_GB2312" w:cs="方正仿宋_GB2312"/>
                <w:b/>
                <w:color w:val="000000"/>
                <w:sz w:val="22"/>
                <w:szCs w:val="22"/>
              </w:rPr>
              <w:t>数量</w:t>
            </w:r>
          </w:p>
        </w:tc>
        <w:tc>
          <w:tcPr>
            <w:tcW w:w="5482" w:type="dxa"/>
            <w:tcBorders>
              <w:top w:val="single" w:color="000000" w:sz="4" w:space="0"/>
              <w:left w:val="single" w:color="000000" w:sz="4" w:space="0"/>
              <w:bottom w:val="single" w:color="000000" w:sz="4" w:space="0"/>
              <w:right w:val="single" w:color="000000" w:sz="4" w:space="0"/>
            </w:tcBorders>
            <w:vAlign w:val="center"/>
          </w:tcPr>
          <w:p w14:paraId="2320C716">
            <w:pPr>
              <w:keepNext w:val="0"/>
              <w:keepLines w:val="0"/>
              <w:pageBreakBefore w:val="0"/>
              <w:widowControl w:val="0"/>
              <w:kinsoku/>
              <w:wordWrap w:val="0"/>
              <w:overflowPunct/>
              <w:topLinePunct w:val="0"/>
              <w:autoSpaceDE w:val="0"/>
              <w:autoSpaceDN w:val="0"/>
              <w:bidi w:val="0"/>
              <w:adjustRightInd/>
              <w:snapToGrid w:val="0"/>
              <w:spacing w:before="0" w:after="0" w:line="240" w:lineRule="auto"/>
              <w:ind w:left="0" w:leftChars="0" w:right="0" w:rightChars="0" w:firstLine="0" w:firstLineChars="0"/>
              <w:jc w:val="center"/>
              <w:textAlignment w:val="auto"/>
              <w:rPr>
                <w:rFonts w:hint="eastAsia" w:ascii="方正仿宋_GB2312" w:hAnsi="方正仿宋_GB2312" w:eastAsia="方正仿宋_GB2312" w:cs="方正仿宋_GB2312"/>
                <w:b/>
                <w:color w:val="000000"/>
                <w:sz w:val="22"/>
                <w:szCs w:val="22"/>
              </w:rPr>
            </w:pPr>
            <w:r>
              <w:rPr>
                <w:rFonts w:hint="eastAsia" w:ascii="方正仿宋_GB2312" w:hAnsi="方正仿宋_GB2312" w:eastAsia="方正仿宋_GB2312" w:cs="方正仿宋_GB2312"/>
                <w:b/>
                <w:color w:val="000000"/>
                <w:sz w:val="22"/>
                <w:szCs w:val="22"/>
              </w:rPr>
              <w:t>备注</w:t>
            </w:r>
          </w:p>
        </w:tc>
      </w:tr>
      <w:tr w14:paraId="5562C661">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0" w:hRule="atLeast"/>
          <w:jc w:val="center"/>
        </w:trPr>
        <w:tc>
          <w:tcPr>
            <w:tcW w:w="668" w:type="dxa"/>
            <w:tcBorders>
              <w:top w:val="single" w:color="000000" w:sz="4" w:space="0"/>
              <w:left w:val="single" w:color="000000" w:sz="4" w:space="0"/>
              <w:bottom w:val="single" w:color="000000" w:sz="4" w:space="0"/>
              <w:right w:val="single" w:color="000000" w:sz="4" w:space="0"/>
            </w:tcBorders>
            <w:vAlign w:val="center"/>
          </w:tcPr>
          <w:p w14:paraId="21815F0A">
            <w:pPr>
              <w:keepNext w:val="0"/>
              <w:keepLines w:val="0"/>
              <w:pageBreakBefore w:val="0"/>
              <w:widowControl w:val="0"/>
              <w:kinsoku/>
              <w:wordWrap w:val="0"/>
              <w:overflowPunct/>
              <w:topLinePunct w:val="0"/>
              <w:autoSpaceDE w:val="0"/>
              <w:autoSpaceDN w:val="0"/>
              <w:bidi w:val="0"/>
              <w:adjustRightInd/>
              <w:snapToGrid w:val="0"/>
              <w:spacing w:before="0" w:after="0" w:line="240" w:lineRule="auto"/>
              <w:ind w:left="0" w:leftChars="0" w:right="0" w:rightChars="0" w:firstLine="0" w:firstLineChars="0"/>
              <w:jc w:val="center"/>
              <w:textAlignment w:val="auto"/>
              <w:rPr>
                <w:rFonts w:hint="eastAsia" w:ascii="方正仿宋_GB2312" w:hAnsi="方正仿宋_GB2312" w:eastAsia="方正仿宋_GB2312" w:cs="方正仿宋_GB2312"/>
                <w:color w:val="000000"/>
                <w:sz w:val="22"/>
                <w:szCs w:val="22"/>
              </w:rPr>
            </w:pPr>
            <w:r>
              <w:rPr>
                <w:rFonts w:hint="eastAsia" w:ascii="方正仿宋_GB2312" w:hAnsi="方正仿宋_GB2312" w:eastAsia="方正仿宋_GB2312" w:cs="方正仿宋_GB2312"/>
                <w:color w:val="000000"/>
                <w:sz w:val="22"/>
                <w:szCs w:val="22"/>
              </w:rPr>
              <w:t>1</w:t>
            </w:r>
          </w:p>
        </w:tc>
        <w:tc>
          <w:tcPr>
            <w:tcW w:w="1427" w:type="dxa"/>
            <w:tcBorders>
              <w:top w:val="single" w:color="000000" w:sz="4" w:space="0"/>
              <w:left w:val="single" w:color="000000" w:sz="4" w:space="0"/>
              <w:bottom w:val="single" w:color="000000" w:sz="4" w:space="0"/>
              <w:right w:val="single" w:color="000000" w:sz="4" w:space="0"/>
            </w:tcBorders>
            <w:vAlign w:val="center"/>
          </w:tcPr>
          <w:p w14:paraId="43C919BE">
            <w:pPr>
              <w:keepNext w:val="0"/>
              <w:keepLines w:val="0"/>
              <w:pageBreakBefore w:val="0"/>
              <w:widowControl w:val="0"/>
              <w:kinsoku/>
              <w:wordWrap w:val="0"/>
              <w:overflowPunct/>
              <w:topLinePunct w:val="0"/>
              <w:autoSpaceDE w:val="0"/>
              <w:autoSpaceDN w:val="0"/>
              <w:bidi w:val="0"/>
              <w:adjustRightInd/>
              <w:snapToGrid w:val="0"/>
              <w:spacing w:before="0" w:after="0" w:line="240" w:lineRule="auto"/>
              <w:ind w:left="0" w:leftChars="0" w:right="0" w:rightChars="0" w:firstLine="0" w:firstLineChars="0"/>
              <w:jc w:val="left"/>
              <w:textAlignment w:val="auto"/>
              <w:rPr>
                <w:rFonts w:hint="default" w:ascii="方正仿宋_GB2312" w:hAnsi="方正仿宋_GB2312" w:eastAsia="方正仿宋_GB2312" w:cs="方正仿宋_GB2312"/>
                <w:color w:val="000000"/>
                <w:sz w:val="22"/>
                <w:szCs w:val="22"/>
                <w:lang w:val="en-US" w:eastAsia="zh-CN"/>
              </w:rPr>
            </w:pPr>
            <w:r>
              <w:rPr>
                <w:rFonts w:hint="eastAsia" w:ascii="方正仿宋_GB2312" w:hAnsi="方正仿宋_GB2312" w:eastAsia="方正仿宋_GB2312" w:cs="方正仿宋_GB2312"/>
                <w:color w:val="000000"/>
                <w:sz w:val="22"/>
                <w:szCs w:val="22"/>
                <w:lang w:val="en-US" w:eastAsia="zh-CN"/>
              </w:rPr>
              <w:t>机房专用空调</w:t>
            </w:r>
          </w:p>
        </w:tc>
        <w:tc>
          <w:tcPr>
            <w:tcW w:w="945" w:type="dxa"/>
            <w:tcBorders>
              <w:top w:val="single" w:color="000000" w:sz="4" w:space="0"/>
              <w:left w:val="single" w:color="000000" w:sz="4" w:space="0"/>
              <w:bottom w:val="single" w:color="000000" w:sz="4" w:space="0"/>
              <w:right w:val="single" w:color="000000" w:sz="4" w:space="0"/>
            </w:tcBorders>
            <w:vAlign w:val="center"/>
          </w:tcPr>
          <w:p w14:paraId="15509711">
            <w:pPr>
              <w:keepNext w:val="0"/>
              <w:keepLines w:val="0"/>
              <w:pageBreakBefore w:val="0"/>
              <w:widowControl w:val="0"/>
              <w:kinsoku/>
              <w:wordWrap w:val="0"/>
              <w:overflowPunct/>
              <w:topLinePunct w:val="0"/>
              <w:autoSpaceDE w:val="0"/>
              <w:autoSpaceDN w:val="0"/>
              <w:bidi w:val="0"/>
              <w:adjustRightInd/>
              <w:snapToGrid w:val="0"/>
              <w:spacing w:before="0" w:after="0" w:line="240" w:lineRule="auto"/>
              <w:ind w:left="0" w:leftChars="0" w:right="0" w:rightChars="0" w:firstLine="0" w:firstLineChars="0"/>
              <w:jc w:val="center"/>
              <w:textAlignment w:val="auto"/>
              <w:rPr>
                <w:rFonts w:hint="default" w:ascii="方正仿宋_GB2312" w:hAnsi="方正仿宋_GB2312" w:eastAsia="方正仿宋_GB2312" w:cs="方正仿宋_GB2312"/>
                <w:color w:val="000000"/>
                <w:sz w:val="22"/>
                <w:szCs w:val="22"/>
                <w:lang w:val="en-US" w:eastAsia="zh-CN"/>
              </w:rPr>
            </w:pPr>
            <w:r>
              <w:rPr>
                <w:rFonts w:hint="eastAsia" w:ascii="方正仿宋_GB2312" w:hAnsi="方正仿宋_GB2312" w:eastAsia="方正仿宋_GB2312" w:cs="方正仿宋_GB2312"/>
                <w:color w:val="000000"/>
                <w:sz w:val="22"/>
                <w:szCs w:val="22"/>
                <w:lang w:val="en-US" w:eastAsia="zh-CN"/>
              </w:rPr>
              <w:t>2台</w:t>
            </w:r>
          </w:p>
        </w:tc>
        <w:tc>
          <w:tcPr>
            <w:tcW w:w="5482" w:type="dxa"/>
            <w:tcBorders>
              <w:top w:val="single" w:color="000000" w:sz="4" w:space="0"/>
              <w:left w:val="single" w:color="000000" w:sz="4" w:space="0"/>
              <w:bottom w:val="single" w:color="000000" w:sz="4" w:space="0"/>
              <w:right w:val="single" w:color="000000" w:sz="4" w:space="0"/>
            </w:tcBorders>
            <w:vAlign w:val="center"/>
          </w:tcPr>
          <w:p w14:paraId="726BC8DA">
            <w:pPr>
              <w:keepNext w:val="0"/>
              <w:keepLines w:val="0"/>
              <w:pageBreakBefore w:val="0"/>
              <w:widowControl w:val="0"/>
              <w:kinsoku/>
              <w:wordWrap w:val="0"/>
              <w:overflowPunct/>
              <w:topLinePunct w:val="0"/>
              <w:autoSpaceDE w:val="0"/>
              <w:autoSpaceDN w:val="0"/>
              <w:bidi w:val="0"/>
              <w:adjustRightInd/>
              <w:snapToGrid w:val="0"/>
              <w:spacing w:before="0" w:after="0" w:line="240" w:lineRule="auto"/>
              <w:ind w:left="0" w:leftChars="0" w:right="0" w:rightChars="0" w:firstLine="0" w:firstLineChars="0"/>
              <w:jc w:val="left"/>
              <w:textAlignment w:val="auto"/>
              <w:rPr>
                <w:rFonts w:hint="default" w:ascii="方正仿宋_GB2312" w:hAnsi="方正仿宋_GB2312" w:eastAsia="方正仿宋_GB2312" w:cs="方正仿宋_GB2312"/>
                <w:color w:val="000000"/>
                <w:sz w:val="22"/>
                <w:szCs w:val="22"/>
                <w:lang w:val="en-US" w:eastAsia="zh-CN"/>
              </w:rPr>
            </w:pPr>
            <w:r>
              <w:rPr>
                <w:rFonts w:hint="eastAsia" w:ascii="方正仿宋_GB2312" w:hAnsi="方正仿宋_GB2312" w:eastAsia="方正仿宋_GB2312" w:cs="方正仿宋_GB2312"/>
                <w:color w:val="000000"/>
                <w:sz w:val="22"/>
                <w:szCs w:val="22"/>
              </w:rPr>
              <w:t>购置于201</w:t>
            </w:r>
            <w:r>
              <w:rPr>
                <w:rFonts w:hint="eastAsia" w:ascii="方正仿宋_GB2312" w:hAnsi="方正仿宋_GB2312" w:eastAsia="方正仿宋_GB2312" w:cs="方正仿宋_GB2312"/>
                <w:color w:val="000000"/>
                <w:sz w:val="22"/>
                <w:szCs w:val="22"/>
                <w:lang w:val="en-US" w:eastAsia="zh-CN"/>
              </w:rPr>
              <w:t>2</w:t>
            </w:r>
            <w:r>
              <w:rPr>
                <w:rFonts w:hint="eastAsia" w:ascii="方正仿宋_GB2312" w:hAnsi="方正仿宋_GB2312" w:eastAsia="方正仿宋_GB2312" w:cs="方正仿宋_GB2312"/>
                <w:color w:val="000000"/>
                <w:sz w:val="22"/>
                <w:szCs w:val="22"/>
              </w:rPr>
              <w:t>年</w:t>
            </w:r>
            <w:r>
              <w:rPr>
                <w:rFonts w:hint="eastAsia" w:ascii="方正仿宋_GB2312" w:hAnsi="方正仿宋_GB2312" w:eastAsia="方正仿宋_GB2312" w:cs="方正仿宋_GB2312"/>
                <w:color w:val="000000"/>
                <w:sz w:val="22"/>
                <w:szCs w:val="22"/>
                <w:lang w:val="en-US" w:eastAsia="zh-CN"/>
              </w:rPr>
              <w:t>12月</w:t>
            </w:r>
            <w:r>
              <w:rPr>
                <w:rFonts w:hint="eastAsia" w:ascii="方正仿宋_GB2312" w:hAnsi="方正仿宋_GB2312" w:eastAsia="方正仿宋_GB2312" w:cs="方正仿宋_GB2312"/>
                <w:color w:val="000000"/>
                <w:sz w:val="22"/>
                <w:szCs w:val="22"/>
              </w:rPr>
              <w:t>。</w:t>
            </w:r>
            <w:r>
              <w:rPr>
                <w:rFonts w:hint="eastAsia" w:ascii="方正仿宋_GB2312" w:hAnsi="方正仿宋_GB2312" w:eastAsia="方正仿宋_GB2312" w:cs="方正仿宋_GB2312"/>
                <w:color w:val="000000"/>
                <w:sz w:val="22"/>
                <w:szCs w:val="22"/>
                <w:lang w:val="en-US" w:eastAsia="zh-CN"/>
              </w:rPr>
              <w:t>规格型号：P2040FARMSIR</w:t>
            </w:r>
          </w:p>
        </w:tc>
      </w:tr>
      <w:tr w14:paraId="098CCE36">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0" w:hRule="atLeast"/>
          <w:jc w:val="center"/>
        </w:trPr>
        <w:tc>
          <w:tcPr>
            <w:tcW w:w="668" w:type="dxa"/>
            <w:tcBorders>
              <w:top w:val="single" w:color="000000" w:sz="4" w:space="0"/>
              <w:left w:val="single" w:color="000000" w:sz="4" w:space="0"/>
              <w:bottom w:val="single" w:color="000000" w:sz="4" w:space="0"/>
              <w:right w:val="single" w:color="000000" w:sz="4" w:space="0"/>
            </w:tcBorders>
            <w:vAlign w:val="center"/>
          </w:tcPr>
          <w:p w14:paraId="042AB9D6">
            <w:pPr>
              <w:keepNext w:val="0"/>
              <w:keepLines w:val="0"/>
              <w:pageBreakBefore w:val="0"/>
              <w:widowControl w:val="0"/>
              <w:kinsoku/>
              <w:wordWrap w:val="0"/>
              <w:overflowPunct/>
              <w:topLinePunct w:val="0"/>
              <w:autoSpaceDE w:val="0"/>
              <w:autoSpaceDN w:val="0"/>
              <w:bidi w:val="0"/>
              <w:adjustRightInd/>
              <w:snapToGrid w:val="0"/>
              <w:spacing w:before="0" w:after="0" w:line="240" w:lineRule="auto"/>
              <w:ind w:left="0" w:leftChars="0" w:right="0" w:rightChars="0" w:firstLine="0" w:firstLineChars="0"/>
              <w:jc w:val="center"/>
              <w:textAlignment w:val="auto"/>
              <w:rPr>
                <w:rFonts w:hint="eastAsia" w:ascii="方正仿宋_GB2312" w:hAnsi="方正仿宋_GB2312" w:eastAsia="方正仿宋_GB2312" w:cs="方正仿宋_GB2312"/>
                <w:color w:val="000000"/>
                <w:sz w:val="22"/>
                <w:szCs w:val="22"/>
              </w:rPr>
            </w:pPr>
            <w:r>
              <w:rPr>
                <w:rFonts w:hint="eastAsia" w:ascii="方正仿宋_GB2312" w:hAnsi="方正仿宋_GB2312" w:eastAsia="方正仿宋_GB2312" w:cs="方正仿宋_GB2312"/>
                <w:color w:val="000000"/>
                <w:sz w:val="22"/>
                <w:szCs w:val="22"/>
              </w:rPr>
              <w:t>2</w:t>
            </w:r>
          </w:p>
        </w:tc>
        <w:tc>
          <w:tcPr>
            <w:tcW w:w="1427" w:type="dxa"/>
            <w:tcBorders>
              <w:top w:val="single" w:color="000000" w:sz="4" w:space="0"/>
              <w:left w:val="single" w:color="000000" w:sz="4" w:space="0"/>
              <w:bottom w:val="single" w:color="000000" w:sz="4" w:space="0"/>
              <w:right w:val="single" w:color="000000" w:sz="4" w:space="0"/>
            </w:tcBorders>
            <w:vAlign w:val="center"/>
          </w:tcPr>
          <w:p w14:paraId="534425DB">
            <w:pPr>
              <w:keepNext w:val="0"/>
              <w:keepLines w:val="0"/>
              <w:pageBreakBefore w:val="0"/>
              <w:widowControl w:val="0"/>
              <w:kinsoku/>
              <w:wordWrap w:val="0"/>
              <w:overflowPunct/>
              <w:topLinePunct w:val="0"/>
              <w:autoSpaceDE w:val="0"/>
              <w:autoSpaceDN w:val="0"/>
              <w:bidi w:val="0"/>
              <w:adjustRightInd/>
              <w:snapToGrid w:val="0"/>
              <w:spacing w:before="0" w:after="0" w:line="240" w:lineRule="auto"/>
              <w:ind w:left="0" w:leftChars="0" w:right="0" w:rightChars="0" w:firstLine="0" w:firstLineChars="0"/>
              <w:jc w:val="left"/>
              <w:textAlignment w:val="auto"/>
              <w:rPr>
                <w:rFonts w:hint="default" w:ascii="方正仿宋_GB2312" w:hAnsi="方正仿宋_GB2312" w:eastAsia="方正仿宋_GB2312" w:cs="方正仿宋_GB2312"/>
                <w:color w:val="000000"/>
                <w:sz w:val="22"/>
                <w:szCs w:val="22"/>
                <w:lang w:val="en-US" w:eastAsia="zh-CN"/>
              </w:rPr>
            </w:pPr>
            <w:r>
              <w:rPr>
                <w:rFonts w:hint="eastAsia" w:ascii="方正仿宋_GB2312" w:hAnsi="方正仿宋_GB2312" w:eastAsia="方正仿宋_GB2312" w:cs="方正仿宋_GB2312"/>
                <w:color w:val="000000"/>
                <w:sz w:val="22"/>
                <w:szCs w:val="22"/>
                <w:lang w:val="en-US" w:eastAsia="zh-CN"/>
              </w:rPr>
              <w:t>UPS蓄电池</w:t>
            </w:r>
          </w:p>
        </w:tc>
        <w:tc>
          <w:tcPr>
            <w:tcW w:w="945" w:type="dxa"/>
            <w:tcBorders>
              <w:top w:val="single" w:color="000000" w:sz="4" w:space="0"/>
              <w:left w:val="single" w:color="000000" w:sz="4" w:space="0"/>
              <w:bottom w:val="single" w:color="000000" w:sz="4" w:space="0"/>
              <w:right w:val="single" w:color="000000" w:sz="4" w:space="0"/>
            </w:tcBorders>
            <w:vAlign w:val="center"/>
          </w:tcPr>
          <w:p w14:paraId="4E3FDBEA">
            <w:pPr>
              <w:keepNext w:val="0"/>
              <w:keepLines w:val="0"/>
              <w:pageBreakBefore w:val="0"/>
              <w:widowControl w:val="0"/>
              <w:kinsoku/>
              <w:wordWrap w:val="0"/>
              <w:overflowPunct/>
              <w:topLinePunct w:val="0"/>
              <w:autoSpaceDE w:val="0"/>
              <w:autoSpaceDN w:val="0"/>
              <w:bidi w:val="0"/>
              <w:adjustRightInd/>
              <w:snapToGrid w:val="0"/>
              <w:spacing w:before="0" w:after="0" w:line="240" w:lineRule="auto"/>
              <w:ind w:left="0" w:leftChars="0" w:right="0" w:rightChars="0" w:firstLine="0" w:firstLineChars="0"/>
              <w:jc w:val="center"/>
              <w:textAlignment w:val="auto"/>
              <w:rPr>
                <w:rFonts w:hint="eastAsia" w:ascii="方正仿宋_GB2312" w:hAnsi="方正仿宋_GB2312" w:eastAsia="方正仿宋_GB2312" w:cs="方正仿宋_GB2312"/>
                <w:color w:val="000000"/>
                <w:sz w:val="22"/>
                <w:szCs w:val="22"/>
              </w:rPr>
            </w:pPr>
            <w:r>
              <w:rPr>
                <w:rFonts w:hint="eastAsia" w:ascii="方正仿宋_GB2312" w:hAnsi="方正仿宋_GB2312" w:eastAsia="方正仿宋_GB2312" w:cs="方正仿宋_GB2312"/>
                <w:color w:val="000000"/>
                <w:sz w:val="22"/>
                <w:szCs w:val="22"/>
                <w:lang w:val="en-US" w:eastAsia="zh-CN"/>
              </w:rPr>
              <w:t>1套192节</w:t>
            </w:r>
          </w:p>
        </w:tc>
        <w:tc>
          <w:tcPr>
            <w:tcW w:w="5482" w:type="dxa"/>
            <w:tcBorders>
              <w:top w:val="single" w:color="000000" w:sz="4" w:space="0"/>
              <w:left w:val="single" w:color="000000" w:sz="4" w:space="0"/>
              <w:bottom w:val="single" w:color="000000" w:sz="4" w:space="0"/>
              <w:right w:val="single" w:color="000000" w:sz="4" w:space="0"/>
            </w:tcBorders>
            <w:vAlign w:val="center"/>
          </w:tcPr>
          <w:p w14:paraId="3B49FEFD">
            <w:pPr>
              <w:keepNext w:val="0"/>
              <w:keepLines w:val="0"/>
              <w:pageBreakBefore w:val="0"/>
              <w:widowControl w:val="0"/>
              <w:kinsoku/>
              <w:wordWrap w:val="0"/>
              <w:overflowPunct/>
              <w:topLinePunct w:val="0"/>
              <w:autoSpaceDE w:val="0"/>
              <w:autoSpaceDN w:val="0"/>
              <w:bidi w:val="0"/>
              <w:adjustRightInd/>
              <w:snapToGrid w:val="0"/>
              <w:spacing w:before="0" w:after="0" w:line="240" w:lineRule="auto"/>
              <w:ind w:left="0" w:leftChars="0" w:right="0" w:rightChars="0" w:firstLine="0" w:firstLineChars="0"/>
              <w:jc w:val="left"/>
              <w:textAlignment w:val="auto"/>
              <w:rPr>
                <w:rFonts w:hint="default" w:ascii="方正仿宋_GB2312" w:hAnsi="方正仿宋_GB2312" w:eastAsia="方正仿宋_GB2312" w:cs="方正仿宋_GB2312"/>
                <w:color w:val="000000"/>
                <w:sz w:val="22"/>
                <w:szCs w:val="22"/>
                <w:lang w:val="en-US" w:eastAsia="zh-CN"/>
              </w:rPr>
            </w:pPr>
            <w:r>
              <w:rPr>
                <w:rFonts w:hint="eastAsia" w:ascii="方正仿宋_GB2312" w:hAnsi="方正仿宋_GB2312" w:eastAsia="方正仿宋_GB2312" w:cs="方正仿宋_GB2312"/>
                <w:color w:val="000000"/>
                <w:sz w:val="22"/>
                <w:szCs w:val="22"/>
              </w:rPr>
              <w:t>购置于201</w:t>
            </w:r>
            <w:r>
              <w:rPr>
                <w:rFonts w:hint="eastAsia" w:ascii="方正仿宋_GB2312" w:hAnsi="方正仿宋_GB2312" w:eastAsia="方正仿宋_GB2312" w:cs="方正仿宋_GB2312"/>
                <w:color w:val="000000"/>
                <w:sz w:val="22"/>
                <w:szCs w:val="22"/>
                <w:lang w:val="en-US" w:eastAsia="zh-CN"/>
              </w:rPr>
              <w:t>9</w:t>
            </w:r>
            <w:r>
              <w:rPr>
                <w:rFonts w:hint="eastAsia" w:ascii="方正仿宋_GB2312" w:hAnsi="方正仿宋_GB2312" w:eastAsia="方正仿宋_GB2312" w:cs="方正仿宋_GB2312"/>
                <w:color w:val="000000"/>
                <w:sz w:val="22"/>
                <w:szCs w:val="22"/>
              </w:rPr>
              <w:t>年</w:t>
            </w:r>
            <w:r>
              <w:rPr>
                <w:rFonts w:hint="eastAsia" w:ascii="方正仿宋_GB2312" w:hAnsi="方正仿宋_GB2312" w:eastAsia="方正仿宋_GB2312" w:cs="方正仿宋_GB2312"/>
                <w:color w:val="000000"/>
                <w:sz w:val="22"/>
                <w:szCs w:val="22"/>
                <w:lang w:val="en-US" w:eastAsia="zh-CN"/>
              </w:rPr>
              <w:t>12月</w:t>
            </w:r>
            <w:r>
              <w:rPr>
                <w:rFonts w:hint="eastAsia" w:ascii="方正仿宋_GB2312" w:hAnsi="方正仿宋_GB2312" w:eastAsia="方正仿宋_GB2312" w:cs="方正仿宋_GB2312"/>
                <w:color w:val="000000"/>
                <w:sz w:val="22"/>
                <w:szCs w:val="22"/>
              </w:rPr>
              <w:t>。</w:t>
            </w:r>
            <w:r>
              <w:rPr>
                <w:rFonts w:hint="eastAsia" w:ascii="方正仿宋_GB2312" w:hAnsi="方正仿宋_GB2312" w:eastAsia="方正仿宋_GB2312" w:cs="方正仿宋_GB2312"/>
                <w:color w:val="000000"/>
                <w:sz w:val="22"/>
                <w:szCs w:val="22"/>
                <w:lang w:val="en-US" w:eastAsia="zh-CN"/>
              </w:rPr>
              <w:t>规格型号：NPG12-100ah</w:t>
            </w:r>
          </w:p>
        </w:tc>
      </w:tr>
      <w:tr w14:paraId="0E9B4AA8">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0" w:hRule="atLeast"/>
          <w:jc w:val="center"/>
        </w:trPr>
        <w:tc>
          <w:tcPr>
            <w:tcW w:w="668" w:type="dxa"/>
            <w:tcBorders>
              <w:top w:val="single" w:color="000000" w:sz="4" w:space="0"/>
              <w:left w:val="single" w:color="000000" w:sz="4" w:space="0"/>
              <w:bottom w:val="single" w:color="000000" w:sz="4" w:space="0"/>
              <w:right w:val="single" w:color="000000" w:sz="4" w:space="0"/>
            </w:tcBorders>
            <w:vAlign w:val="center"/>
          </w:tcPr>
          <w:p w14:paraId="1243974F">
            <w:pPr>
              <w:keepNext w:val="0"/>
              <w:keepLines w:val="0"/>
              <w:pageBreakBefore w:val="0"/>
              <w:widowControl w:val="0"/>
              <w:kinsoku/>
              <w:wordWrap w:val="0"/>
              <w:overflowPunct/>
              <w:topLinePunct w:val="0"/>
              <w:autoSpaceDE w:val="0"/>
              <w:autoSpaceDN w:val="0"/>
              <w:bidi w:val="0"/>
              <w:adjustRightInd/>
              <w:snapToGrid w:val="0"/>
              <w:spacing w:before="0" w:after="0" w:line="240" w:lineRule="auto"/>
              <w:ind w:left="0" w:leftChars="0" w:right="0" w:rightChars="0" w:firstLine="0" w:firstLineChars="0"/>
              <w:jc w:val="center"/>
              <w:textAlignment w:val="auto"/>
              <w:rPr>
                <w:rFonts w:hint="eastAsia" w:ascii="方正仿宋_GB2312" w:hAnsi="方正仿宋_GB2312" w:eastAsia="方正仿宋_GB2312" w:cs="方正仿宋_GB2312"/>
                <w:color w:val="000000"/>
                <w:sz w:val="22"/>
                <w:szCs w:val="22"/>
              </w:rPr>
            </w:pPr>
            <w:r>
              <w:rPr>
                <w:rFonts w:hint="eastAsia" w:ascii="方正仿宋_GB2312" w:hAnsi="方正仿宋_GB2312" w:eastAsia="方正仿宋_GB2312" w:cs="方正仿宋_GB2312"/>
                <w:color w:val="000000"/>
                <w:sz w:val="22"/>
                <w:szCs w:val="22"/>
              </w:rPr>
              <w:t>3</w:t>
            </w:r>
          </w:p>
        </w:tc>
        <w:tc>
          <w:tcPr>
            <w:tcW w:w="1427" w:type="dxa"/>
            <w:tcBorders>
              <w:top w:val="single" w:color="000000" w:sz="4" w:space="0"/>
              <w:left w:val="single" w:color="000000" w:sz="4" w:space="0"/>
              <w:bottom w:val="single" w:color="000000" w:sz="4" w:space="0"/>
              <w:right w:val="single" w:color="000000" w:sz="4" w:space="0"/>
            </w:tcBorders>
            <w:vAlign w:val="center"/>
          </w:tcPr>
          <w:p w14:paraId="0BA77F1E">
            <w:pPr>
              <w:keepNext w:val="0"/>
              <w:keepLines w:val="0"/>
              <w:pageBreakBefore w:val="0"/>
              <w:widowControl w:val="0"/>
              <w:kinsoku/>
              <w:wordWrap w:val="0"/>
              <w:overflowPunct/>
              <w:topLinePunct w:val="0"/>
              <w:autoSpaceDE w:val="0"/>
              <w:autoSpaceDN w:val="0"/>
              <w:bidi w:val="0"/>
              <w:adjustRightInd/>
              <w:snapToGrid w:val="0"/>
              <w:spacing w:before="0" w:after="0" w:line="240" w:lineRule="auto"/>
              <w:ind w:left="0" w:leftChars="0" w:right="0" w:rightChars="0" w:firstLine="0" w:firstLineChars="0"/>
              <w:jc w:val="left"/>
              <w:textAlignment w:val="auto"/>
              <w:rPr>
                <w:rFonts w:hint="default" w:ascii="方正仿宋_GB2312" w:hAnsi="方正仿宋_GB2312" w:eastAsia="方正仿宋_GB2312" w:cs="方正仿宋_GB2312"/>
                <w:color w:val="000000"/>
                <w:sz w:val="22"/>
                <w:szCs w:val="22"/>
                <w:lang w:val="en-US" w:eastAsia="zh-CN"/>
              </w:rPr>
            </w:pPr>
            <w:r>
              <w:rPr>
                <w:rFonts w:hint="eastAsia" w:ascii="方正仿宋_GB2312" w:hAnsi="方正仿宋_GB2312" w:eastAsia="方正仿宋_GB2312" w:cs="方正仿宋_GB2312"/>
                <w:color w:val="000000"/>
                <w:sz w:val="22"/>
                <w:szCs w:val="22"/>
                <w:lang w:val="en-US" w:eastAsia="zh-CN"/>
              </w:rPr>
              <w:t>UPS电池监控系统</w:t>
            </w:r>
          </w:p>
        </w:tc>
        <w:tc>
          <w:tcPr>
            <w:tcW w:w="945" w:type="dxa"/>
            <w:vMerge w:val="restart"/>
            <w:tcBorders>
              <w:top w:val="single" w:color="000000" w:sz="4" w:space="0"/>
              <w:left w:val="single" w:color="000000" w:sz="4" w:space="0"/>
              <w:right w:val="single" w:color="000000" w:sz="4" w:space="0"/>
            </w:tcBorders>
            <w:vAlign w:val="center"/>
          </w:tcPr>
          <w:p w14:paraId="203179BE">
            <w:pPr>
              <w:keepNext w:val="0"/>
              <w:keepLines w:val="0"/>
              <w:pageBreakBefore w:val="0"/>
              <w:widowControl w:val="0"/>
              <w:kinsoku/>
              <w:wordWrap w:val="0"/>
              <w:overflowPunct/>
              <w:topLinePunct w:val="0"/>
              <w:autoSpaceDE w:val="0"/>
              <w:autoSpaceDN w:val="0"/>
              <w:bidi w:val="0"/>
              <w:adjustRightInd/>
              <w:snapToGrid w:val="0"/>
              <w:spacing w:before="0" w:after="0" w:line="240" w:lineRule="auto"/>
              <w:ind w:left="0" w:leftChars="0" w:right="0" w:rightChars="0" w:firstLine="0" w:firstLineChars="0"/>
              <w:jc w:val="center"/>
              <w:textAlignment w:val="auto"/>
              <w:rPr>
                <w:rFonts w:hint="default" w:ascii="方正仿宋_GB2312" w:hAnsi="方正仿宋_GB2312" w:eastAsia="方正仿宋_GB2312" w:cs="方正仿宋_GB2312"/>
                <w:color w:val="000000"/>
                <w:sz w:val="22"/>
                <w:szCs w:val="22"/>
                <w:lang w:val="en-US"/>
              </w:rPr>
            </w:pPr>
            <w:r>
              <w:rPr>
                <w:rFonts w:hint="eastAsia" w:ascii="方正仿宋_GB2312" w:hAnsi="方正仿宋_GB2312" w:eastAsia="方正仿宋_GB2312" w:cs="方正仿宋_GB2312"/>
                <w:color w:val="000000"/>
                <w:sz w:val="22"/>
                <w:szCs w:val="22"/>
                <w:lang w:val="en-US" w:eastAsia="zh-CN"/>
              </w:rPr>
              <w:t>1套192个</w:t>
            </w:r>
          </w:p>
        </w:tc>
        <w:tc>
          <w:tcPr>
            <w:tcW w:w="5482" w:type="dxa"/>
            <w:tcBorders>
              <w:top w:val="single" w:color="000000" w:sz="4" w:space="0"/>
              <w:left w:val="single" w:color="000000" w:sz="4" w:space="0"/>
              <w:bottom w:val="single" w:color="000000" w:sz="4" w:space="0"/>
              <w:right w:val="single" w:color="000000" w:sz="4" w:space="0"/>
            </w:tcBorders>
            <w:vAlign w:val="center"/>
          </w:tcPr>
          <w:p w14:paraId="08055CAA">
            <w:pPr>
              <w:keepNext w:val="0"/>
              <w:keepLines w:val="0"/>
              <w:pageBreakBefore w:val="0"/>
              <w:widowControl w:val="0"/>
              <w:kinsoku/>
              <w:wordWrap w:val="0"/>
              <w:overflowPunct/>
              <w:topLinePunct w:val="0"/>
              <w:autoSpaceDE w:val="0"/>
              <w:autoSpaceDN w:val="0"/>
              <w:bidi w:val="0"/>
              <w:adjustRightInd/>
              <w:snapToGrid w:val="0"/>
              <w:spacing w:before="0" w:after="0" w:line="240" w:lineRule="auto"/>
              <w:ind w:left="0" w:leftChars="0" w:right="0" w:rightChars="0" w:firstLine="0" w:firstLineChars="0"/>
              <w:jc w:val="left"/>
              <w:textAlignment w:val="auto"/>
              <w:rPr>
                <w:rFonts w:hint="default" w:ascii="方正仿宋_GB2312" w:hAnsi="方正仿宋_GB2312" w:eastAsia="方正仿宋_GB2312" w:cs="方正仿宋_GB2312"/>
                <w:color w:val="000000"/>
                <w:sz w:val="22"/>
                <w:szCs w:val="22"/>
                <w:lang w:val="en-US"/>
              </w:rPr>
            </w:pPr>
            <w:r>
              <w:rPr>
                <w:rFonts w:hint="eastAsia" w:ascii="方正仿宋_GB2312" w:hAnsi="方正仿宋_GB2312" w:eastAsia="方正仿宋_GB2312" w:cs="方正仿宋_GB2312"/>
                <w:color w:val="000000"/>
                <w:sz w:val="22"/>
                <w:szCs w:val="22"/>
              </w:rPr>
              <w:t>购置于201</w:t>
            </w:r>
            <w:r>
              <w:rPr>
                <w:rFonts w:hint="eastAsia" w:ascii="方正仿宋_GB2312" w:hAnsi="方正仿宋_GB2312" w:eastAsia="方正仿宋_GB2312" w:cs="方正仿宋_GB2312"/>
                <w:color w:val="000000"/>
                <w:sz w:val="22"/>
                <w:szCs w:val="22"/>
                <w:lang w:val="en-US" w:eastAsia="zh-CN"/>
              </w:rPr>
              <w:t>9</w:t>
            </w:r>
            <w:r>
              <w:rPr>
                <w:rFonts w:hint="eastAsia" w:ascii="方正仿宋_GB2312" w:hAnsi="方正仿宋_GB2312" w:eastAsia="方正仿宋_GB2312" w:cs="方正仿宋_GB2312"/>
                <w:color w:val="000000"/>
                <w:sz w:val="22"/>
                <w:szCs w:val="22"/>
              </w:rPr>
              <w:t>年</w:t>
            </w:r>
            <w:r>
              <w:rPr>
                <w:rFonts w:hint="eastAsia" w:ascii="方正仿宋_GB2312" w:hAnsi="方正仿宋_GB2312" w:eastAsia="方正仿宋_GB2312" w:cs="方正仿宋_GB2312"/>
                <w:color w:val="000000"/>
                <w:sz w:val="22"/>
                <w:szCs w:val="22"/>
                <w:lang w:val="en-US" w:eastAsia="zh-CN"/>
              </w:rPr>
              <w:t>12月</w:t>
            </w:r>
            <w:r>
              <w:rPr>
                <w:rFonts w:hint="eastAsia" w:ascii="方正仿宋_GB2312" w:hAnsi="方正仿宋_GB2312" w:eastAsia="方正仿宋_GB2312" w:cs="方正仿宋_GB2312"/>
                <w:color w:val="000000"/>
                <w:sz w:val="22"/>
                <w:szCs w:val="22"/>
              </w:rPr>
              <w:t>。</w:t>
            </w:r>
            <w:r>
              <w:rPr>
                <w:rFonts w:hint="eastAsia" w:ascii="方正仿宋_GB2312" w:hAnsi="方正仿宋_GB2312" w:eastAsia="方正仿宋_GB2312" w:cs="方正仿宋_GB2312"/>
                <w:color w:val="000000"/>
                <w:sz w:val="22"/>
                <w:szCs w:val="22"/>
                <w:lang w:val="en-US" w:eastAsia="zh-CN"/>
              </w:rPr>
              <w:t>规格型号：单节采集模块CM0112</w:t>
            </w:r>
          </w:p>
        </w:tc>
      </w:tr>
      <w:tr w14:paraId="4A96BFE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0" w:hRule="atLeast"/>
          <w:jc w:val="center"/>
        </w:trPr>
        <w:tc>
          <w:tcPr>
            <w:tcW w:w="668" w:type="dxa"/>
            <w:tcBorders>
              <w:top w:val="single" w:color="000000" w:sz="4" w:space="0"/>
              <w:left w:val="single" w:color="000000" w:sz="4" w:space="0"/>
              <w:bottom w:val="single" w:color="000000" w:sz="4" w:space="0"/>
              <w:right w:val="single" w:color="000000" w:sz="4" w:space="0"/>
            </w:tcBorders>
            <w:vAlign w:val="center"/>
          </w:tcPr>
          <w:p w14:paraId="1A229E7A">
            <w:pPr>
              <w:keepNext w:val="0"/>
              <w:keepLines w:val="0"/>
              <w:pageBreakBefore w:val="0"/>
              <w:widowControl w:val="0"/>
              <w:kinsoku/>
              <w:wordWrap w:val="0"/>
              <w:overflowPunct/>
              <w:topLinePunct w:val="0"/>
              <w:autoSpaceDE w:val="0"/>
              <w:autoSpaceDN w:val="0"/>
              <w:bidi w:val="0"/>
              <w:adjustRightInd/>
              <w:snapToGrid w:val="0"/>
              <w:spacing w:before="0" w:after="0" w:line="240" w:lineRule="auto"/>
              <w:ind w:left="0" w:leftChars="0" w:right="0" w:rightChars="0" w:firstLine="0" w:firstLineChars="0"/>
              <w:jc w:val="center"/>
              <w:textAlignment w:val="auto"/>
              <w:rPr>
                <w:rFonts w:hint="eastAsia" w:ascii="方正仿宋_GB2312" w:hAnsi="方正仿宋_GB2312" w:eastAsia="方正仿宋_GB2312" w:cs="方正仿宋_GB2312"/>
                <w:color w:val="000000"/>
                <w:sz w:val="22"/>
                <w:szCs w:val="22"/>
              </w:rPr>
            </w:pPr>
            <w:r>
              <w:rPr>
                <w:rFonts w:hint="eastAsia" w:ascii="方正仿宋_GB2312" w:hAnsi="方正仿宋_GB2312" w:eastAsia="方正仿宋_GB2312" w:cs="方正仿宋_GB2312"/>
                <w:color w:val="000000"/>
                <w:sz w:val="22"/>
                <w:szCs w:val="22"/>
              </w:rPr>
              <w:t>4</w:t>
            </w:r>
          </w:p>
        </w:tc>
        <w:tc>
          <w:tcPr>
            <w:tcW w:w="1427" w:type="dxa"/>
            <w:tcBorders>
              <w:top w:val="single" w:color="000000" w:sz="4" w:space="0"/>
              <w:left w:val="single" w:color="000000" w:sz="4" w:space="0"/>
              <w:bottom w:val="single" w:color="000000" w:sz="4" w:space="0"/>
              <w:right w:val="single" w:color="000000" w:sz="4" w:space="0"/>
            </w:tcBorders>
            <w:vAlign w:val="center"/>
          </w:tcPr>
          <w:p w14:paraId="44584927">
            <w:pPr>
              <w:keepNext w:val="0"/>
              <w:keepLines w:val="0"/>
              <w:pageBreakBefore w:val="0"/>
              <w:widowControl w:val="0"/>
              <w:kinsoku/>
              <w:wordWrap w:val="0"/>
              <w:overflowPunct/>
              <w:topLinePunct w:val="0"/>
              <w:autoSpaceDE w:val="0"/>
              <w:autoSpaceDN w:val="0"/>
              <w:bidi w:val="0"/>
              <w:adjustRightInd/>
              <w:snapToGrid w:val="0"/>
              <w:spacing w:before="0" w:after="0" w:line="240" w:lineRule="auto"/>
              <w:ind w:left="0" w:leftChars="0" w:right="0" w:rightChars="0" w:firstLine="0" w:firstLineChars="0"/>
              <w:jc w:val="left"/>
              <w:textAlignment w:val="auto"/>
              <w:rPr>
                <w:rFonts w:hint="eastAsia" w:ascii="方正仿宋_GB2312" w:hAnsi="方正仿宋_GB2312" w:eastAsia="方正仿宋_GB2312" w:cs="方正仿宋_GB2312"/>
                <w:color w:val="000000"/>
                <w:sz w:val="22"/>
                <w:szCs w:val="22"/>
              </w:rPr>
            </w:pPr>
            <w:r>
              <w:rPr>
                <w:rFonts w:hint="eastAsia" w:ascii="方正仿宋_GB2312" w:hAnsi="方正仿宋_GB2312" w:eastAsia="方正仿宋_GB2312" w:cs="方正仿宋_GB2312"/>
                <w:color w:val="000000"/>
                <w:sz w:val="22"/>
                <w:szCs w:val="22"/>
                <w:lang w:val="en-US" w:eastAsia="zh-CN"/>
              </w:rPr>
              <w:t>UPS电池监控系统</w:t>
            </w:r>
          </w:p>
        </w:tc>
        <w:tc>
          <w:tcPr>
            <w:tcW w:w="945" w:type="dxa"/>
            <w:vMerge w:val="continue"/>
            <w:tcBorders>
              <w:left w:val="single" w:color="000000" w:sz="4" w:space="0"/>
              <w:bottom w:val="single" w:color="000000" w:sz="4" w:space="0"/>
              <w:right w:val="single" w:color="000000" w:sz="4" w:space="0"/>
            </w:tcBorders>
            <w:vAlign w:val="center"/>
          </w:tcPr>
          <w:p w14:paraId="1500C909">
            <w:pPr>
              <w:keepNext w:val="0"/>
              <w:keepLines w:val="0"/>
              <w:pageBreakBefore w:val="0"/>
              <w:widowControl w:val="0"/>
              <w:kinsoku/>
              <w:wordWrap w:val="0"/>
              <w:overflowPunct/>
              <w:topLinePunct w:val="0"/>
              <w:autoSpaceDE w:val="0"/>
              <w:autoSpaceDN w:val="0"/>
              <w:bidi w:val="0"/>
              <w:adjustRightInd/>
              <w:snapToGrid w:val="0"/>
              <w:spacing w:before="0" w:after="0" w:line="240" w:lineRule="auto"/>
              <w:ind w:left="0" w:leftChars="0" w:right="0" w:rightChars="0" w:firstLine="0" w:firstLineChars="0"/>
              <w:jc w:val="center"/>
              <w:textAlignment w:val="auto"/>
              <w:rPr>
                <w:rFonts w:hint="default" w:ascii="方正仿宋_GB2312" w:hAnsi="方正仿宋_GB2312" w:eastAsia="方正仿宋_GB2312" w:cs="方正仿宋_GB2312"/>
                <w:color w:val="000000"/>
                <w:sz w:val="22"/>
                <w:szCs w:val="22"/>
                <w:lang w:val="en-US"/>
              </w:rPr>
            </w:pPr>
          </w:p>
        </w:tc>
        <w:tc>
          <w:tcPr>
            <w:tcW w:w="5482" w:type="dxa"/>
            <w:tcBorders>
              <w:top w:val="single" w:color="000000" w:sz="4" w:space="0"/>
              <w:left w:val="single" w:color="000000" w:sz="4" w:space="0"/>
              <w:bottom w:val="single" w:color="000000" w:sz="4" w:space="0"/>
              <w:right w:val="single" w:color="000000" w:sz="4" w:space="0"/>
            </w:tcBorders>
            <w:vAlign w:val="center"/>
          </w:tcPr>
          <w:p w14:paraId="0B7055A1">
            <w:pPr>
              <w:keepNext w:val="0"/>
              <w:keepLines w:val="0"/>
              <w:pageBreakBefore w:val="0"/>
              <w:widowControl w:val="0"/>
              <w:kinsoku/>
              <w:wordWrap w:val="0"/>
              <w:overflowPunct/>
              <w:topLinePunct w:val="0"/>
              <w:autoSpaceDE w:val="0"/>
              <w:autoSpaceDN w:val="0"/>
              <w:bidi w:val="0"/>
              <w:adjustRightInd/>
              <w:snapToGrid w:val="0"/>
              <w:spacing w:before="0" w:after="0" w:line="240" w:lineRule="auto"/>
              <w:ind w:left="0" w:leftChars="0" w:right="0" w:rightChars="0" w:firstLine="0" w:firstLineChars="0"/>
              <w:jc w:val="left"/>
              <w:textAlignment w:val="auto"/>
              <w:rPr>
                <w:rFonts w:hint="eastAsia" w:ascii="方正仿宋_GB2312" w:hAnsi="方正仿宋_GB2312" w:eastAsia="方正仿宋_GB2312" w:cs="方正仿宋_GB2312"/>
                <w:color w:val="000000"/>
                <w:sz w:val="22"/>
                <w:szCs w:val="22"/>
              </w:rPr>
            </w:pPr>
            <w:r>
              <w:rPr>
                <w:rFonts w:hint="eastAsia" w:ascii="方正仿宋_GB2312" w:hAnsi="方正仿宋_GB2312" w:eastAsia="方正仿宋_GB2312" w:cs="方正仿宋_GB2312"/>
                <w:color w:val="000000"/>
                <w:sz w:val="22"/>
                <w:szCs w:val="22"/>
              </w:rPr>
              <w:t>购置于201</w:t>
            </w:r>
            <w:r>
              <w:rPr>
                <w:rFonts w:hint="eastAsia" w:ascii="方正仿宋_GB2312" w:hAnsi="方正仿宋_GB2312" w:eastAsia="方正仿宋_GB2312" w:cs="方正仿宋_GB2312"/>
                <w:color w:val="000000"/>
                <w:sz w:val="22"/>
                <w:szCs w:val="22"/>
                <w:lang w:val="en-US" w:eastAsia="zh-CN"/>
              </w:rPr>
              <w:t>9</w:t>
            </w:r>
            <w:r>
              <w:rPr>
                <w:rFonts w:hint="eastAsia" w:ascii="方正仿宋_GB2312" w:hAnsi="方正仿宋_GB2312" w:eastAsia="方正仿宋_GB2312" w:cs="方正仿宋_GB2312"/>
                <w:color w:val="000000"/>
                <w:sz w:val="22"/>
                <w:szCs w:val="22"/>
              </w:rPr>
              <w:t>年</w:t>
            </w:r>
            <w:r>
              <w:rPr>
                <w:rFonts w:hint="eastAsia" w:ascii="方正仿宋_GB2312" w:hAnsi="方正仿宋_GB2312" w:eastAsia="方正仿宋_GB2312" w:cs="方正仿宋_GB2312"/>
                <w:color w:val="000000"/>
                <w:sz w:val="22"/>
                <w:szCs w:val="22"/>
                <w:lang w:val="en-US" w:eastAsia="zh-CN"/>
              </w:rPr>
              <w:t>12月</w:t>
            </w:r>
            <w:r>
              <w:rPr>
                <w:rFonts w:hint="eastAsia" w:ascii="方正仿宋_GB2312" w:hAnsi="方正仿宋_GB2312" w:eastAsia="方正仿宋_GB2312" w:cs="方正仿宋_GB2312"/>
                <w:color w:val="000000"/>
                <w:sz w:val="22"/>
                <w:szCs w:val="22"/>
              </w:rPr>
              <w:t>。</w:t>
            </w:r>
            <w:r>
              <w:rPr>
                <w:rFonts w:hint="eastAsia" w:ascii="方正仿宋_GB2312" w:hAnsi="方正仿宋_GB2312" w:eastAsia="方正仿宋_GB2312" w:cs="方正仿宋_GB2312"/>
                <w:color w:val="000000"/>
                <w:sz w:val="22"/>
                <w:szCs w:val="22"/>
                <w:lang w:val="en-US" w:eastAsia="zh-CN"/>
              </w:rPr>
              <w:t>规格型号：数据集中采集模块BOMS-IV电流传感器CT01</w:t>
            </w:r>
          </w:p>
        </w:tc>
      </w:tr>
      <w:tr w14:paraId="674D0A69">
        <w:tblPrEx>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CellMar>
            <w:top w:w="0" w:type="dxa"/>
            <w:left w:w="0" w:type="dxa"/>
            <w:bottom w:w="0" w:type="dxa"/>
            <w:right w:w="0" w:type="dxa"/>
          </w:tblCellMar>
        </w:tblPrEx>
        <w:trPr>
          <w:trHeight w:val="0" w:hRule="atLeast"/>
          <w:jc w:val="center"/>
        </w:trPr>
        <w:tc>
          <w:tcPr>
            <w:tcW w:w="668" w:type="dxa"/>
            <w:tcBorders>
              <w:top w:val="single" w:color="000000" w:sz="4" w:space="0"/>
              <w:left w:val="single" w:color="000000" w:sz="4" w:space="0"/>
              <w:bottom w:val="single" w:color="000000" w:sz="4" w:space="0"/>
              <w:right w:val="single" w:color="000000" w:sz="4" w:space="0"/>
            </w:tcBorders>
            <w:vAlign w:val="center"/>
          </w:tcPr>
          <w:p w14:paraId="5AE61B21">
            <w:pPr>
              <w:keepNext w:val="0"/>
              <w:keepLines w:val="0"/>
              <w:pageBreakBefore w:val="0"/>
              <w:widowControl w:val="0"/>
              <w:kinsoku/>
              <w:wordWrap w:val="0"/>
              <w:overflowPunct/>
              <w:topLinePunct w:val="0"/>
              <w:autoSpaceDE w:val="0"/>
              <w:autoSpaceDN w:val="0"/>
              <w:bidi w:val="0"/>
              <w:adjustRightInd/>
              <w:snapToGrid w:val="0"/>
              <w:spacing w:before="0" w:after="0" w:line="240" w:lineRule="auto"/>
              <w:ind w:left="0" w:leftChars="0" w:right="0" w:rightChars="0" w:firstLine="0" w:firstLineChars="0"/>
              <w:jc w:val="center"/>
              <w:textAlignment w:val="auto"/>
              <w:rPr>
                <w:rFonts w:hint="eastAsia" w:ascii="方正仿宋_GB2312" w:hAnsi="方正仿宋_GB2312" w:eastAsia="方正仿宋_GB2312" w:cs="方正仿宋_GB2312"/>
                <w:color w:val="000000"/>
                <w:sz w:val="22"/>
                <w:szCs w:val="22"/>
              </w:rPr>
            </w:pPr>
            <w:r>
              <w:rPr>
                <w:rFonts w:hint="eastAsia" w:ascii="方正仿宋_GB2312" w:hAnsi="方正仿宋_GB2312" w:eastAsia="方正仿宋_GB2312" w:cs="方正仿宋_GB2312"/>
                <w:color w:val="000000"/>
                <w:sz w:val="22"/>
                <w:szCs w:val="22"/>
              </w:rPr>
              <w:t>5</w:t>
            </w:r>
          </w:p>
        </w:tc>
        <w:tc>
          <w:tcPr>
            <w:tcW w:w="1427" w:type="dxa"/>
            <w:tcBorders>
              <w:top w:val="single" w:color="000000" w:sz="4" w:space="0"/>
              <w:left w:val="single" w:color="000000" w:sz="4" w:space="0"/>
              <w:bottom w:val="single" w:color="000000" w:sz="4" w:space="0"/>
              <w:right w:val="single" w:color="000000" w:sz="4" w:space="0"/>
            </w:tcBorders>
            <w:vAlign w:val="center"/>
          </w:tcPr>
          <w:p w14:paraId="66E55D1F">
            <w:pPr>
              <w:keepNext w:val="0"/>
              <w:keepLines w:val="0"/>
              <w:pageBreakBefore w:val="0"/>
              <w:widowControl w:val="0"/>
              <w:kinsoku/>
              <w:wordWrap w:val="0"/>
              <w:overflowPunct/>
              <w:topLinePunct w:val="0"/>
              <w:autoSpaceDE w:val="0"/>
              <w:autoSpaceDN w:val="0"/>
              <w:bidi w:val="0"/>
              <w:adjustRightInd/>
              <w:snapToGrid w:val="0"/>
              <w:spacing w:before="0" w:after="0" w:line="240" w:lineRule="auto"/>
              <w:ind w:left="0" w:leftChars="0" w:right="0" w:rightChars="0" w:firstLine="0" w:firstLineChars="0"/>
              <w:jc w:val="left"/>
              <w:textAlignment w:val="auto"/>
              <w:rPr>
                <w:rFonts w:hint="default" w:ascii="方正仿宋_GB2312" w:hAnsi="方正仿宋_GB2312" w:eastAsia="方正仿宋_GB2312" w:cs="方正仿宋_GB2312"/>
                <w:color w:val="000000"/>
                <w:sz w:val="22"/>
                <w:szCs w:val="22"/>
                <w:lang w:val="en-US" w:eastAsia="zh-CN"/>
              </w:rPr>
            </w:pPr>
            <w:r>
              <w:rPr>
                <w:rFonts w:hint="eastAsia" w:ascii="方正仿宋_GB2312" w:hAnsi="方正仿宋_GB2312" w:eastAsia="方正仿宋_GB2312" w:cs="方正仿宋_GB2312"/>
                <w:color w:val="000000"/>
                <w:sz w:val="22"/>
                <w:szCs w:val="22"/>
                <w:lang w:val="en-US" w:eastAsia="zh-CN"/>
              </w:rPr>
              <w:t>UPS中型机</w:t>
            </w:r>
          </w:p>
        </w:tc>
        <w:tc>
          <w:tcPr>
            <w:tcW w:w="945" w:type="dxa"/>
            <w:tcBorders>
              <w:top w:val="single" w:color="000000" w:sz="4" w:space="0"/>
              <w:left w:val="single" w:color="000000" w:sz="4" w:space="0"/>
              <w:bottom w:val="single" w:color="000000" w:sz="4" w:space="0"/>
              <w:right w:val="single" w:color="000000" w:sz="4" w:space="0"/>
            </w:tcBorders>
            <w:vAlign w:val="center"/>
          </w:tcPr>
          <w:p w14:paraId="6CEC196F">
            <w:pPr>
              <w:keepNext w:val="0"/>
              <w:keepLines w:val="0"/>
              <w:pageBreakBefore w:val="0"/>
              <w:widowControl w:val="0"/>
              <w:kinsoku/>
              <w:wordWrap w:val="0"/>
              <w:overflowPunct/>
              <w:topLinePunct w:val="0"/>
              <w:autoSpaceDE w:val="0"/>
              <w:autoSpaceDN w:val="0"/>
              <w:bidi w:val="0"/>
              <w:adjustRightInd/>
              <w:snapToGrid w:val="0"/>
              <w:spacing w:before="0" w:after="0" w:line="240" w:lineRule="auto"/>
              <w:ind w:left="0" w:leftChars="0" w:right="0" w:rightChars="0" w:firstLine="0" w:firstLineChars="0"/>
              <w:jc w:val="center"/>
              <w:textAlignment w:val="auto"/>
              <w:rPr>
                <w:rFonts w:hint="default" w:ascii="方正仿宋_GB2312" w:hAnsi="方正仿宋_GB2312" w:eastAsia="方正仿宋_GB2312" w:cs="方正仿宋_GB2312"/>
                <w:color w:val="000000"/>
                <w:sz w:val="22"/>
                <w:szCs w:val="22"/>
                <w:lang w:val="en-US"/>
              </w:rPr>
            </w:pPr>
            <w:r>
              <w:rPr>
                <w:rFonts w:hint="eastAsia" w:ascii="方正仿宋_GB2312" w:hAnsi="方正仿宋_GB2312" w:eastAsia="方正仿宋_GB2312" w:cs="方正仿宋_GB2312"/>
                <w:color w:val="000000"/>
                <w:sz w:val="22"/>
                <w:szCs w:val="22"/>
                <w:lang w:val="en-US" w:eastAsia="zh-CN"/>
              </w:rPr>
              <w:t>1台</w:t>
            </w:r>
          </w:p>
        </w:tc>
        <w:tc>
          <w:tcPr>
            <w:tcW w:w="5482" w:type="dxa"/>
            <w:tcBorders>
              <w:top w:val="single" w:color="000000" w:sz="4" w:space="0"/>
              <w:left w:val="single" w:color="000000" w:sz="4" w:space="0"/>
              <w:bottom w:val="single" w:color="000000" w:sz="4" w:space="0"/>
              <w:right w:val="single" w:color="000000" w:sz="4" w:space="0"/>
            </w:tcBorders>
            <w:vAlign w:val="center"/>
          </w:tcPr>
          <w:p w14:paraId="2B9E02B8">
            <w:pPr>
              <w:keepNext w:val="0"/>
              <w:keepLines w:val="0"/>
              <w:pageBreakBefore w:val="0"/>
              <w:widowControl w:val="0"/>
              <w:kinsoku/>
              <w:wordWrap w:val="0"/>
              <w:overflowPunct/>
              <w:topLinePunct w:val="0"/>
              <w:autoSpaceDE w:val="0"/>
              <w:autoSpaceDN w:val="0"/>
              <w:bidi w:val="0"/>
              <w:adjustRightInd/>
              <w:snapToGrid w:val="0"/>
              <w:spacing w:before="0" w:after="0" w:line="240" w:lineRule="auto"/>
              <w:ind w:left="0" w:leftChars="0" w:right="0" w:rightChars="0" w:firstLine="0" w:firstLineChars="0"/>
              <w:jc w:val="left"/>
              <w:textAlignment w:val="auto"/>
              <w:rPr>
                <w:rFonts w:hint="default" w:ascii="方正仿宋_GB2312" w:hAnsi="方正仿宋_GB2312" w:eastAsia="方正仿宋_GB2312" w:cs="方正仿宋_GB2312"/>
                <w:color w:val="000000"/>
                <w:sz w:val="22"/>
                <w:szCs w:val="22"/>
                <w:lang w:val="en-US"/>
              </w:rPr>
            </w:pPr>
            <w:r>
              <w:rPr>
                <w:rFonts w:hint="eastAsia" w:ascii="方正仿宋_GB2312" w:hAnsi="方正仿宋_GB2312" w:eastAsia="方正仿宋_GB2312" w:cs="方正仿宋_GB2312"/>
                <w:color w:val="000000"/>
                <w:sz w:val="22"/>
                <w:szCs w:val="22"/>
              </w:rPr>
              <w:t>购置于201</w:t>
            </w:r>
            <w:r>
              <w:rPr>
                <w:rFonts w:hint="eastAsia" w:ascii="方正仿宋_GB2312" w:hAnsi="方正仿宋_GB2312" w:eastAsia="方正仿宋_GB2312" w:cs="方正仿宋_GB2312"/>
                <w:color w:val="000000"/>
                <w:sz w:val="22"/>
                <w:szCs w:val="22"/>
                <w:lang w:val="en-US" w:eastAsia="zh-CN"/>
              </w:rPr>
              <w:t>2</w:t>
            </w:r>
            <w:r>
              <w:rPr>
                <w:rFonts w:hint="eastAsia" w:ascii="方正仿宋_GB2312" w:hAnsi="方正仿宋_GB2312" w:eastAsia="方正仿宋_GB2312" w:cs="方正仿宋_GB2312"/>
                <w:color w:val="000000"/>
                <w:sz w:val="22"/>
                <w:szCs w:val="22"/>
              </w:rPr>
              <w:t>年</w:t>
            </w:r>
            <w:r>
              <w:rPr>
                <w:rFonts w:hint="eastAsia" w:ascii="方正仿宋_GB2312" w:hAnsi="方正仿宋_GB2312" w:eastAsia="方正仿宋_GB2312" w:cs="方正仿宋_GB2312"/>
                <w:color w:val="000000"/>
                <w:sz w:val="22"/>
                <w:szCs w:val="22"/>
                <w:lang w:val="en-US" w:eastAsia="zh-CN"/>
              </w:rPr>
              <w:t>12月</w:t>
            </w:r>
            <w:r>
              <w:rPr>
                <w:rFonts w:hint="eastAsia" w:ascii="方正仿宋_GB2312" w:hAnsi="方正仿宋_GB2312" w:eastAsia="方正仿宋_GB2312" w:cs="方正仿宋_GB2312"/>
                <w:color w:val="000000"/>
                <w:sz w:val="22"/>
                <w:szCs w:val="22"/>
              </w:rPr>
              <w:t>。</w:t>
            </w:r>
            <w:r>
              <w:rPr>
                <w:rFonts w:hint="eastAsia" w:ascii="方正仿宋_GB2312" w:hAnsi="方正仿宋_GB2312" w:eastAsia="方正仿宋_GB2312" w:cs="方正仿宋_GB2312"/>
                <w:color w:val="000000"/>
                <w:sz w:val="22"/>
                <w:szCs w:val="22"/>
                <w:lang w:val="en-US" w:eastAsia="zh-CN"/>
              </w:rPr>
              <w:t>规格型号：SYCF PX 48KH</w:t>
            </w:r>
          </w:p>
        </w:tc>
      </w:tr>
    </w:tbl>
    <w:p w14:paraId="0D78E6A2">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780"/>
        <w:jc w:val="both"/>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详细清单详见附件，具体以现场勘查为准。</w:t>
      </w:r>
    </w:p>
    <w:p w14:paraId="63B3CB5D">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780"/>
        <w:jc w:val="both"/>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1．可现场勘查时间及地点</w:t>
      </w:r>
    </w:p>
    <w:p w14:paraId="4009B05A">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780"/>
        <w:jc w:val="both"/>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时间：2025年</w:t>
      </w:r>
      <w:bookmarkStart w:id="0" w:name="_GoBack"/>
      <w:bookmarkEnd w:id="0"/>
      <w:r>
        <w:rPr>
          <w:rFonts w:hint="eastAsia" w:ascii="方正仿宋_GB2312" w:hAnsi="方正仿宋_GB2312" w:eastAsia="方正仿宋_GB2312" w:cs="方正仿宋_GB2312"/>
          <w:color w:val="000000"/>
          <w:sz w:val="32"/>
          <w:szCs w:val="32"/>
        </w:rPr>
        <w:t>1</w:t>
      </w:r>
      <w:r>
        <w:rPr>
          <w:rFonts w:hint="eastAsia" w:ascii="方正仿宋_GB2312" w:hAnsi="方正仿宋_GB2312" w:eastAsia="方正仿宋_GB2312" w:cs="方正仿宋_GB2312"/>
          <w:color w:val="000000"/>
          <w:sz w:val="32"/>
          <w:szCs w:val="32"/>
          <w:lang w:val="en-US" w:eastAsia="zh-CN"/>
        </w:rPr>
        <w:t>1</w:t>
      </w:r>
      <w:r>
        <w:rPr>
          <w:rFonts w:hint="eastAsia" w:ascii="方正仿宋_GB2312" w:hAnsi="方正仿宋_GB2312" w:eastAsia="方正仿宋_GB2312" w:cs="方正仿宋_GB2312"/>
          <w:color w:val="000000"/>
          <w:sz w:val="32"/>
          <w:szCs w:val="32"/>
        </w:rPr>
        <w:t>月</w:t>
      </w:r>
      <w:r>
        <w:rPr>
          <w:rFonts w:hint="eastAsia" w:ascii="方正仿宋_GB2312" w:hAnsi="方正仿宋_GB2312" w:eastAsia="方正仿宋_GB2312" w:cs="方正仿宋_GB2312"/>
          <w:color w:val="000000"/>
          <w:sz w:val="32"/>
          <w:szCs w:val="32"/>
          <w:lang w:val="en-US" w:eastAsia="zh-CN"/>
        </w:rPr>
        <w:t>11</w:t>
      </w:r>
      <w:r>
        <w:rPr>
          <w:rFonts w:hint="eastAsia" w:ascii="方正仿宋_GB2312" w:hAnsi="方正仿宋_GB2312" w:eastAsia="方正仿宋_GB2312" w:cs="方正仿宋_GB2312"/>
          <w:color w:val="000000"/>
          <w:sz w:val="32"/>
          <w:szCs w:val="32"/>
        </w:rPr>
        <w:t>-2</w:t>
      </w:r>
      <w:r>
        <w:rPr>
          <w:rFonts w:hint="eastAsia" w:ascii="方正仿宋_GB2312" w:hAnsi="方正仿宋_GB2312" w:eastAsia="方正仿宋_GB2312" w:cs="方正仿宋_GB2312"/>
          <w:color w:val="000000"/>
          <w:sz w:val="32"/>
          <w:szCs w:val="32"/>
          <w:lang w:val="en-US" w:eastAsia="zh-CN"/>
        </w:rPr>
        <w:t>2</w:t>
      </w:r>
      <w:r>
        <w:rPr>
          <w:rFonts w:hint="eastAsia" w:ascii="方正仿宋_GB2312" w:hAnsi="方正仿宋_GB2312" w:eastAsia="方正仿宋_GB2312" w:cs="方正仿宋_GB2312"/>
          <w:color w:val="000000"/>
          <w:sz w:val="32"/>
          <w:szCs w:val="32"/>
        </w:rPr>
        <w:t>日，需提前预约。</w:t>
      </w:r>
    </w:p>
    <w:p w14:paraId="683ECCCE">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780"/>
        <w:jc w:val="both"/>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地点：</w:t>
      </w:r>
      <w:r>
        <w:rPr>
          <w:rFonts w:hint="eastAsia" w:ascii="方正仿宋_GB2312" w:hAnsi="方正仿宋_GB2312" w:eastAsia="方正仿宋_GB2312" w:cs="方正仿宋_GB2312"/>
          <w:color w:val="000000"/>
          <w:sz w:val="32"/>
          <w:szCs w:val="32"/>
          <w:lang w:val="en-US" w:eastAsia="zh-CN"/>
        </w:rPr>
        <w:t>乌鲁木齐市天山区时代广场的D座</w:t>
      </w:r>
      <w:r>
        <w:rPr>
          <w:rFonts w:hint="eastAsia" w:ascii="方正仿宋_GB2312" w:hAnsi="方正仿宋_GB2312" w:eastAsia="方正仿宋_GB2312" w:cs="方正仿宋_GB2312"/>
          <w:color w:val="000000"/>
          <w:sz w:val="32"/>
          <w:szCs w:val="32"/>
        </w:rPr>
        <w:t>中国进出口银行</w:t>
      </w:r>
      <w:r>
        <w:rPr>
          <w:rFonts w:hint="eastAsia" w:ascii="方正仿宋_GB2312" w:hAnsi="方正仿宋_GB2312" w:eastAsia="方正仿宋_GB2312" w:cs="方正仿宋_GB2312"/>
          <w:color w:val="000000"/>
          <w:sz w:val="32"/>
          <w:szCs w:val="32"/>
          <w:lang w:eastAsia="zh-CN"/>
        </w:rPr>
        <w:t>新疆维吾尔自治区</w:t>
      </w:r>
      <w:r>
        <w:rPr>
          <w:rFonts w:hint="eastAsia" w:ascii="方正仿宋_GB2312" w:hAnsi="方正仿宋_GB2312" w:eastAsia="方正仿宋_GB2312" w:cs="方正仿宋_GB2312"/>
          <w:color w:val="000000"/>
          <w:sz w:val="32"/>
          <w:szCs w:val="32"/>
        </w:rPr>
        <w:t>分行。</w:t>
      </w:r>
    </w:p>
    <w:p w14:paraId="5BCB944F">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780"/>
        <w:jc w:val="both"/>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2．竞价成功后，本标的物竞得者将竞价款在5个工作日内缴入中国进出口银行</w:t>
      </w:r>
      <w:r>
        <w:rPr>
          <w:rFonts w:hint="eastAsia" w:ascii="方正仿宋_GB2312" w:hAnsi="方正仿宋_GB2312" w:eastAsia="方正仿宋_GB2312" w:cs="方正仿宋_GB2312"/>
          <w:color w:val="000000"/>
          <w:sz w:val="32"/>
          <w:szCs w:val="32"/>
          <w:lang w:eastAsia="zh-CN"/>
        </w:rPr>
        <w:t>新疆维吾尔自治区</w:t>
      </w:r>
      <w:r>
        <w:rPr>
          <w:rFonts w:hint="eastAsia" w:ascii="方正仿宋_GB2312" w:hAnsi="方正仿宋_GB2312" w:eastAsia="方正仿宋_GB2312" w:cs="方正仿宋_GB2312"/>
          <w:color w:val="000000"/>
          <w:sz w:val="32"/>
          <w:szCs w:val="32"/>
        </w:rPr>
        <w:t>分行指定账户并提供转账凭据（户名：中国进出口银行</w:t>
      </w:r>
      <w:r>
        <w:rPr>
          <w:rFonts w:hint="eastAsia" w:ascii="方正仿宋_GB2312" w:hAnsi="方正仿宋_GB2312" w:eastAsia="方正仿宋_GB2312" w:cs="方正仿宋_GB2312"/>
          <w:color w:val="000000"/>
          <w:sz w:val="32"/>
          <w:szCs w:val="32"/>
          <w:lang w:eastAsia="zh-CN"/>
        </w:rPr>
        <w:t>新疆维吾尔自治区</w:t>
      </w:r>
      <w:r>
        <w:rPr>
          <w:rFonts w:hint="eastAsia" w:ascii="方正仿宋_GB2312" w:hAnsi="方正仿宋_GB2312" w:eastAsia="方正仿宋_GB2312" w:cs="方正仿宋_GB2312"/>
          <w:color w:val="000000"/>
          <w:sz w:val="32"/>
          <w:szCs w:val="32"/>
        </w:rPr>
        <w:t>分行，开户银行：</w:t>
      </w:r>
      <w:r>
        <w:rPr>
          <w:rFonts w:hint="eastAsia" w:ascii="方正仿宋_GB2312" w:hAnsi="方正仿宋_GB2312" w:eastAsia="方正仿宋_GB2312" w:cs="方正仿宋_GB2312"/>
          <w:color w:val="000000"/>
          <w:sz w:val="32"/>
          <w:szCs w:val="32"/>
          <w:lang w:val="en-US" w:eastAsia="zh-CN"/>
        </w:rPr>
        <w:t>招商银行乌鲁木齐中山路支行</w:t>
      </w:r>
      <w:r>
        <w:rPr>
          <w:rFonts w:hint="eastAsia" w:ascii="方正仿宋_GB2312" w:hAnsi="方正仿宋_GB2312" w:eastAsia="方正仿宋_GB2312" w:cs="方正仿宋_GB2312"/>
          <w:color w:val="000000"/>
          <w:sz w:val="32"/>
          <w:szCs w:val="32"/>
        </w:rPr>
        <w:t>，账号：</w:t>
      </w:r>
      <w:r>
        <w:rPr>
          <w:rFonts w:hint="eastAsia" w:ascii="方正仿宋_GB2312" w:hAnsi="方正仿宋_GB2312" w:eastAsia="方正仿宋_GB2312" w:cs="方正仿宋_GB2312"/>
          <w:color w:val="000000"/>
          <w:sz w:val="32"/>
          <w:szCs w:val="32"/>
          <w:lang w:val="en-US" w:eastAsia="zh-CN"/>
        </w:rPr>
        <w:t>991903160010101</w:t>
      </w:r>
      <w:r>
        <w:rPr>
          <w:rFonts w:hint="eastAsia" w:ascii="方正仿宋_GB2312" w:hAnsi="方正仿宋_GB2312" w:eastAsia="方正仿宋_GB2312" w:cs="方正仿宋_GB2312"/>
          <w:color w:val="000000"/>
          <w:sz w:val="32"/>
          <w:szCs w:val="32"/>
        </w:rPr>
        <w:t>）。</w:t>
      </w:r>
    </w:p>
    <w:p w14:paraId="5CE5B729">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780"/>
        <w:jc w:val="both"/>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3．本标的物竞得者付清全部竞价款项后，方可与我行办理相关标的物的交接、搬运和清理工作。其中本标的物竞得者须按照我行指定时间前将标的物全部搬运完毕，逾期未能搬运完毕的，视为放弃所有权。</w:t>
      </w:r>
    </w:p>
    <w:p w14:paraId="7DFBD287">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780"/>
        <w:jc w:val="both"/>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六、报价文件递交截止时间</w:t>
      </w:r>
    </w:p>
    <w:p w14:paraId="68DC4365">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780"/>
        <w:jc w:val="both"/>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2025年1</w:t>
      </w:r>
      <w:r>
        <w:rPr>
          <w:rFonts w:hint="eastAsia" w:ascii="方正仿宋_GB2312" w:hAnsi="方正仿宋_GB2312" w:eastAsia="方正仿宋_GB2312" w:cs="方正仿宋_GB2312"/>
          <w:color w:val="000000"/>
          <w:sz w:val="32"/>
          <w:szCs w:val="32"/>
          <w:lang w:val="en-US" w:eastAsia="zh-CN"/>
        </w:rPr>
        <w:t>1</w:t>
      </w:r>
      <w:r>
        <w:rPr>
          <w:rFonts w:hint="eastAsia" w:ascii="方正仿宋_GB2312" w:hAnsi="方正仿宋_GB2312" w:eastAsia="方正仿宋_GB2312" w:cs="方正仿宋_GB2312"/>
          <w:color w:val="000000"/>
          <w:sz w:val="32"/>
          <w:szCs w:val="32"/>
        </w:rPr>
        <w:t>月</w:t>
      </w:r>
      <w:r>
        <w:rPr>
          <w:rFonts w:hint="eastAsia" w:ascii="方正仿宋_GB2312" w:hAnsi="方正仿宋_GB2312" w:eastAsia="方正仿宋_GB2312" w:cs="方正仿宋_GB2312"/>
          <w:color w:val="000000"/>
          <w:sz w:val="32"/>
          <w:szCs w:val="32"/>
          <w:lang w:val="en-US" w:eastAsia="zh-CN"/>
        </w:rPr>
        <w:t>26</w:t>
      </w:r>
      <w:r>
        <w:rPr>
          <w:rFonts w:hint="eastAsia" w:ascii="方正仿宋_GB2312" w:hAnsi="方正仿宋_GB2312" w:eastAsia="方正仿宋_GB2312" w:cs="方正仿宋_GB2312"/>
          <w:color w:val="000000"/>
          <w:sz w:val="32"/>
          <w:szCs w:val="32"/>
        </w:rPr>
        <w:t>日下午17:00截止，超过有效时限为无效报价。</w:t>
      </w:r>
    </w:p>
    <w:p w14:paraId="3D67CF23">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780"/>
        <w:jc w:val="both"/>
        <w:textAlignment w:val="auto"/>
        <w:rPr>
          <w:rFonts w:hint="eastAsia" w:ascii="方正仿宋_GB2312" w:hAnsi="方正仿宋_GB2312" w:eastAsia="方正仿宋_GB2312" w:cs="方正仿宋_GB2312"/>
          <w:color w:val="000000"/>
          <w:sz w:val="32"/>
          <w:szCs w:val="32"/>
        </w:rPr>
      </w:pPr>
      <w:r>
        <w:rPr>
          <w:rFonts w:hint="eastAsia" w:ascii="方正仿宋_GB2312" w:hAnsi="方正仿宋_GB2312" w:eastAsia="方正仿宋_GB2312" w:cs="方正仿宋_GB2312"/>
          <w:color w:val="000000"/>
          <w:sz w:val="32"/>
          <w:szCs w:val="32"/>
        </w:rPr>
        <w:t>七、报价文件递交地点</w:t>
      </w:r>
    </w:p>
    <w:p w14:paraId="09446A23">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780"/>
        <w:jc w:val="both"/>
        <w:textAlignment w:val="auto"/>
        <w:rPr>
          <w:rFonts w:hint="eastAsia" w:ascii="方正仿宋_GB2312" w:hAnsi="方正仿宋_GB2312" w:eastAsia="方正仿宋_GB2312" w:cs="方正仿宋_GB2312"/>
          <w:color w:val="000000"/>
          <w:sz w:val="32"/>
          <w:szCs w:val="32"/>
          <w:lang w:val="en-US" w:eastAsia="zh-CN"/>
        </w:rPr>
      </w:pPr>
      <w:r>
        <w:rPr>
          <w:rFonts w:hint="eastAsia" w:ascii="方正仿宋_GB2312" w:hAnsi="方正仿宋_GB2312" w:eastAsia="方正仿宋_GB2312" w:cs="方正仿宋_GB2312"/>
          <w:color w:val="000000"/>
          <w:sz w:val="32"/>
          <w:szCs w:val="32"/>
        </w:rPr>
        <w:t>地址：</w:t>
      </w:r>
      <w:r>
        <w:rPr>
          <w:rFonts w:hint="eastAsia" w:ascii="方正仿宋_GB2312" w:hAnsi="方正仿宋_GB2312" w:eastAsia="方正仿宋_GB2312" w:cs="方正仿宋_GB2312"/>
          <w:color w:val="000000"/>
          <w:sz w:val="32"/>
          <w:szCs w:val="32"/>
          <w:lang w:val="en-US" w:eastAsia="zh-CN"/>
        </w:rPr>
        <w:t>乌鲁木齐市天山区时代广场的D座</w:t>
      </w:r>
    </w:p>
    <w:p w14:paraId="0EA02B9F">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780"/>
        <w:jc w:val="both"/>
        <w:textAlignment w:val="auto"/>
        <w:rPr>
          <w:rFonts w:hint="eastAsia" w:ascii="方正仿宋_GB2312" w:hAnsi="方正仿宋_GB2312" w:eastAsia="方正仿宋_GB2312" w:cs="方正仿宋_GB2312"/>
          <w:color w:val="000000"/>
          <w:sz w:val="32"/>
          <w:szCs w:val="32"/>
          <w:lang w:val="en-US" w:eastAsia="zh-CN"/>
        </w:rPr>
      </w:pPr>
      <w:r>
        <w:rPr>
          <w:rFonts w:hint="eastAsia" w:ascii="方正仿宋_GB2312" w:hAnsi="方正仿宋_GB2312" w:eastAsia="方正仿宋_GB2312" w:cs="方正仿宋_GB2312"/>
          <w:color w:val="000000"/>
          <w:sz w:val="32"/>
          <w:szCs w:val="32"/>
        </w:rPr>
        <w:t>联系人：</w:t>
      </w:r>
      <w:r>
        <w:rPr>
          <w:rFonts w:hint="eastAsia" w:ascii="方正仿宋_GB2312" w:hAnsi="方正仿宋_GB2312" w:eastAsia="方正仿宋_GB2312" w:cs="方正仿宋_GB2312"/>
          <w:color w:val="000000"/>
          <w:sz w:val="32"/>
          <w:szCs w:val="32"/>
          <w:lang w:val="en-US" w:eastAsia="zh-CN"/>
        </w:rPr>
        <w:t>王经理</w:t>
      </w:r>
    </w:p>
    <w:p w14:paraId="76105777">
      <w:pPr>
        <w:keepNext w:val="0"/>
        <w:keepLines w:val="0"/>
        <w:pageBreakBefore w:val="0"/>
        <w:widowControl w:val="0"/>
        <w:kinsoku/>
        <w:wordWrap w:val="0"/>
        <w:overflowPunct/>
        <w:topLinePunct w:val="0"/>
        <w:autoSpaceDE w:val="0"/>
        <w:autoSpaceDN w:val="0"/>
        <w:bidi w:val="0"/>
        <w:adjustRightInd/>
        <w:snapToGrid/>
        <w:spacing w:before="0" w:after="0" w:line="560" w:lineRule="exact"/>
        <w:ind w:firstLine="780"/>
        <w:jc w:val="both"/>
        <w:textAlignment w:val="auto"/>
        <w:rPr>
          <w:rFonts w:hint="default" w:ascii="方正仿宋_GB2312" w:hAnsi="方正仿宋_GB2312" w:eastAsia="方正仿宋_GB2312" w:cs="方正仿宋_GB2312"/>
          <w:color w:val="000000"/>
          <w:sz w:val="32"/>
          <w:szCs w:val="32"/>
          <w:lang w:val="en-US" w:eastAsia="zh-CN"/>
        </w:rPr>
      </w:pPr>
      <w:r>
        <w:rPr>
          <w:rFonts w:hint="eastAsia" w:ascii="方正仿宋_GB2312" w:hAnsi="方正仿宋_GB2312" w:eastAsia="方正仿宋_GB2312" w:cs="方正仿宋_GB2312"/>
          <w:color w:val="000000"/>
          <w:sz w:val="32"/>
          <w:szCs w:val="32"/>
        </w:rPr>
        <w:t>电话：</w:t>
      </w:r>
      <w:r>
        <w:rPr>
          <w:rFonts w:hint="eastAsia" w:ascii="方正仿宋_GB2312" w:hAnsi="方正仿宋_GB2312" w:eastAsia="方正仿宋_GB2312" w:cs="方正仿宋_GB2312"/>
          <w:color w:val="000000"/>
          <w:sz w:val="32"/>
          <w:szCs w:val="32"/>
          <w:lang w:val="en-US" w:eastAsia="zh-CN"/>
        </w:rPr>
        <w:t>0991</w:t>
      </w:r>
      <w:r>
        <w:rPr>
          <w:rFonts w:hint="eastAsia" w:ascii="方正仿宋_GB2312" w:hAnsi="方正仿宋_GB2312" w:eastAsia="方正仿宋_GB2312" w:cs="方正仿宋_GB2312"/>
          <w:color w:val="000000"/>
          <w:sz w:val="32"/>
          <w:szCs w:val="32"/>
        </w:rPr>
        <w:t>-</w:t>
      </w:r>
      <w:r>
        <w:rPr>
          <w:rFonts w:hint="eastAsia" w:ascii="方正仿宋_GB2312" w:hAnsi="方正仿宋_GB2312" w:eastAsia="方正仿宋_GB2312" w:cs="方正仿宋_GB2312"/>
          <w:color w:val="000000"/>
          <w:sz w:val="32"/>
          <w:szCs w:val="32"/>
          <w:lang w:val="en-US" w:eastAsia="zh-CN"/>
        </w:rPr>
        <w:t>2682585</w:t>
      </w:r>
      <w:r>
        <w:rPr>
          <w:rFonts w:hint="eastAsia" w:ascii="方正仿宋_GB2312" w:hAnsi="方正仿宋_GB2312" w:eastAsia="方正仿宋_GB2312" w:cs="方正仿宋_GB2312"/>
          <w:color w:val="000000"/>
          <w:sz w:val="32"/>
          <w:szCs w:val="32"/>
        </w:rPr>
        <w:t>、</w:t>
      </w:r>
      <w:r>
        <w:rPr>
          <w:rFonts w:hint="eastAsia" w:ascii="方正仿宋_GB2312" w:hAnsi="方正仿宋_GB2312" w:eastAsia="方正仿宋_GB2312" w:cs="方正仿宋_GB2312"/>
          <w:color w:val="000000"/>
          <w:sz w:val="32"/>
          <w:szCs w:val="32"/>
          <w:lang w:val="en-US" w:eastAsia="zh-CN"/>
        </w:rPr>
        <w:t>18160610110</w:t>
      </w:r>
    </w:p>
    <w:p w14:paraId="1B2DB2E9">
      <w:pPr>
        <w:keepNext w:val="0"/>
        <w:keepLines w:val="0"/>
        <w:pageBreakBefore w:val="0"/>
        <w:widowControl w:val="0"/>
        <w:numPr>
          <w:ilvl w:val="0"/>
          <w:numId w:val="0"/>
        </w:numPr>
        <w:kinsoku/>
        <w:overflowPunct/>
        <w:topLinePunct w:val="0"/>
        <w:bidi w:val="0"/>
        <w:adjustRightInd/>
        <w:spacing w:line="560" w:lineRule="exact"/>
        <w:textAlignment w:val="auto"/>
        <w:rPr>
          <w:rFonts w:hint="eastAsia" w:ascii="方正仿宋_GB2312" w:hAnsi="方正仿宋_GB2312" w:eastAsia="方正仿宋_GB2312" w:cs="方正仿宋_GB2312"/>
          <w:color w:val="000000"/>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方正仿宋_GB2312">
    <w:panose1 w:val="02000000000000000000"/>
    <w:charset w:val="86"/>
    <w:family w:val="auto"/>
    <w:pitch w:val="default"/>
    <w:sig w:usb0="A00002BF" w:usb1="184F6CFA"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D69889"/>
    <w:multiLevelType w:val="singleLevel"/>
    <w:tmpl w:val="1ED69889"/>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B66974"/>
    <w:rsid w:val="11873198"/>
    <w:rsid w:val="37B66974"/>
    <w:rsid w:val="3A2F3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921</Words>
  <Characters>1066</Characters>
  <Lines>0</Lines>
  <Paragraphs>0</Paragraphs>
  <TotalTime>2882</TotalTime>
  <ScaleCrop>false</ScaleCrop>
  <LinksUpToDate>false</LinksUpToDate>
  <CharactersWithSpaces>1068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2025-11-04T10:08:00Z</dcterms:created>
  <dc:creator>东海王</dc:creator>
  <cp:lastModifiedBy>东海王</cp:lastModifiedBy>
  <dcterms:modified xsi:type="dcterms:W3CDTF">2025-11-21T05:42:10Z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2D7B3CE87AF64063822C34E2EC956F47_11</vt:lpwstr>
  </property>
  <property fmtid="{D5CDD505-2E9C-101B-9397-08002B2CF9AE}" pid="4" name="KSOTemplateDocerSaveRecord">
    <vt:lpwstr>eyJoZGlkIjoiNDI1NGQ4MDY4NjMxYWVlMzc3ODM2NDE0MmU1ODUxYzYiLCJ1c2VySWQiOiIyNjkyMDMwMDIifQ==</vt:lpwstr>
  </property>
</Properties>
</file>