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cs="Times New Roman"/>
          <w:bCs/>
          <w:snapToGrid w:val="0"/>
          <w:kern w:val="0"/>
          <w:sz w:val="44"/>
          <w:szCs w:val="44"/>
        </w:rPr>
      </w:pPr>
      <w:r>
        <w:rPr>
          <w:rFonts w:hint="eastAsia" w:ascii="彩虹小标宋" w:hAnsi="Calibri" w:eastAsia="彩虹小标宋" w:cs="Times New Roman"/>
          <w:sz w:val="44"/>
          <w:szCs w:val="44"/>
        </w:rPr>
        <w:t>中国建设银行河南省分行全省县域营业网点尾箱寄库保管服务项目（驻马店遂平等支行）</w:t>
      </w:r>
      <w:r>
        <w:rPr>
          <w:rFonts w:hint="eastAsia" w:ascii="彩虹小标宋" w:hAnsi="宋体" w:eastAsia="彩虹小标宋" w:cs="Times New Roman"/>
          <w:bCs/>
          <w:snapToGrid w:val="0"/>
          <w:kern w:val="0"/>
          <w:sz w:val="44"/>
          <w:szCs w:val="44"/>
        </w:rPr>
        <w:t>采购需求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p>
    <w:p>
      <w:pPr>
        <w:adjustRightInd w:val="0"/>
        <w:snapToGrid w:val="0"/>
        <w:spacing w:line="560" w:lineRule="atLeast"/>
        <w:ind w:firstLine="709"/>
        <w:rPr>
          <w:rFonts w:ascii="彩虹黑体" w:eastAsia="彩虹黑体"/>
          <w:bCs/>
          <w:sz w:val="32"/>
          <w:szCs w:val="32"/>
        </w:rPr>
      </w:pPr>
      <w:r>
        <w:rPr>
          <w:rFonts w:hint="eastAsia" w:ascii="彩虹黑体" w:hAnsi="宋体" w:eastAsia="彩虹黑体" w:cs="Times New Roman"/>
          <w:snapToGrid w:val="0"/>
          <w:kern w:val="0"/>
          <w:sz w:val="32"/>
          <w:szCs w:val="32"/>
        </w:rPr>
        <w:t>一、</w:t>
      </w:r>
      <w:r>
        <w:rPr>
          <w:rFonts w:hint="eastAsia" w:ascii="彩虹黑体" w:eastAsia="彩虹黑体"/>
          <w:bCs/>
          <w:sz w:val="32"/>
          <w:szCs w:val="32"/>
        </w:rPr>
        <w:t>供应商资质要求</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（一）具有独立法人资格，具有有效的营业执照，自有或租赁的金库具有公安机关颁发的金库安全防范合格证。</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（二）正常经营，财务状况良好</w:t>
      </w:r>
      <w:r>
        <w:rPr>
          <w:rFonts w:hint="eastAsia" w:ascii="彩虹粗仿宋" w:hAnsi="Calibri" w:eastAsia="彩虹粗仿宋" w:cs="Times New Roman"/>
          <w:sz w:val="32"/>
          <w:szCs w:val="32"/>
        </w:rPr>
        <w:t>，提供2021年至2023年经审计的财务报告或财务报表（新成立企业从成立之日起算，若企业成立不足一年，须提供基本户银行出具的资信证明）</w:t>
      </w:r>
      <w:r>
        <w:rPr>
          <w:rFonts w:hint="eastAsia" w:ascii="彩虹粗仿宋" w:eastAsia="彩虹粗仿宋"/>
          <w:sz w:val="32"/>
          <w:szCs w:val="32"/>
        </w:rPr>
        <w:t>。</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（三）近三年具有</w:t>
      </w:r>
      <w:r>
        <w:rPr>
          <w:rFonts w:hint="eastAsia" w:ascii="彩虹粗仿宋" w:hAnsi="Calibri" w:eastAsia="彩虹粗仿宋" w:cs="Times New Roman"/>
          <w:sz w:val="32"/>
          <w:szCs w:val="32"/>
        </w:rPr>
        <w:t>银行尾箱寄库保管同类项目经验</w:t>
      </w:r>
      <w:r>
        <w:rPr>
          <w:rFonts w:hint="eastAsia" w:ascii="彩虹粗仿宋" w:eastAsia="彩虹粗仿宋"/>
          <w:sz w:val="32"/>
          <w:szCs w:val="32"/>
        </w:rPr>
        <w:t>。</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（四）外商独资、中外合资、中外合作的公司不得参与（根据保安服务管理条例第二十二条规定）。</w:t>
      </w:r>
    </w:p>
    <w:p>
      <w:pPr>
        <w:adjustRightInd w:val="0"/>
        <w:snapToGrid w:val="0"/>
        <w:spacing w:line="560" w:lineRule="exact"/>
        <w:ind w:firstLine="563" w:firstLineChars="176"/>
        <w:rPr>
          <w:rFonts w:ascii="彩虹粗仿宋" w:eastAsia="彩虹粗仿宋"/>
          <w:sz w:val="32"/>
          <w:szCs w:val="32"/>
        </w:rPr>
      </w:pPr>
      <w:r>
        <w:rPr>
          <w:rFonts w:hint="eastAsia" w:ascii="彩虹粗仿宋" w:eastAsia="彩虹粗仿宋"/>
          <w:sz w:val="32"/>
          <w:szCs w:val="32"/>
        </w:rPr>
        <w:t>(五）</w:t>
      </w:r>
      <w:r>
        <w:rPr>
          <w:rFonts w:hint="eastAsia" w:ascii="彩虹粗仿宋" w:hAnsi="Calibri" w:eastAsia="彩虹粗仿宋" w:cs="Times New Roman"/>
          <w:sz w:val="32"/>
          <w:szCs w:val="32"/>
        </w:rPr>
        <w:t>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adjustRightInd w:val="0"/>
        <w:snapToGrid w:val="0"/>
        <w:spacing w:line="560" w:lineRule="exact"/>
        <w:ind w:left="420" w:leftChars="200" w:firstLine="227" w:firstLineChars="71"/>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本次尾箱寄库保管外包采购事项、涉及全省16个二级分（支）行74个县域的170个营业网点，共需寄存尾箱约349个 ，供应商将我行营业网点装有现金、贵金属、有价证券、重要凭证等重要物品的尾箱进行安全保管，并承担相应风险和责任，我行按其实际提供服务的时效性、规范性、质量、数量等成效综合计价付费的业务合作模式。</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（一）服务团队人员职责</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1.按时保质保量完成外包项目；配合需求单位完成阶段性和临时性任务；配合完成其他与外包事项有关的合理性工作。</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2.职业道德要求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（1）恪守职业道德，自觉维护我行利益。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（2）主动与我行协作、相互支持、相互配合，营造融洽的合作氛围</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（二）项目管理方案</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1.供应商所提供的保管库房应符合国家规范、经当地公安机关认可、符合《银行业务库安全防范的要求》标准在合同履行期间保持各项设施性能良好。出入库时间应满足当地营业网点工作需要，以确保寄库尾箱及时送达营业网点，保证正常营业。</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2.</w:t>
      </w:r>
      <w:r>
        <w:rPr>
          <w:rFonts w:hint="eastAsia" w:ascii="Times New Roman" w:hAnsi="Times New Roman" w:eastAsia="宋体" w:cs="Times New Roman"/>
          <w:szCs w:val="24"/>
        </w:rPr>
        <w:t xml:space="preserve"> </w:t>
      </w:r>
      <w:r>
        <w:rPr>
          <w:rFonts w:hint="eastAsia" w:ascii="彩虹粗仿宋" w:hAnsi="华文楷体" w:eastAsia="彩虹粗仿宋"/>
          <w:sz w:val="32"/>
          <w:szCs w:val="32"/>
        </w:rPr>
        <w:t>突发和应急事件管理</w:t>
      </w:r>
    </w:p>
    <w:p>
      <w:pPr>
        <w:adjustRightInd w:val="0"/>
        <w:snapToGrid w:val="0"/>
        <w:spacing w:line="560" w:lineRule="atLeast"/>
        <w:ind w:firstLine="640" w:firstLineChars="200"/>
        <w:rPr>
          <w:rFonts w:ascii="彩虹粗仿宋" w:hAnsi="华文楷体" w:eastAsia="彩虹粗仿宋"/>
          <w:sz w:val="32"/>
          <w:szCs w:val="32"/>
        </w:rPr>
      </w:pPr>
      <w:r>
        <w:rPr>
          <w:rFonts w:hint="eastAsia" w:ascii="彩虹粗仿宋" w:hAnsi="华文楷体" w:eastAsia="彩虹粗仿宋"/>
          <w:sz w:val="32"/>
          <w:szCs w:val="32"/>
        </w:rPr>
        <w:t>当遇到突发或应急事件时，行方监督供应商按照应急事件处理方案，在保证我行尾箱安全的前提下，采取有效措施，保证尾箱安全保管和按时出入库。</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（三）服务团队人员培训计划</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1.培训目标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提高员工的业务素质和服务水平，使其具备良好的职业道德和职业素养。</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（2）增强员工的安全防范意识和应急处理能力，确保客户单位的安全。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（3）培养员工的团队协作精神和服务意识，提高整体工作效率。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2.培训内容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（1）业务知识培训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工作职责与要求、工作规程与操作流程、客户单位安全管理与服务要求，法律法规及相关政策知识。</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 技能培训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基本武术、擒拿格斗技能、消防知识和技能、急救知识和技能、交通指挥与疏导技能、监控设备操作与维护技能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（3）服务意识培训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服务礼仪与沟通技巧、客户关系管理与维护、投诉处理与满意度提升，优质服务案例分享与学习。</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（4）安全防范意识培训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安全防范知识普及、安全隐患识别与排查、应急预案制定与演练，安全事故处理与报告。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（5） 团队协作培训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团队建设与凝聚力提升、分工合作与协同作战、信息沟通与资源共享，团队活动组织与参与。</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3.培训方式与方法</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理论授课、实操演练、视频教学、专家讲座、分组讨论，实地考察等。</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4.培训时间与周期</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新员工入职培训：新员工入职后进行为期一周的集中培训。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（2）在职员工定期培训：每季度进行一次为期1-2天的集中培训，每年进行一次为期1周的全面培训。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（3）专项培训：根据工作需要，对特定岗位或项目进行针对性的专项培训。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（四）风险控制和应急措施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1.风险控制措施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禁止供应商以建设银行名义进行用工管理或开展生产经营活动。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日常管理、监督和检查。本外包事项的日常管理具体由县域网点所属二级分（支）行负责，每季度召开一次联席会，定期对外包服务进行检查，每季度至少开展一次检查，并形成检查报告；每年度结束后，根据检查报告形成年度评估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明确责任，防范风险。按照我行有关规定，规范对业务外包用工风险管理，供应商同时通过工作合同、规章对外包人员的行为做出约束，并与外包人员签订《保密协议》，严格防范操作风险、声誉风险及其它风险。</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在外包服务过程中如出现我行财物损失、信息泄露等风险，外包服务公司需要在第一时间向我行报告，在处理风险事项过程中要实时向我行报告进展情况，风险解除后，形成书面报告报送我行，我行综合评估后确定是否继续开展外包事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（2）外包争端的解决</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外包协议有效期内若发生争议，应本着友好协商的态度加以妥善解决。协商不成的，向支行所在地人民法院起诉。诉讼期间，外包协议不涉及争议的条款，双方仍需继续履行。</w:t>
      </w:r>
    </w:p>
    <w:p>
      <w:pPr>
        <w:adjustRightInd w:val="0"/>
        <w:snapToGrid w:val="0"/>
        <w:spacing w:line="560" w:lineRule="atLeast"/>
        <w:ind w:firstLine="600"/>
        <w:rPr>
          <w:rFonts w:ascii="彩虹黑体" w:eastAsia="彩虹黑体"/>
          <w:bCs/>
          <w:sz w:val="32"/>
          <w:szCs w:val="32"/>
        </w:rPr>
      </w:pPr>
      <w:r>
        <w:rPr>
          <w:rFonts w:hint="eastAsia" w:ascii="彩虹黑体" w:eastAsia="彩虹黑体"/>
          <w:bCs/>
          <w:sz w:val="32"/>
          <w:szCs w:val="32"/>
        </w:rPr>
        <w:t>四、服务质量要求</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（一）出入库时间应满足当地营业网点工作需要，以确保寄库尾箱及时送达营业网点，保证正常营业。</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二）供应商所提供的保管库房应处于营业网点所属县域范围之内、符合国家规范、经当地公安机关认可、符合《银行业务库安全防范的要求》标准、并配备满足公安机关要求的报警、通讯等安全设施，整个库区每日处于连续不间断的监控之下，监控资料保存不少于三个月，在合同履行期间保持各项设施性能良好。</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（三）保证寄库尾箱安全完好，并确保寄库尾箱保管的整个库区每日处于连续不间断的监控之下，监控资料保存不少于三个月。</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（四）供应商接受我行对其工作的指导和监督。</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（五）供应商制定的受托业务相关的内控制度、操作规程、人员考核等办法应与合同要求一致；不得私自将其在协议约定项下全部或部分权利义务转让或分包给任意第三方。</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五、服务供应安排</w:t>
      </w:r>
    </w:p>
    <w:p>
      <w:pPr>
        <w:adjustRightInd w:val="0"/>
        <w:snapToGrid w:val="0"/>
        <w:spacing w:line="560" w:lineRule="atLeast"/>
        <w:ind w:firstLine="640" w:firstLineChars="200"/>
        <w:jc w:val="left"/>
        <w:rPr>
          <w:rFonts w:ascii="彩虹粗仿宋" w:eastAsia="彩虹粗仿宋"/>
          <w:sz w:val="32"/>
          <w:szCs w:val="32"/>
        </w:rPr>
      </w:pPr>
      <w:r>
        <w:rPr>
          <w:rFonts w:hint="eastAsia" w:ascii="彩虹粗仿宋" w:eastAsia="彩虹粗仿宋"/>
          <w:sz w:val="32"/>
          <w:szCs w:val="32"/>
        </w:rPr>
        <w:t>本次采购事项涉及全省16个二级分（支）行74个县域的170个营业网点，共需寄存尾箱约349个(，供应商将我行营业网点装有现金、贵金属、有价证券、重要凭证等重要物品的尾箱进行安全保管，并承担相应风险和责任，本次采购期限一年。</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六、服务数量要求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本次尾箱寄库保管外包采购事项合同期限1年，明细如下：</w:t>
      </w:r>
    </w:p>
    <w:tbl>
      <w:tblPr>
        <w:tblStyle w:val="7"/>
        <w:tblW w:w="7680" w:type="dxa"/>
        <w:tblInd w:w="103" w:type="dxa"/>
        <w:tblLayout w:type="autofit"/>
        <w:tblCellMar>
          <w:top w:w="0" w:type="dxa"/>
          <w:left w:w="108" w:type="dxa"/>
          <w:bottom w:w="0" w:type="dxa"/>
          <w:right w:w="108" w:type="dxa"/>
        </w:tblCellMar>
      </w:tblPr>
      <w:tblGrid>
        <w:gridCol w:w="623"/>
        <w:gridCol w:w="1169"/>
        <w:gridCol w:w="1026"/>
        <w:gridCol w:w="2870"/>
        <w:gridCol w:w="911"/>
        <w:gridCol w:w="1081"/>
      </w:tblGrid>
      <w:tr>
        <w:tblPrEx>
          <w:tblCellMar>
            <w:top w:w="0" w:type="dxa"/>
            <w:left w:w="108" w:type="dxa"/>
            <w:bottom w:w="0" w:type="dxa"/>
            <w:right w:w="108" w:type="dxa"/>
          </w:tblCellMar>
        </w:tblPrEx>
        <w:trPr>
          <w:trHeight w:val="12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116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二级分行</w:t>
            </w:r>
          </w:p>
        </w:tc>
        <w:tc>
          <w:tcPr>
            <w:tcW w:w="102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本次采购拟寄存机构名称</w:t>
            </w:r>
          </w:p>
        </w:tc>
        <w:tc>
          <w:tcPr>
            <w:tcW w:w="287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需寄存网点</w:t>
            </w:r>
          </w:p>
        </w:tc>
        <w:tc>
          <w:tcPr>
            <w:tcW w:w="91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寄存尾箱数量（预估）</w:t>
            </w:r>
          </w:p>
        </w:tc>
        <w:tc>
          <w:tcPr>
            <w:tcW w:w="108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采购预算(万元）</w:t>
            </w:r>
          </w:p>
        </w:tc>
      </w:tr>
      <w:tr>
        <w:tblPrEx>
          <w:tblCellMar>
            <w:top w:w="0" w:type="dxa"/>
            <w:left w:w="108" w:type="dxa"/>
            <w:bottom w:w="0" w:type="dxa"/>
            <w:right w:w="108" w:type="dxa"/>
          </w:tblCellMar>
        </w:tblPrEx>
        <w:trPr>
          <w:trHeight w:val="270" w:hRule="atLeast"/>
        </w:trPr>
        <w:tc>
          <w:tcPr>
            <w:tcW w:w="623"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20</w:t>
            </w:r>
          </w:p>
        </w:tc>
        <w:tc>
          <w:tcPr>
            <w:tcW w:w="1169"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驻马店分行</w:t>
            </w:r>
          </w:p>
        </w:tc>
        <w:tc>
          <w:tcPr>
            <w:tcW w:w="102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驻马店市保安服务有限公司</w:t>
            </w: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遂平支行营业部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遂平新区支行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西平支行营业部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西平十字街支行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西平龙泉大道支行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上蔡支行营业部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上蔡卧龙支行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汝南支行营业部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汝南古城大道支行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平舆支行营业部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平舆丰收路支行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新蔡支行营业部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新蔡商贸路支行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正阳支行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正阳江国大道支行（新设）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确山支行营业部</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确山靖宇支行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泌阳支行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4.00 </w:t>
            </w:r>
          </w:p>
        </w:tc>
      </w:tr>
    </w:tbl>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七、款项支付要求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我行将按季对寄库尾箱保管公司的服务情况进行考核，按季结算，次季度初外包供应商将费用清单提交我行审核，我行审核无误后通知外包供应商开具合法增值税发票，我行原则上在收到发票之日起20个工作日内付款。</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八、报价要求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每个标段外包供应商，按照尾箱寄库保管服务内容报含税包干价，报价超过预算为无效报价</w:t>
      </w:r>
    </w:p>
    <w:p>
      <w:pPr>
        <w:ind w:firstLine="420" w:firstLineChars="200"/>
      </w:pPr>
    </w:p>
    <w:p>
      <w:pPr>
        <w:adjustRightInd w:val="0"/>
        <w:snapToGrid w:val="0"/>
        <w:spacing w:line="360" w:lineRule="auto"/>
        <w:jc w:val="cente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HCFS">
    <w:altName w:val="宋体"/>
    <w:panose1 w:val="00000000000000000000"/>
    <w:charset w:val="86"/>
    <w:family w:val="swiss"/>
    <w:pitch w:val="default"/>
    <w:sig w:usb0="00000000" w:usb1="00000000" w:usb2="0000000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2108"/>
    <w:rsid w:val="00006767"/>
    <w:rsid w:val="001E2AE1"/>
    <w:rsid w:val="00277B2C"/>
    <w:rsid w:val="00633CFF"/>
    <w:rsid w:val="00641F5A"/>
    <w:rsid w:val="00B536BF"/>
    <w:rsid w:val="00C91C59"/>
    <w:rsid w:val="00D04829"/>
    <w:rsid w:val="00D54A80"/>
    <w:rsid w:val="00DE19F1"/>
    <w:rsid w:val="00EE1D27"/>
    <w:rsid w:val="374331C3"/>
    <w:rsid w:val="42537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Date"/>
    <w:basedOn w:val="1"/>
    <w:next w:val="1"/>
    <w:link w:val="18"/>
    <w:semiHidden/>
    <w:unhideWhenUsed/>
    <w:uiPriority w:val="99"/>
    <w:pPr>
      <w:ind w:left="100" w:leftChars="2500"/>
    </w:pPr>
  </w:style>
  <w:style w:type="paragraph" w:styleId="4">
    <w:name w:val="Balloon Text"/>
    <w:basedOn w:val="1"/>
    <w:link w:val="16"/>
    <w:semiHidden/>
    <w:unhideWhenUsed/>
    <w:uiPriority w:val="99"/>
    <w:rPr>
      <w:rFonts w:ascii="Times New Roman" w:hAnsi="Times New Roman" w:eastAsia="宋体" w:cs="Times New Roman"/>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FollowedHyperlink"/>
    <w:basedOn w:val="8"/>
    <w:semiHidden/>
    <w:unhideWhenUsed/>
    <w:uiPriority w:val="99"/>
    <w:rPr>
      <w:color w:val="800080"/>
      <w:u w:val="single"/>
    </w:rPr>
  </w:style>
  <w:style w:type="character" w:styleId="10">
    <w:name w:val="Hyperlink"/>
    <w:basedOn w:val="8"/>
    <w:semiHidden/>
    <w:unhideWhenUsed/>
    <w:uiPriority w:val="99"/>
    <w:rPr>
      <w:color w:val="0000FF"/>
      <w:u w:val="single"/>
    </w:rPr>
  </w:style>
  <w:style w:type="character" w:styleId="11">
    <w:name w:val="annotation reference"/>
    <w:basedOn w:val="8"/>
    <w:semiHidden/>
    <w:unhideWhenUsed/>
    <w:uiPriority w:val="99"/>
    <w:rPr>
      <w:sz w:val="21"/>
      <w:szCs w:val="21"/>
    </w:rPr>
  </w:style>
  <w:style w:type="paragraph" w:styleId="12">
    <w:name w:val="List Paragraph"/>
    <w:basedOn w:val="1"/>
    <w:qFormat/>
    <w:uiPriority w:val="34"/>
    <w:pPr>
      <w:ind w:firstLine="420" w:firstLineChars="200"/>
    </w:pPr>
  </w:style>
  <w:style w:type="character" w:customStyle="1" w:styleId="13">
    <w:name w:val="页脚 Char"/>
    <w:basedOn w:val="8"/>
    <w:link w:val="5"/>
    <w:qFormat/>
    <w:uiPriority w:val="99"/>
    <w:rPr>
      <w:sz w:val="18"/>
      <w:szCs w:val="18"/>
    </w:rPr>
  </w:style>
  <w:style w:type="character" w:customStyle="1" w:styleId="14">
    <w:name w:val="页眉 Char"/>
    <w:basedOn w:val="8"/>
    <w:link w:val="6"/>
    <w:qFormat/>
    <w:uiPriority w:val="99"/>
    <w:rPr>
      <w:sz w:val="18"/>
      <w:szCs w:val="18"/>
    </w:rPr>
  </w:style>
  <w:style w:type="paragraph" w:customStyle="1" w:styleId="15">
    <w:name w:val="Default"/>
    <w:uiPriority w:val="0"/>
    <w:pPr>
      <w:widowControl w:val="0"/>
      <w:autoSpaceDE w:val="0"/>
      <w:autoSpaceDN w:val="0"/>
      <w:adjustRightInd w:val="0"/>
    </w:pPr>
    <w:rPr>
      <w:rFonts w:ascii="CHCFS" w:eastAsia="CHCFS" w:cs="CHCFS" w:hAnsiTheme="minorHAnsi"/>
      <w:color w:val="000000"/>
      <w:kern w:val="0"/>
      <w:sz w:val="24"/>
      <w:szCs w:val="24"/>
      <w:lang w:val="en-US" w:eastAsia="zh-CN" w:bidi="ar-SA"/>
    </w:rPr>
  </w:style>
  <w:style w:type="character" w:customStyle="1" w:styleId="16">
    <w:name w:val="批注框文本 Char"/>
    <w:basedOn w:val="8"/>
    <w:link w:val="4"/>
    <w:semiHidden/>
    <w:qFormat/>
    <w:uiPriority w:val="99"/>
    <w:rPr>
      <w:rFonts w:ascii="Times New Roman" w:hAnsi="Times New Roman" w:eastAsia="宋体" w:cs="Times New Roman"/>
      <w:sz w:val="18"/>
      <w:szCs w:val="18"/>
    </w:rPr>
  </w:style>
  <w:style w:type="character" w:customStyle="1" w:styleId="17">
    <w:name w:val="批注文字 Char"/>
    <w:basedOn w:val="8"/>
    <w:link w:val="2"/>
    <w:semiHidden/>
    <w:uiPriority w:val="99"/>
  </w:style>
  <w:style w:type="character" w:customStyle="1" w:styleId="18">
    <w:name w:val="日期 Char"/>
    <w:basedOn w:val="8"/>
    <w:link w:val="3"/>
    <w:semiHidden/>
    <w:uiPriority w:val="99"/>
  </w:style>
  <w:style w:type="paragraph" w:customStyle="1" w:styleId="19">
    <w:name w:val="font5"/>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0">
    <w:name w:val="font6"/>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1">
    <w:name w:val="xl6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2">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23">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24">
    <w:name w:val="xl69"/>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5">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6">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7">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8">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9">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0">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1">
    <w:name w:val="xl7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32">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34">
    <w:name w:val="xl79"/>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4"/>
      <w:szCs w:val="24"/>
    </w:rPr>
  </w:style>
  <w:style w:type="paragraph" w:customStyle="1" w:styleId="3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eastAsia="宋体" w:cs="宋体"/>
      <w:kern w:val="0"/>
      <w:sz w:val="24"/>
      <w:szCs w:val="24"/>
    </w:rPr>
  </w:style>
  <w:style w:type="paragraph" w:customStyle="1" w:styleId="3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0">
    <w:name w:val="xl85"/>
    <w:basedOn w:val="1"/>
    <w:qFormat/>
    <w:uiPriority w:val="0"/>
    <w:pPr>
      <w:widowControl/>
      <w:spacing w:before="100" w:beforeAutospacing="1" w:after="100" w:afterAutospacing="1"/>
      <w:jc w:val="left"/>
      <w:textAlignment w:val="bottom"/>
    </w:pPr>
    <w:rPr>
      <w:rFonts w:ascii="宋体" w:hAnsi="宋体" w:eastAsia="宋体" w:cs="宋体"/>
      <w:color w:val="FF0000"/>
      <w:kern w:val="0"/>
      <w:sz w:val="24"/>
      <w:szCs w:val="24"/>
    </w:rPr>
  </w:style>
  <w:style w:type="paragraph" w:customStyle="1" w:styleId="4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 w:type="paragraph" w:customStyle="1" w:styleId="4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4"/>
      <w:szCs w:val="24"/>
    </w:rPr>
  </w:style>
  <w:style w:type="paragraph" w:customStyle="1" w:styleId="44">
    <w:name w:val="xl89"/>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5">
    <w:name w:val="xl90"/>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6">
    <w:name w:val="xl91"/>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7">
    <w:name w:val="xl92"/>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8">
    <w:name w:val="xl93"/>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9">
    <w:name w:val="xl94"/>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50">
    <w:name w:val="xl95"/>
    <w:basedOn w:val="1"/>
    <w:qFormat/>
    <w:uiPriority w:val="0"/>
    <w:pPr>
      <w:widowControl/>
      <w:pBdr>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5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53">
    <w:name w:val="xl98"/>
    <w:basedOn w:val="1"/>
    <w:qFormat/>
    <w:uiPriority w:val="0"/>
    <w:pPr>
      <w:widowControl/>
      <w:pBdr>
        <w:top w:val="single" w:color="auto" w:sz="4" w:space="0"/>
        <w:bottom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4">
    <w:name w:val="xl99"/>
    <w:basedOn w:val="1"/>
    <w:qFormat/>
    <w:uiPriority w:val="0"/>
    <w:pPr>
      <w:widowControl/>
      <w:pBdr>
        <w:top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5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8">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9">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60">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1">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中国建设银行股份有限公司河南省分行</Company>
  <Pages>11</Pages>
  <Words>4477</Words>
  <Characters>5256</Characters>
  <Lines>927</Lines>
  <Paragraphs>764</Paragraphs>
  <TotalTime>0</TotalTime>
  <ScaleCrop>false</ScaleCrop>
  <LinksUpToDate>false</LinksUpToDate>
  <CharactersWithSpaces>5603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2024-05-21T06:51:59Z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C335279538F642CB81D07DD720F42EF3_12</vt:lpwstr>
  </property>
</Properties>
</file>