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eastAsia="zh-CN"/>
        </w:rPr>
      </w:pPr>
      <w:r>
        <w:rPr>
          <w:rFonts w:hint="eastAsia"/>
        </w:rPr>
        <w:t>公安</w:t>
      </w:r>
      <w:r>
        <w:t>110联网报警服务</w:t>
      </w:r>
      <w:r>
        <w:rPr>
          <w:rFonts w:hint="eastAsia"/>
          <w:lang w:eastAsia="zh-CN"/>
        </w:rPr>
        <w:t>（</w:t>
      </w:r>
      <w:r>
        <w:rPr>
          <w:rFonts w:hint="eastAsia"/>
        </w:rPr>
        <w:t>南阳分行邓州、淅川、镇平、油田、内乡支行</w:t>
      </w:r>
      <w:r>
        <w:rPr>
          <w:rFonts w:hint="eastAsia"/>
          <w:lang w:eastAsia="zh-CN"/>
        </w:rPr>
        <w:t>）</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2</w:t>
      </w:r>
      <w:bookmarkStart w:id="0" w:name="_GoBack"/>
      <w:bookmarkEnd w:id="0"/>
      <w:r>
        <w:rPr>
          <w:rFonts w:hint="eastAsia" w:ascii="彩虹粗仿宋" w:eastAsia="彩虹粗仿宋"/>
          <w:sz w:val="32"/>
          <w:szCs w:val="32"/>
        </w:rPr>
        <w:t>年）的经审计的财务报告或财务报表（新成立企业从成立日计算）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Style w:val="6"/>
          <w:rFonts w:hint="eastAsia" w:ascii="彩虹粗仿宋" w:hAnsi="微软雅黑" w:eastAsia="彩虹粗仿宋"/>
          <w:sz w:val="32"/>
          <w:szCs w:val="32"/>
        </w:rPr>
        <w:t>2021年1月1日以来</w:t>
      </w:r>
      <w:r>
        <w:rPr>
          <w:rFonts w:hint="eastAsia" w:ascii="彩虹粗仿宋" w:eastAsia="彩虹粗仿宋"/>
          <w:sz w:val="32"/>
          <w:szCs w:val="32"/>
        </w:rPr>
        <w:t>具有银行110联网报警同类项目经验（提供合同）。</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二、服务基本内容</w:t>
      </w:r>
    </w:p>
    <w:p>
      <w:pPr>
        <w:adjustRightInd w:val="0"/>
        <w:snapToGrid w:val="0"/>
        <w:spacing w:line="60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（二）服务内容</w:t>
      </w:r>
    </w:p>
    <w:p>
      <w:pPr>
        <w:adjustRightInd w:val="0"/>
        <w:snapToGrid w:val="0"/>
        <w:spacing w:line="560" w:lineRule="exact"/>
        <w:ind w:firstLine="640" w:firstLineChars="200"/>
        <w:rPr>
          <w:rFonts w:ascii="彩虹粗仿宋" w:hAnsi="彩虹粗仿宋" w:eastAsia="彩虹粗仿宋" w:cs="彩虹粗仿宋"/>
          <w:color w:val="auto"/>
          <w:sz w:val="32"/>
          <w:szCs w:val="32"/>
        </w:rPr>
      </w:pPr>
      <w:r>
        <w:rPr>
          <w:rFonts w:hint="eastAsia" w:ascii="彩虹粗仿宋" w:hAnsi="彩虹粗仿宋" w:eastAsia="彩虹粗仿宋" w:cs="彩虹粗仿宋"/>
          <w:snapToGrid w:val="0"/>
          <w:color w:val="auto"/>
          <w:sz w:val="32"/>
          <w:szCs w:val="32"/>
        </w:rPr>
        <w:t>南阳分行邓州、淅川、镇平、油田、内乡支行</w:t>
      </w:r>
      <w:r>
        <w:rPr>
          <w:rFonts w:hint="eastAsia" w:ascii="彩虹粗仿宋" w:hAnsi="彩虹粗仿宋" w:eastAsia="彩虹粗仿宋" w:cs="彩虹粗仿宋"/>
          <w:snapToGrid w:val="0"/>
          <w:color w:val="auto"/>
          <w:kern w:val="0"/>
          <w:sz w:val="32"/>
          <w:szCs w:val="32"/>
        </w:rPr>
        <w:t>所辖重点部位（金库）、营业网点、离行式自助银行（自助设备）、办公楼、档案库、计算机房等</w:t>
      </w:r>
      <w:r>
        <w:rPr>
          <w:rFonts w:hint="eastAsia" w:ascii="彩虹粗仿宋" w:hAnsi="彩虹粗仿宋" w:eastAsia="彩虹粗仿宋" w:cs="彩虹粗仿宋"/>
          <w:snapToGrid w:val="0"/>
          <w:color w:val="auto"/>
          <w:kern w:val="0"/>
          <w:sz w:val="32"/>
          <w:szCs w:val="32"/>
          <w:lang w:val="en-US" w:eastAsia="zh-CN"/>
        </w:rPr>
        <w:t>38</w:t>
      </w:r>
      <w:r>
        <w:rPr>
          <w:rFonts w:hint="eastAsia" w:ascii="彩虹粗仿宋" w:hAnsi="彩虹粗仿宋" w:eastAsia="彩虹粗仿宋" w:cs="彩虹粗仿宋"/>
          <w:snapToGrid w:val="0"/>
          <w:color w:val="auto"/>
          <w:kern w:val="0"/>
          <w:sz w:val="32"/>
          <w:szCs w:val="32"/>
        </w:rPr>
        <w:t>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color w:val="auto"/>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三、服务团队要求</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3、由于</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2、因服务人员原因造成我行及客户信息泄露、客户投诉等风险，</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3、由于</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4、造成我行经济损失的，应按照相关法律法规、合同约定进行索赔。造成我行声誉损失的，应要求</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（五）</w:t>
      </w:r>
      <w:r>
        <w:rPr>
          <w:rFonts w:hint="eastAsia" w:ascii="彩虹粗仿宋" w:hAnsi="彩虹粗仿宋" w:eastAsia="彩虹粗仿宋" w:cs="彩虹粗仿宋"/>
          <w:color w:val="000000" w:themeColor="text1"/>
          <w:sz w:val="32"/>
          <w:szCs w:val="32"/>
          <w14:textFill>
            <w14:solidFill>
              <w14:schemeClr w14:val="tx1"/>
            </w14:solidFill>
          </w14:textFill>
        </w:rPr>
        <w:t>消保条款要求</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1.个人信息保护条款</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2.信息披露条款</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 xml:space="preserve">3.消费者投诉条款 </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 xml:space="preserve">4.其他行为监督 </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5.黑名单退出机制</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color w:val="000000" w:themeColor="text1"/>
          <w:sz w:val="32"/>
          <w:szCs w:val="32"/>
          <w14:textFill>
            <w14:solidFill>
              <w14:schemeClr w14:val="tx1"/>
            </w14:solidFill>
          </w14:textFill>
        </w:rPr>
      </w:pPr>
      <w:r>
        <w:rPr>
          <w:rFonts w:hint="eastAsia" w:ascii="彩虹粗仿宋" w:hAnsi="彩虹粗仿宋" w:eastAsia="彩虹粗仿宋" w:cs="彩虹粗仿宋"/>
          <w:color w:val="000000" w:themeColor="text1"/>
          <w:sz w:val="32"/>
          <w:szCs w:val="32"/>
          <w14:textFill>
            <w14:solidFill>
              <w14:schemeClr w14:val="tx1"/>
            </w14:solidFill>
          </w14:textFill>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3.每月由我行使用单位按“合格”、“不合格”对全行报警设备进行测评考核，合格档次支付全额服务费用，不合格档次对</w:t>
      </w: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color w:val="000000" w:themeColor="text1"/>
          <w:kern w:val="0"/>
          <w:sz w:val="32"/>
          <w:szCs w:val="32"/>
          <w14:textFill>
            <w14:solidFill>
              <w14:schemeClr w14:val="tx1"/>
            </w14:solidFill>
          </w14:textFill>
        </w:rPr>
        <w:t>供应商</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公司按照报警联网设备合同的约定对我行</w:t>
      </w:r>
      <w:r>
        <w:rPr>
          <w:rFonts w:hint="eastAsia" w:ascii="彩虹粗仿宋" w:hAnsi="彩虹粗仿宋" w:eastAsia="彩虹粗仿宋" w:cs="彩虹粗仿宋"/>
          <w:color w:val="000000" w:themeColor="text1"/>
          <w:sz w:val="32"/>
          <w:szCs w:val="32"/>
          <w14:textFill>
            <w14:solidFill>
              <w14:schemeClr w14:val="tx1"/>
            </w14:solidFill>
          </w14:textFill>
        </w:rPr>
        <w:t>辖内报警服务点（含网点、自助、金库、档案库房等）</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（五）警情处置</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六、服务数量要求</w:t>
      </w:r>
    </w:p>
    <w:tbl>
      <w:tblPr>
        <w:tblStyle w:val="3"/>
        <w:tblW w:w="8381" w:type="dxa"/>
        <w:tblInd w:w="93" w:type="dxa"/>
        <w:tblLayout w:type="fixed"/>
        <w:tblCellMar>
          <w:top w:w="0" w:type="dxa"/>
          <w:left w:w="108" w:type="dxa"/>
          <w:bottom w:w="0" w:type="dxa"/>
          <w:right w:w="108" w:type="dxa"/>
        </w:tblCellMar>
      </w:tblPr>
      <w:tblGrid>
        <w:gridCol w:w="2002"/>
        <w:gridCol w:w="3118"/>
        <w:gridCol w:w="1417"/>
        <w:gridCol w:w="1844"/>
      </w:tblGrid>
      <w:tr>
        <w:tblPrEx>
          <w:tblCellMar>
            <w:top w:w="0" w:type="dxa"/>
            <w:left w:w="108" w:type="dxa"/>
            <w:bottom w:w="0" w:type="dxa"/>
            <w:right w:w="108" w:type="dxa"/>
          </w:tblCellMar>
        </w:tblPrEx>
        <w:trPr>
          <w:trHeight w:val="652" w:hRule="atLeast"/>
        </w:trPr>
        <w:tc>
          <w:tcPr>
            <w:tcW w:w="20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rPr>
            </w:pPr>
            <w:r>
              <w:rPr>
                <w:rFonts w:hint="eastAsia" w:ascii="宋体" w:hAnsi="宋体" w:cs="宋体"/>
                <w:b/>
                <w:bCs/>
                <w:color w:val="auto"/>
                <w:kern w:val="0"/>
                <w:sz w:val="22"/>
              </w:rPr>
              <w:t>序号</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cs="宋体"/>
                <w:b/>
                <w:bCs/>
                <w:color w:val="auto"/>
                <w:kern w:val="0"/>
                <w:sz w:val="22"/>
              </w:rPr>
              <w:t>单位</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彩虹小标宋" w:hAnsi="宋体" w:eastAsia="彩虹小标宋" w:cs="宋体"/>
                <w:color w:val="auto"/>
                <w:sz w:val="22"/>
              </w:rPr>
              <w:t>点位</w:t>
            </w:r>
            <w:r>
              <w:rPr>
                <w:rFonts w:hint="eastAsia" w:ascii="彩虹小标宋" w:hAnsi="宋体" w:eastAsia="彩虹小标宋" w:cs="宋体"/>
                <w:color w:val="auto"/>
                <w:kern w:val="0"/>
                <w:sz w:val="22"/>
              </w:rPr>
              <w:t>数量</w:t>
            </w:r>
          </w:p>
        </w:tc>
        <w:tc>
          <w:tcPr>
            <w:tcW w:w="1844" w:type="dxa"/>
            <w:tcBorders>
              <w:top w:val="single" w:color="auto" w:sz="4" w:space="0"/>
              <w:left w:val="nil"/>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auto"/>
                <w:sz w:val="22"/>
              </w:rPr>
            </w:pPr>
            <w:r>
              <w:rPr>
                <w:rFonts w:hint="eastAsia" w:ascii="宋体" w:hAnsi="宋体" w:eastAsia="宋体" w:cs="宋体"/>
                <w:b/>
                <w:bCs/>
                <w:color w:val="auto"/>
                <w:kern w:val="0"/>
                <w:sz w:val="22"/>
                <w:lang w:bidi="ar"/>
              </w:rPr>
              <w:t>备注</w:t>
            </w:r>
          </w:p>
        </w:tc>
      </w:tr>
      <w:tr>
        <w:tblPrEx>
          <w:tblCellMar>
            <w:top w:w="0" w:type="dxa"/>
            <w:left w:w="108" w:type="dxa"/>
            <w:bottom w:w="0" w:type="dxa"/>
            <w:right w:w="108" w:type="dxa"/>
          </w:tblCellMar>
        </w:tblPrEx>
        <w:trPr>
          <w:trHeight w:val="643" w:hRule="atLeast"/>
        </w:trPr>
        <w:tc>
          <w:tcPr>
            <w:tcW w:w="20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sz w:val="22"/>
              </w:rPr>
              <w:t>3</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南阳分行邓州、淅川、镇平、油田、内乡支行</w:t>
            </w:r>
            <w:r>
              <w:rPr>
                <w:rFonts w:hint="eastAsia" w:ascii="宋体" w:hAnsi="宋体" w:eastAsia="宋体" w:cs="宋体"/>
                <w:color w:val="auto"/>
                <w:kern w:val="0"/>
                <w:sz w:val="22"/>
                <w:lang w:bidi="ar"/>
              </w:rPr>
              <w:t>网点、自助、金库、档案库房等，提供监控、处置、维护等服务</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38</w:t>
            </w:r>
          </w:p>
        </w:tc>
        <w:tc>
          <w:tcPr>
            <w:tcW w:w="1844" w:type="dxa"/>
            <w:tcBorders>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p>
        </w:tc>
      </w:tr>
    </w:tbl>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按照每点每月报含税单价和总价，超过预算为无效报价。</w:t>
      </w:r>
    </w:p>
    <w:tbl>
      <w:tblPr>
        <w:tblStyle w:val="3"/>
        <w:tblW w:w="8379" w:type="dxa"/>
        <w:tblInd w:w="93" w:type="dxa"/>
        <w:tblLayout w:type="fixed"/>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 w:val="22"/>
              </w:rPr>
            </w:pPr>
            <w:r>
              <w:rPr>
                <w:rFonts w:hint="eastAsia" w:ascii="宋体" w:hAnsi="宋体" w:cs="宋体"/>
                <w:b/>
                <w:bCs/>
                <w:color w:val="auto"/>
                <w:kern w:val="0"/>
                <w:sz w:val="22"/>
              </w:rPr>
              <w:t>序号</w:t>
            </w:r>
          </w:p>
        </w:tc>
        <w:tc>
          <w:tcPr>
            <w:tcW w:w="31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cs="宋体"/>
                <w:b/>
                <w:bCs/>
                <w:color w:val="auto"/>
                <w:kern w:val="0"/>
                <w:sz w:val="22"/>
              </w:rPr>
              <w:t>单位</w:t>
            </w:r>
          </w:p>
        </w:tc>
        <w:tc>
          <w:tcPr>
            <w:tcW w:w="14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彩虹小标宋" w:hAnsi="宋体" w:eastAsia="彩虹小标宋" w:cs="宋体"/>
                <w:color w:val="auto"/>
                <w:sz w:val="22"/>
              </w:rPr>
              <w:t>点位</w:t>
            </w:r>
            <w:r>
              <w:rPr>
                <w:rFonts w:hint="eastAsia" w:ascii="彩虹小标宋" w:hAnsi="宋体" w:eastAsia="彩虹小标宋" w:cs="宋体"/>
                <w:color w:val="auto"/>
                <w:kern w:val="0"/>
                <w:sz w:val="22"/>
              </w:rPr>
              <w:t>数量</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彩虹小标宋" w:hAnsi="宋体" w:eastAsia="彩虹小标宋" w:cs="宋体"/>
                <w:color w:val="auto"/>
                <w:kern w:val="0"/>
                <w:sz w:val="22"/>
              </w:rPr>
              <w:t>限价 （元/</w:t>
            </w:r>
            <w:r>
              <w:rPr>
                <w:rFonts w:hint="eastAsia" w:ascii="彩虹小标宋" w:hAnsi="宋体" w:eastAsia="彩虹小标宋" w:cs="宋体"/>
                <w:color w:val="auto"/>
                <w:sz w:val="22"/>
              </w:rPr>
              <w:t>点</w:t>
            </w:r>
            <w:r>
              <w:rPr>
                <w:rFonts w:hint="eastAsia" w:ascii="彩虹小标宋" w:hAnsi="宋体" w:eastAsia="彩虹小标宋" w:cs="宋体"/>
                <w:color w:val="auto"/>
                <w:kern w:val="0"/>
                <w:sz w:val="22"/>
              </w:rPr>
              <w:t>/月）</w:t>
            </w:r>
          </w:p>
        </w:tc>
      </w:tr>
      <w:tr>
        <w:tblPrEx>
          <w:tblCellMar>
            <w:top w:w="0" w:type="dxa"/>
            <w:left w:w="108" w:type="dxa"/>
            <w:bottom w:w="0" w:type="dxa"/>
            <w:right w:w="108" w:type="dxa"/>
          </w:tblCellMar>
        </w:tblPrEx>
        <w:trPr>
          <w:trHeight w:val="643" w:hRule="atLeast"/>
        </w:trPr>
        <w:tc>
          <w:tcPr>
            <w:tcW w:w="20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 w:val="22"/>
              </w:rPr>
            </w:pPr>
            <w:r>
              <w:rPr>
                <w:rFonts w:hint="eastAsia" w:ascii="宋体" w:hAnsi="宋体" w:cs="宋体"/>
                <w:color w:val="auto"/>
                <w:sz w:val="22"/>
              </w:rPr>
              <w:t>3</w:t>
            </w:r>
          </w:p>
        </w:tc>
        <w:tc>
          <w:tcPr>
            <w:tcW w:w="31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南阳分行邓州、淅川、镇平、油田、内乡支行公安110联网报警服务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38</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2"/>
              </w:rPr>
            </w:pPr>
            <w:r>
              <w:rPr>
                <w:rFonts w:hint="eastAsia" w:ascii="宋体" w:hAnsi="宋体" w:eastAsia="宋体" w:cs="宋体"/>
                <w:color w:val="auto"/>
                <w:kern w:val="0"/>
                <w:sz w:val="22"/>
              </w:rPr>
              <w:t>260</w:t>
            </w:r>
          </w:p>
        </w:tc>
      </w:tr>
    </w:tbl>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p>
    <w:p>
      <w:pPr>
        <w:adjustRightInd w:val="0"/>
        <w:snapToGrid w:val="0"/>
        <w:spacing w:line="560" w:lineRule="exact"/>
        <w:ind w:firstLine="640" w:firstLineChars="20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九、其他要求</w:t>
      </w:r>
    </w:p>
    <w:p>
      <w:pPr>
        <w:adjustRightInd w:val="0"/>
        <w:snapToGrid w:val="0"/>
        <w:spacing w:line="360" w:lineRule="auto"/>
        <w:ind w:firstLine="640" w:firstLineChars="200"/>
        <w:jc w:val="left"/>
        <w:rPr>
          <w:color w:val="000000" w:themeColor="text1"/>
          <w14:textFill>
            <w14:solidFill>
              <w14:schemeClr w14:val="tx1"/>
            </w14:solidFill>
          </w14:textFill>
        </w:rPr>
      </w:pPr>
      <w:r>
        <w:rPr>
          <w:rFonts w:hint="eastAsia" w:ascii="彩虹粗仿宋" w:hAnsi="宋体" w:eastAsia="彩虹粗仿宋"/>
          <w:snapToGrid w:val="0"/>
          <w:color w:val="000000" w:themeColor="text1"/>
          <w:sz w:val="32"/>
          <w:szCs w:val="32"/>
          <w14:textFill>
            <w14:solidFill>
              <w14:schemeClr w14:val="tx1"/>
            </w14:solidFill>
          </w14:textFill>
        </w:rPr>
        <w:t>无。</w:t>
      </w:r>
    </w:p>
    <w:p>
      <w:pPr>
        <w:widowControl/>
        <w:jc w:val="left"/>
        <w:rPr>
          <w:b/>
          <w:bCs/>
          <w:snapToGrid w:val="0"/>
          <w:color w:val="000000" w:themeColor="text1"/>
          <w:kern w:val="44"/>
          <w:sz w:val="44"/>
          <w:szCs w:val="44"/>
          <w14:textFill>
            <w14:solidFill>
              <w14:schemeClr w14:val="tx1"/>
            </w14:solidFill>
          </w14:textFill>
        </w:rPr>
      </w:pPr>
      <w:r>
        <w:rPr>
          <w:snapToGrid w:val="0"/>
          <w:color w:val="000000" w:themeColor="text1"/>
          <w14:textFill>
            <w14:solidFill>
              <w14:schemeClr w14:val="tx1"/>
            </w14:solidFill>
          </w14:textFill>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小标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134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im-content1"/>
    <w:basedOn w:val="5"/>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2024-05-22T02:26:59Z</dcterms:created>
  <dc:creator>haccb</dc:creator>
  <cp:lastModifiedBy>haccb</cp:lastModifiedBy>
  <dcterms:modified xsi:type="dcterms:W3CDTF">2024-05-22T02:27:19Z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D8F929826E6B4B67B9F89DDD118E81C8_12</vt:lpwstr>
  </property>
</Properties>
</file>