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560" w:lineRule="exact"/>
        <w:ind w:left="0" w:right="0" w:firstLine="0"/>
        <w:jc w:val="center"/>
        <w:rPr>
          <w:rFonts w:hint="eastAsia" w:ascii="宋体" w:hAnsi="宋体" w:cs="宋体"/>
          <w:b/>
          <w:bCs/>
          <w:kern w:val="44"/>
          <w:sz w:val="44"/>
          <w:szCs w:val="44"/>
          <w:lang w:eastAsia="zh-CN"/>
        </w:rPr>
      </w:pPr>
    </w:p>
    <w:p>
      <w:pPr>
        <w:keepNext w:val="0"/>
        <w:keepLines w:val="0"/>
        <w:widowControl/>
        <w:suppressLineNumbers w:val="0"/>
        <w:spacing w:before="0" w:beforeAutospacing="0" w:after="0" w:afterAutospacing="0" w:line="560" w:lineRule="exact"/>
        <w:ind w:left="0" w:right="0" w:firstLine="0"/>
        <w:jc w:val="center"/>
        <w:rPr>
          <w:rFonts w:hint="eastAsia" w:ascii="宋体" w:hAnsi="宋体" w:cs="宋体"/>
          <w:b/>
          <w:bCs/>
          <w:kern w:val="44"/>
          <w:sz w:val="44"/>
          <w:szCs w:val="44"/>
          <w:lang w:eastAsia="zh-CN"/>
        </w:rPr>
      </w:pPr>
    </w:p>
    <w:p>
      <w:pPr>
        <w:keepNext w:val="0"/>
        <w:keepLines w:val="0"/>
        <w:widowControl/>
        <w:suppressLineNumbers w:val="0"/>
        <w:spacing w:before="0" w:beforeAutospacing="0" w:after="0" w:afterAutospacing="0" w:line="560" w:lineRule="exact"/>
        <w:ind w:left="0" w:right="0" w:firstLine="0"/>
        <w:jc w:val="center"/>
        <w:rPr>
          <w:rFonts w:hint="eastAsia" w:ascii="宋体" w:hAnsi="宋体" w:cs="宋体"/>
          <w:b/>
          <w:bCs/>
          <w:kern w:val="44"/>
          <w:sz w:val="44"/>
          <w:szCs w:val="44"/>
          <w:lang w:eastAsia="zh-CN"/>
        </w:rPr>
      </w:pPr>
    </w:p>
    <w:p>
      <w:pPr>
        <w:keepNext w:val="0"/>
        <w:keepLines w:val="0"/>
        <w:widowControl/>
        <w:suppressLineNumbers w:val="0"/>
        <w:spacing w:before="0" w:beforeAutospacing="0" w:after="0" w:afterAutospacing="0" w:line="560" w:lineRule="exact"/>
        <w:ind w:left="0" w:right="0" w:firstLine="0"/>
        <w:jc w:val="center"/>
        <w:rPr>
          <w:rFonts w:hint="eastAsia" w:ascii="宋体" w:hAnsi="宋体" w:cs="宋体"/>
          <w:b/>
          <w:bCs/>
          <w:kern w:val="44"/>
          <w:sz w:val="44"/>
          <w:szCs w:val="44"/>
          <w:lang w:eastAsia="zh-CN"/>
        </w:rPr>
      </w:pPr>
    </w:p>
    <w:p>
      <w:pPr>
        <w:keepNext w:val="0"/>
        <w:keepLines w:val="0"/>
        <w:widowControl/>
        <w:suppressLineNumbers w:val="0"/>
        <w:spacing w:before="0" w:beforeAutospacing="0" w:after="0" w:afterAutospacing="0" w:line="560" w:lineRule="exact"/>
        <w:ind w:left="0" w:right="0" w:firstLine="0"/>
        <w:jc w:val="center"/>
        <w:rPr>
          <w:rFonts w:hint="eastAsia" w:ascii="宋体" w:hAnsi="宋体" w:cs="宋体"/>
          <w:b/>
          <w:bCs/>
          <w:kern w:val="44"/>
          <w:sz w:val="44"/>
          <w:szCs w:val="44"/>
          <w:lang w:eastAsia="zh-CN"/>
        </w:rPr>
      </w:pPr>
    </w:p>
    <w:p>
      <w:pPr>
        <w:keepNext w:val="0"/>
        <w:keepLines w:val="0"/>
        <w:widowControl/>
        <w:suppressLineNumbers w:val="0"/>
        <w:spacing w:before="0" w:beforeAutospacing="0" w:after="0" w:afterAutospacing="0" w:line="560" w:lineRule="exact"/>
        <w:ind w:left="0" w:right="0" w:firstLine="0"/>
        <w:jc w:val="center"/>
        <w:rPr>
          <w:rFonts w:hint="eastAsia" w:ascii="宋体" w:hAnsi="宋体" w:cs="宋体"/>
          <w:b/>
          <w:bCs/>
          <w:kern w:val="44"/>
          <w:sz w:val="44"/>
          <w:szCs w:val="44"/>
          <w:lang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800" w:lineRule="exact"/>
        <w:ind w:left="0" w:leftChars="0" w:firstLine="0" w:firstLineChars="0"/>
        <w:jc w:val="center"/>
        <w:textAlignment w:val="auto"/>
        <w:rPr>
          <w:rFonts w:hint="eastAsia" w:ascii="宋体" w:hAnsi="宋体" w:cs="宋体"/>
          <w:b/>
          <w:bCs/>
          <w:kern w:val="44"/>
          <w:sz w:val="52"/>
          <w:szCs w:val="52"/>
          <w:highlight w:val="none"/>
          <w:lang w:val="en-US" w:eastAsia="zh-CN"/>
        </w:rPr>
      </w:pPr>
      <w:r>
        <w:rPr>
          <w:rFonts w:hint="eastAsia" w:ascii="宋体" w:hAnsi="宋体" w:cs="宋体"/>
          <w:b/>
          <w:bCs/>
          <w:kern w:val="44"/>
          <w:sz w:val="52"/>
          <w:szCs w:val="52"/>
          <w:highlight w:val="none"/>
          <w:lang w:val="en-US" w:eastAsia="zh-CN"/>
        </w:rPr>
        <w:t>中国进出口银行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800" w:lineRule="exact"/>
        <w:ind w:left="0" w:leftChars="0" w:firstLine="0" w:firstLineChars="0"/>
        <w:jc w:val="center"/>
        <w:textAlignment w:val="auto"/>
        <w:rPr>
          <w:rFonts w:hint="eastAsia" w:ascii="仿宋_GB2312" w:hAnsi="仿宋_GB2312" w:eastAsia="仿宋_GB2312" w:cs="仿宋_GB2312"/>
        </w:rPr>
      </w:pPr>
      <w:r>
        <w:rPr>
          <w:rFonts w:hint="eastAsia" w:ascii="宋体" w:hAnsi="宋体" w:cs="宋体"/>
          <w:b/>
          <w:bCs/>
          <w:kern w:val="44"/>
          <w:sz w:val="52"/>
          <w:szCs w:val="52"/>
          <w:highlight w:val="none"/>
          <w:lang w:val="en-US" w:eastAsia="zh-CN"/>
        </w:rPr>
        <w:t>移动办公平台建设项目采购需求</w:t>
      </w: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spacing w:line="560" w:lineRule="exact"/>
        <w:ind w:firstLine="420" w:firstLineChars="200"/>
        <w:rPr>
          <w:rFonts w:hint="eastAsia" w:ascii="仿宋_GB2312" w:hAnsi="仿宋_GB2312" w:eastAsia="仿宋_GB2312" w:cs="仿宋_GB2312"/>
        </w:rPr>
      </w:pPr>
    </w:p>
    <w:p>
      <w:pPr>
        <w:pStyle w:val="2"/>
        <w:rPr>
          <w:rFonts w:hint="eastAsia" w:ascii="仿宋_GB2312" w:hAnsi="仿宋_GB2312" w:eastAsia="仿宋_GB2312" w:cs="仿宋_GB2312"/>
        </w:rPr>
      </w:pPr>
    </w:p>
    <w:p>
      <w:pPr>
        <w:pStyle w:val="2"/>
        <w:rPr>
          <w:rFonts w:hint="eastAsia" w:ascii="仿宋_GB2312" w:hAnsi="仿宋_GB2312" w:eastAsia="仿宋_GB2312" w:cs="仿宋_GB2312"/>
        </w:rPr>
      </w:pPr>
    </w:p>
    <w:p>
      <w:pPr>
        <w:spacing w:line="560" w:lineRule="exact"/>
        <w:rPr>
          <w:rFonts w:hint="eastAsia" w:ascii="仿宋_GB2312" w:hAnsi="仿宋_GB2312" w:eastAsia="仿宋_GB2312" w:cs="仿宋_GB2312"/>
        </w:rPr>
      </w:pPr>
    </w:p>
    <w:sdt>
      <w:sdtPr>
        <w:rPr>
          <w:rFonts w:ascii="宋体" w:hAnsi="宋体"/>
        </w:rPr>
        <w:id w:val="147453045"/>
        <w15:color w:val="DBDBDB"/>
        <w:docPartObj>
          <w:docPartGallery w:val="Table of Contents"/>
          <w:docPartUnique/>
        </w:docPartObj>
      </w:sdtPr>
      <w:sdtEndPr>
        <w:rPr>
          <w:rFonts w:ascii="宋体" w:hAnsi="宋体"/>
        </w:rPr>
      </w:sdtEndPr>
      <w:sdtContent>
        <w:p>
          <w:pPr>
            <w:jc w:val="center"/>
            <w:rPr>
              <w:rFonts w:hint="eastAsia" w:ascii="黑体" w:hAnsi="黑体" w:eastAsia="黑体" w:cs="黑体"/>
              <w:sz w:val="32"/>
              <w:szCs w:val="32"/>
            </w:rPr>
          </w:pPr>
          <w:r>
            <w:rPr>
              <w:rFonts w:hint="eastAsia" w:ascii="黑体" w:hAnsi="黑体" w:eastAsia="黑体" w:cs="黑体"/>
              <w:sz w:val="32"/>
              <w:szCs w:val="32"/>
            </w:rPr>
            <w:t>目录</w:t>
          </w:r>
        </w:p>
        <w:p>
          <w:pPr>
            <w:pStyle w:val="1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"1-1"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_Toc12234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highlight w:val="none"/>
            </w:rPr>
            <w:t>一、项目介绍</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_Toc12234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_Toc26886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二、</w:t>
          </w:r>
          <w:r>
            <w:rPr>
              <w:rFonts w:hint="eastAsia" w:ascii="仿宋_GB2312" w:hAnsi="仿宋_GB2312" w:eastAsia="仿宋_GB2312" w:cs="仿宋_GB2312"/>
              <w:bCs w:val="0"/>
              <w:sz w:val="32"/>
              <w:szCs w:val="32"/>
              <w:highlight w:val="none"/>
            </w:rPr>
            <w:t>服务一览表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_Toc26886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_Toc28733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highlight w:val="none"/>
            </w:rPr>
            <w:t>三、业务要求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_Toc28733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_Toc5703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highlight w:val="none"/>
            </w:rPr>
            <w:t>四、技术要求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_Toc5703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_Toc13253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highlight w:val="none"/>
            </w:rPr>
            <w:t>五、服务要求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_Toc13253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_Toc9316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highlight w:val="none"/>
            </w:rPr>
            <w:t>六、项目团队要求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_Toc9316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_Toc20336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highlight w:val="none"/>
            </w:rPr>
            <w:t>七、安全要求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_Toc20336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5"/>
            <w:tabs>
              <w:tab w:val="right" w:leader="dot" w:pos="8306"/>
            </w:tabs>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_Toc3847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highlight w:val="none"/>
            </w:rPr>
            <w:t>八、交付或实施时间、地点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_Toc3847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r>
            <w:rPr>
              <w:rFonts w:hint="eastAsia" w:ascii="仿宋_GB2312" w:hAnsi="仿宋_GB2312" w:eastAsia="仿宋_GB2312" w:cs="仿宋_GB2312"/>
              <w:szCs w:val="32"/>
            </w:rPr>
            <w:fldChar w:fldCharType="end"/>
          </w:r>
        </w:p>
      </w:sdtContent>
    </w:sdt>
    <w:p>
      <w:pPr>
        <w:pStyle w:val="18"/>
        <w:adjustRightInd w:val="0"/>
        <w:spacing w:before="0" w:beforeLines="0" w:after="0" w:afterLines="0" w:line="560" w:lineRule="exact"/>
        <w:ind w:firstLine="640" w:firstLineChars="200"/>
        <w:textAlignment w:val="baseline"/>
        <w:outlineLvl w:val="0"/>
        <w:rPr>
          <w:rFonts w:hint="eastAsia" w:ascii="Times New Roman" w:hAnsi="黑体" w:eastAsia="黑体"/>
          <w:b w:val="0"/>
          <w:bCs w:val="0"/>
          <w:sz w:val="32"/>
        </w:rPr>
        <w:sectPr>
          <w:footerReference r:id="rId3" w:type="default"/>
          <w:pgSz w:w="11906" w:h="16838"/>
          <w:pgMar w:top="1440" w:right="1800" w:bottom="1440" w:left="1800" w:header="851" w:footer="992" w:gutter="0"/>
          <w:pgNumType w:start="1"/>
          <w:cols w:space="425" w:num="1"/>
          <w:docGrid w:type="lines" w:linePitch="312" w:charSpace="0"/>
        </w:sectPr>
      </w:pPr>
      <w:bookmarkStart w:id="187" w:name="_GoBack"/>
      <w:bookmarkEnd w:id="187"/>
    </w:p>
    <w:p>
      <w:pPr>
        <w:pStyle w:val="18"/>
        <w:pageBreakBefore w:val="0"/>
        <w:widowControl w:val="0"/>
        <w:kinsoku/>
        <w:wordWrap/>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ascii="Times New Roman" w:hAnsi="Times New Roman" w:eastAsia="黑体"/>
          <w:b w:val="0"/>
          <w:bCs w:val="0"/>
          <w:sz w:val="32"/>
          <w:highlight w:val="none"/>
        </w:rPr>
      </w:pPr>
      <w:bookmarkStart w:id="0" w:name="_Toc29772"/>
      <w:bookmarkStart w:id="1" w:name="_Toc22401"/>
      <w:bookmarkStart w:id="2" w:name="_Toc12234"/>
      <w:r>
        <w:rPr>
          <w:rFonts w:ascii="Times New Roman" w:hAnsi="黑体" w:eastAsia="黑体"/>
          <w:b w:val="0"/>
          <w:bCs w:val="0"/>
          <w:sz w:val="32"/>
          <w:highlight w:val="none"/>
        </w:rPr>
        <w:t>一、项目介绍</w:t>
      </w:r>
      <w:bookmarkEnd w:id="0"/>
      <w:bookmarkEnd w:id="1"/>
      <w:bookmarkEnd w:id="2"/>
    </w:p>
    <w:p>
      <w:pPr>
        <w:pStyle w:val="7"/>
        <w:pageBreakBefore w:val="0"/>
        <w:widowControl w:val="0"/>
        <w:kinsoku/>
        <w:wordWrap/>
        <w:overflowPunct/>
        <w:topLinePunct w:val="0"/>
        <w:autoSpaceDE/>
        <w:autoSpaceDN/>
        <w:bidi w:val="0"/>
        <w:snapToGrid/>
        <w:spacing w:before="0" w:after="0" w:line="560" w:lineRule="exact"/>
        <w:ind w:left="0" w:leftChars="0" w:firstLine="643"/>
        <w:rPr>
          <w:rFonts w:hint="eastAsia" w:ascii="楷体" w:hAnsi="楷体" w:eastAsia="楷体" w:cs="楷体"/>
          <w:highlight w:val="none"/>
          <w:lang w:val="en-US" w:eastAsia="zh-CN"/>
        </w:rPr>
      </w:pPr>
      <w:bookmarkStart w:id="3" w:name="_Toc14418"/>
      <w:bookmarkStart w:id="4" w:name="_Toc20375"/>
      <w:r>
        <w:rPr>
          <w:rFonts w:hint="eastAsia" w:ascii="楷体" w:hAnsi="楷体" w:eastAsia="楷体" w:cs="楷体"/>
          <w:highlight w:val="none"/>
        </w:rPr>
        <w:t>（一）</w:t>
      </w:r>
      <w:r>
        <w:rPr>
          <w:rFonts w:hint="eastAsia" w:ascii="楷体" w:hAnsi="楷体" w:eastAsia="楷体" w:cs="楷体"/>
          <w:b/>
          <w:bCs/>
          <w:color w:val="auto"/>
          <w:sz w:val="32"/>
          <w:szCs w:val="32"/>
          <w:highlight w:val="none"/>
          <w:lang w:val="en-US" w:eastAsia="zh-CN"/>
        </w:rPr>
        <w:t>项目内容</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拟采购移动办公平台建设服务，具体包括：</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1、移动办公应用产品（移动办公APP及服务端、统一身份认证）、安全产品（移动设备管理平台、零信任含沙箱、保密自监管）、密码产品。</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2、集成技术服务实现产品集成设计、开发、测试、投产等服务，应用H5页面集成发布、单点登录接入、第三方应用市场APP发布、等保三级与密评三级技术方案设计及改造等工作，直至项目通过验收。</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3、驻场开发及二级运维服务2年，含高级项目经理1人，高级开发人员1人，提供应用产品日常开发服务及工单服务，自项目通过验收后开始。</w:t>
      </w:r>
    </w:p>
    <w:p>
      <w:pPr>
        <w:pStyle w:val="7"/>
        <w:pageBreakBefore w:val="0"/>
        <w:widowControl w:val="0"/>
        <w:kinsoku/>
        <w:wordWrap/>
        <w:overflowPunct/>
        <w:topLinePunct w:val="0"/>
        <w:autoSpaceDE/>
        <w:autoSpaceDN/>
        <w:bidi w:val="0"/>
        <w:snapToGrid/>
        <w:spacing w:before="0" w:after="0" w:line="560" w:lineRule="exact"/>
        <w:ind w:left="0" w:leftChars="0" w:firstLine="643"/>
        <w:rPr>
          <w:rFonts w:hint="eastAsia" w:ascii="楷体" w:hAnsi="楷体" w:eastAsia="楷体" w:cs="楷体"/>
          <w:highlight w:val="none"/>
          <w:lang w:eastAsia="zh-CN"/>
        </w:rPr>
      </w:pPr>
      <w:r>
        <w:rPr>
          <w:rFonts w:hint="eastAsia" w:ascii="楷体" w:hAnsi="楷体" w:eastAsia="楷体" w:cs="楷体"/>
          <w:highlight w:val="none"/>
        </w:rPr>
        <w:t>（二）功能或目标</w:t>
      </w:r>
    </w:p>
    <w:p>
      <w:pPr>
        <w:pageBreakBefore w:val="0"/>
        <w:widowControl w:val="0"/>
        <w:kinsoku/>
        <w:wordWrap/>
        <w:overflowPunct/>
        <w:topLinePunct w:val="0"/>
        <w:autoSpaceDE/>
        <w:autoSpaceDN/>
        <w:bidi w:val="0"/>
        <w:snapToGrid/>
        <w:spacing w:line="560" w:lineRule="exact"/>
        <w:ind w:left="0" w:leftChars="0" w:firstLine="643" w:firstLineChars="200"/>
        <w:rPr>
          <w:rFonts w:hAnsi="楷体" w:eastAsia="仿宋_GB2312"/>
          <w:b/>
          <w:bCs/>
          <w:sz w:val="32"/>
          <w:szCs w:val="28"/>
          <w:highlight w:val="none"/>
        </w:rPr>
      </w:pPr>
      <w:r>
        <w:rPr>
          <w:rFonts w:hint="eastAsia" w:hAnsi="楷体" w:eastAsia="仿宋_GB2312"/>
          <w:b/>
          <w:bCs/>
          <w:sz w:val="32"/>
          <w:szCs w:val="28"/>
          <w:highlight w:val="none"/>
        </w:rPr>
        <w:t>业务目标：</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1、在行内派发移动设备Pad上为50余名用户实现协同办公系统移动办公，并通过多因子认证实现用户身份鉴别及单点登录。后续根据行内主管部门意见进行调整，逐步扩大范围到全行境内用户在手机端（支持安卓、鸿蒙next系统）、互联网笔记本端（支持windows、国产linux系统）实现协同办公系统移动办公。</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2、移动办公平台基于零信任安全理念进行设计，采用沙箱等技术措施实现防截屏、防拷贝、以及水印设置等安全防护，通过移动设备管理技术对行内派发设备Pad进行管控。</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3、协同办公等应用系统上传附件时提供保密安全检查服务，实现保密自监管。</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4、采用商用密码产品进行保护达到等保三级防护要求及相应的密评要求。</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乙方需保证项目达成效果：</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1、实现应用服务、安全服务、密码服务的集成；为有效规避集成风险，要求中标厂商作为总集成商，承诺严格依照我行项目外包管理及技术方案要求设计集成方案并开展建设工作，确保各环节安全合规；二是在采购需求中，明确要求厂商作出专项承诺，若提供的产品无法满足产品间的集成要求及等保、密评相关标准，或存在兼容问题难以解决，厂商需无条件进行改造或完成产品替换；</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2、依据GB/T 39786-2021《信息安全技术信息系统密码应用基本要求》及业务需求要求，对本项目涉及的各信息系统，分别在物理和环境安全、网络和通信安全、设备和计算安全、应用和数据层安全、密钥管理安全、制度安全等层面进行商用密码应用建设，保障项目相关信息系统终端及用户身份认证的真实性、数据传输与存储的机密性与完整性、重要操作行为的不可否认性。在通过等保三级、密评三级测评的基础上，打造满足高性能、高稳定、高扩展、高安全的移动办公平台。</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项目后续目标：</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1、根据乙方提供的材料，依托原系统平台及行内整体系统架构进行二次开发。为此乙方需保证交付成果可使后续目标能够据此实现。</w:t>
      </w:r>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2、乙方应保障在保修期内提供最新移动设备或移动操作系统的适配改造服务及安全漏洞升级服务。</w:t>
      </w:r>
    </w:p>
    <w:bookmarkEnd w:id="3"/>
    <w:bookmarkEnd w:id="4"/>
    <w:p>
      <w:pPr>
        <w:pStyle w:val="18"/>
        <w:pageBreakBefore w:val="0"/>
        <w:numPr>
          <w:ilvl w:val="0"/>
          <w:numId w:val="1"/>
        </w:numPr>
        <w:kinsoku/>
        <w:overflowPunct/>
        <w:topLinePunct w:val="0"/>
        <w:bidi w:val="0"/>
        <w:adjustRightInd w:val="0"/>
        <w:spacing w:before="0" w:beforeLines="0" w:after="0" w:afterLines="0" w:line="560" w:lineRule="exact"/>
        <w:ind w:left="0" w:leftChars="0" w:firstLine="640" w:firstLineChars="200"/>
        <w:textAlignment w:val="baseline"/>
        <w:outlineLvl w:val="0"/>
        <w:rPr>
          <w:rFonts w:ascii="Times New Roman" w:hAnsi="黑体" w:eastAsia="黑体"/>
          <w:b w:val="0"/>
          <w:bCs w:val="0"/>
          <w:sz w:val="32"/>
          <w:highlight w:val="none"/>
        </w:rPr>
      </w:pPr>
      <w:bookmarkStart w:id="5" w:name="_Toc14009"/>
      <w:bookmarkStart w:id="6" w:name="_Toc26886"/>
      <w:bookmarkStart w:id="7" w:name="_Toc29320"/>
      <w:r>
        <w:rPr>
          <w:rFonts w:ascii="Times New Roman" w:hAnsi="黑体" w:eastAsia="黑体"/>
          <w:b w:val="0"/>
          <w:bCs w:val="0"/>
          <w:sz w:val="32"/>
          <w:highlight w:val="none"/>
        </w:rPr>
        <w:t>服务一览表</w:t>
      </w:r>
      <w:bookmarkEnd w:id="5"/>
      <w:bookmarkEnd w:id="6"/>
      <w:bookmarkEnd w:id="7"/>
    </w:p>
    <w:p>
      <w:pPr>
        <w:pStyle w:val="7"/>
        <w:pageBreakBefore w:val="0"/>
        <w:widowControl w:val="0"/>
        <w:kinsoku/>
        <w:wordWrap/>
        <w:overflowPunct/>
        <w:topLinePunct w:val="0"/>
        <w:autoSpaceDE/>
        <w:autoSpaceDN/>
        <w:bidi w:val="0"/>
        <w:snapToGrid/>
        <w:spacing w:before="0" w:after="0" w:line="560" w:lineRule="exact"/>
        <w:ind w:left="0" w:leftChars="0" w:firstLine="643"/>
        <w:rPr>
          <w:rFonts w:hint="eastAsia" w:ascii="楷体" w:hAnsi="楷体" w:eastAsia="楷体" w:cs="楷体"/>
          <w:highlight w:val="none"/>
          <w:lang w:eastAsia="zh-CN"/>
        </w:rPr>
      </w:pPr>
      <w:r>
        <w:rPr>
          <w:rFonts w:hint="eastAsia" w:ascii="楷体" w:hAnsi="楷体" w:eastAsia="楷体" w:cs="楷体"/>
          <w:highlight w:val="none"/>
          <w:lang w:eastAsia="zh-CN"/>
        </w:rPr>
        <w:t>（</w:t>
      </w:r>
      <w:r>
        <w:rPr>
          <w:rFonts w:hint="eastAsia" w:ascii="楷体" w:hAnsi="楷体" w:eastAsia="楷体" w:cs="楷体"/>
          <w:highlight w:val="none"/>
          <w:lang w:val="en-US" w:eastAsia="zh-CN"/>
        </w:rPr>
        <w:t>一</w:t>
      </w:r>
      <w:r>
        <w:rPr>
          <w:rFonts w:hint="eastAsia" w:ascii="楷体" w:hAnsi="楷体" w:eastAsia="楷体" w:cs="楷体"/>
          <w:highlight w:val="none"/>
          <w:lang w:eastAsia="zh-CN"/>
        </w:rPr>
        <w:t>）</w:t>
      </w:r>
      <w:r>
        <w:rPr>
          <w:rFonts w:hint="eastAsia" w:ascii="楷体" w:hAnsi="楷体" w:eastAsia="楷体" w:cs="楷体"/>
          <w:highlight w:val="none"/>
        </w:rPr>
        <w:t>移动办公平台-建设服务</w:t>
      </w:r>
    </w:p>
    <w:tbl>
      <w:tblPr>
        <w:tblStyle w:val="21"/>
        <w:tblW w:w="9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1340"/>
        <w:gridCol w:w="1605"/>
        <w:gridCol w:w="1829"/>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477" w:type="dxa"/>
            <w:vMerge w:val="restart"/>
            <w:tcBorders>
              <w:top w:val="single" w:color="auto" w:sz="4" w:space="0"/>
              <w:left w:val="single" w:color="auto" w:sz="4" w:space="0"/>
              <w:right w:val="single" w:color="auto" w:sz="4" w:space="0"/>
            </w:tcBorders>
            <w:shd w:val="clear" w:color="auto" w:fill="BFBFBF"/>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序号</w:t>
            </w:r>
          </w:p>
        </w:tc>
        <w:tc>
          <w:tcPr>
            <w:tcW w:w="1340" w:type="dxa"/>
            <w:vMerge w:val="restart"/>
            <w:tcBorders>
              <w:top w:val="single" w:color="auto" w:sz="4" w:space="0"/>
              <w:left w:val="single" w:color="auto" w:sz="4" w:space="0"/>
              <w:right w:val="single" w:color="auto" w:sz="4" w:space="0"/>
            </w:tcBorders>
            <w:shd w:val="clear" w:color="auto" w:fill="BFBFBF"/>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服务名称</w:t>
            </w:r>
          </w:p>
        </w:tc>
        <w:tc>
          <w:tcPr>
            <w:tcW w:w="1605" w:type="dxa"/>
            <w:vMerge w:val="restart"/>
            <w:tcBorders>
              <w:top w:val="single" w:color="auto" w:sz="4" w:space="0"/>
              <w:left w:val="single" w:color="auto" w:sz="4" w:space="0"/>
              <w:right w:val="single" w:color="auto" w:sz="4" w:space="0"/>
            </w:tcBorders>
            <w:shd w:val="clear" w:color="auto" w:fill="BFBFBF"/>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服务期</w:t>
            </w:r>
          </w:p>
        </w:tc>
        <w:tc>
          <w:tcPr>
            <w:tcW w:w="1829" w:type="dxa"/>
            <w:vMerge w:val="restart"/>
            <w:tcBorders>
              <w:top w:val="single" w:color="auto" w:sz="4" w:space="0"/>
              <w:left w:val="single" w:color="auto" w:sz="4" w:space="0"/>
              <w:right w:val="single" w:color="auto" w:sz="4" w:space="0"/>
            </w:tcBorders>
            <w:shd w:val="clear" w:color="auto" w:fill="BFBFBF"/>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服务人员和数量要求</w:t>
            </w:r>
          </w:p>
        </w:tc>
        <w:tc>
          <w:tcPr>
            <w:tcW w:w="3828" w:type="dxa"/>
            <w:vMerge w:val="restart"/>
            <w:tcBorders>
              <w:top w:val="single" w:color="auto" w:sz="4" w:space="0"/>
              <w:left w:val="single" w:color="auto" w:sz="4" w:space="0"/>
              <w:right w:val="single" w:color="auto" w:sz="4" w:space="0"/>
            </w:tcBorders>
            <w:shd w:val="clear" w:color="auto" w:fill="BFBFBF"/>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477" w:type="dxa"/>
            <w:vMerge w:val="continue"/>
            <w:tcBorders>
              <w:left w:val="single" w:color="auto" w:sz="4" w:space="0"/>
              <w:bottom w:val="single" w:color="auto" w:sz="4" w:space="0"/>
              <w:right w:val="single" w:color="auto" w:sz="4" w:space="0"/>
            </w:tcBorders>
            <w:shd w:val="clear" w:color="auto" w:fill="BFBFBF"/>
            <w:vAlign w:val="center"/>
          </w:tcPr>
          <w:p>
            <w:pPr>
              <w:keepNext/>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b/>
                <w:color w:val="auto"/>
                <w:sz w:val="21"/>
                <w:szCs w:val="21"/>
                <w:highlight w:val="none"/>
              </w:rPr>
            </w:pPr>
          </w:p>
        </w:tc>
        <w:tc>
          <w:tcPr>
            <w:tcW w:w="1340" w:type="dxa"/>
            <w:vMerge w:val="continue"/>
            <w:tcBorders>
              <w:left w:val="single" w:color="auto" w:sz="4" w:space="0"/>
              <w:bottom w:val="single" w:color="auto" w:sz="4" w:space="0"/>
              <w:right w:val="single" w:color="auto" w:sz="4" w:space="0"/>
            </w:tcBorders>
            <w:shd w:val="clear" w:color="auto" w:fill="BFBFBF"/>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color w:val="auto"/>
                <w:sz w:val="21"/>
                <w:szCs w:val="21"/>
                <w:highlight w:val="none"/>
              </w:rPr>
            </w:pPr>
          </w:p>
        </w:tc>
        <w:tc>
          <w:tcPr>
            <w:tcW w:w="1605" w:type="dxa"/>
            <w:vMerge w:val="continue"/>
            <w:tcBorders>
              <w:left w:val="single" w:color="auto" w:sz="4" w:space="0"/>
              <w:bottom w:val="single" w:color="auto" w:sz="4" w:space="0"/>
              <w:right w:val="single" w:color="auto" w:sz="4" w:space="0"/>
            </w:tcBorders>
            <w:shd w:val="clear" w:color="auto" w:fill="BFBFBF"/>
            <w:vAlign w:val="center"/>
          </w:tcPr>
          <w:p>
            <w:pPr>
              <w:keepNext/>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b/>
                <w:color w:val="auto"/>
                <w:sz w:val="21"/>
                <w:szCs w:val="21"/>
                <w:highlight w:val="none"/>
              </w:rPr>
            </w:pPr>
          </w:p>
        </w:tc>
        <w:tc>
          <w:tcPr>
            <w:tcW w:w="1829" w:type="dxa"/>
            <w:vMerge w:val="continue"/>
            <w:tcBorders>
              <w:left w:val="single" w:color="auto" w:sz="4" w:space="0"/>
              <w:bottom w:val="single" w:color="auto" w:sz="4" w:space="0"/>
              <w:right w:val="single" w:color="auto" w:sz="4" w:space="0"/>
            </w:tcBorders>
            <w:shd w:val="clear" w:color="auto" w:fill="BFBFBF"/>
            <w:vAlign w:val="center"/>
          </w:tcPr>
          <w:p>
            <w:pPr>
              <w:keepNext/>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b/>
                <w:color w:val="auto"/>
                <w:sz w:val="21"/>
                <w:szCs w:val="21"/>
                <w:highlight w:val="none"/>
              </w:rPr>
            </w:pPr>
          </w:p>
        </w:tc>
        <w:tc>
          <w:tcPr>
            <w:tcW w:w="3828" w:type="dxa"/>
            <w:vMerge w:val="continue"/>
            <w:tcBorders>
              <w:left w:val="single" w:color="auto" w:sz="4" w:space="0"/>
              <w:bottom w:val="single" w:color="auto" w:sz="4" w:space="0"/>
              <w:right w:val="single" w:color="auto" w:sz="4" w:space="0"/>
            </w:tcBorders>
            <w:shd w:val="clear" w:color="auto" w:fill="BFBFBF"/>
            <w:vAlign w:val="center"/>
          </w:tcPr>
          <w:p>
            <w:pPr>
              <w:keepNext/>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2" w:hRule="atLeast"/>
          <w:jc w:val="center"/>
        </w:trPr>
        <w:tc>
          <w:tcPr>
            <w:tcW w:w="477" w:type="dxa"/>
            <w:vMerge w:val="restart"/>
            <w:tcBorders>
              <w:top w:val="single" w:color="auto" w:sz="4" w:space="0"/>
              <w:left w:val="single" w:color="auto" w:sz="4" w:space="0"/>
              <w:right w:val="single" w:color="auto" w:sz="4" w:space="0"/>
            </w:tcBorders>
            <w:vAlign w:val="center"/>
          </w:tcPr>
          <w:p>
            <w:pPr>
              <w:keepNext/>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1340" w:type="dxa"/>
            <w:vMerge w:val="restart"/>
            <w:tcBorders>
              <w:top w:val="single" w:color="auto" w:sz="4" w:space="0"/>
              <w:left w:val="single" w:color="auto" w:sz="4" w:space="0"/>
              <w:right w:val="single" w:color="auto" w:sz="4" w:space="0"/>
            </w:tcBorders>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移动办公平台-</w:t>
            </w:r>
            <w:r>
              <w:rPr>
                <w:rFonts w:hint="eastAsia" w:ascii="仿宋" w:hAnsi="仿宋" w:eastAsia="仿宋" w:cs="仿宋"/>
                <w:color w:val="auto"/>
                <w:sz w:val="21"/>
                <w:szCs w:val="21"/>
                <w:highlight w:val="none"/>
                <w:lang w:val="en-US" w:eastAsia="zh-CN"/>
              </w:rPr>
              <w:t>系统</w:t>
            </w:r>
            <w:r>
              <w:rPr>
                <w:rFonts w:hint="eastAsia" w:ascii="仿宋" w:hAnsi="仿宋" w:eastAsia="仿宋" w:cs="仿宋"/>
                <w:color w:val="auto"/>
                <w:sz w:val="21"/>
                <w:szCs w:val="21"/>
                <w:highlight w:val="none"/>
              </w:rPr>
              <w:t>建设</w:t>
            </w:r>
          </w:p>
        </w:tc>
        <w:tc>
          <w:tcPr>
            <w:tcW w:w="1605" w:type="dxa"/>
            <w:vMerge w:val="restart"/>
            <w:tcBorders>
              <w:top w:val="single" w:color="auto" w:sz="4" w:space="0"/>
              <w:left w:val="single" w:color="auto" w:sz="4" w:space="0"/>
              <w:right w:val="single" w:color="auto" w:sz="4" w:space="0"/>
            </w:tcBorders>
            <w:vAlign w:val="center"/>
          </w:tcPr>
          <w:p>
            <w:pPr>
              <w:keepNext/>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签订合同之日起至项目验收通过后维保期满两年</w:t>
            </w:r>
          </w:p>
        </w:tc>
        <w:tc>
          <w:tcPr>
            <w:tcW w:w="1829" w:type="dxa"/>
            <w:vMerge w:val="restart"/>
            <w:tcBorders>
              <w:top w:val="single" w:color="auto" w:sz="4" w:space="0"/>
              <w:left w:val="single" w:color="auto" w:sz="4" w:space="0"/>
              <w:right w:val="single" w:color="auto" w:sz="4" w:space="0"/>
            </w:tcBorders>
            <w:vAlign w:val="center"/>
          </w:tcPr>
          <w:p>
            <w:pPr>
              <w:keepNext/>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项目经理，系统分析师，安全架构师、网络安全工程师、国产化基础环境工程师、开发人员等（中级以上）</w:t>
            </w:r>
          </w:p>
        </w:tc>
        <w:tc>
          <w:tcPr>
            <w:tcW w:w="3828" w:type="dxa"/>
            <w:vMerge w:val="restart"/>
            <w:tcBorders>
              <w:top w:val="single" w:color="auto" w:sz="4" w:space="0"/>
              <w:left w:val="single" w:color="auto" w:sz="4" w:space="0"/>
              <w:right w:val="single" w:color="auto" w:sz="4" w:space="0"/>
            </w:tcBorders>
            <w:vAlign w:val="center"/>
          </w:tcPr>
          <w:p>
            <w:pPr>
              <w:keepNext/>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按照我行移动办公需求开展系统建设，负责应用</w:t>
            </w:r>
            <w:r>
              <w:rPr>
                <w:rFonts w:hint="eastAsia" w:ascii="仿宋" w:hAnsi="仿宋" w:eastAsia="仿宋" w:cs="仿宋"/>
                <w:color w:val="auto"/>
                <w:sz w:val="21"/>
                <w:szCs w:val="21"/>
                <w:highlight w:val="none"/>
                <w:lang w:val="en-US" w:eastAsia="zh-CN"/>
              </w:rPr>
              <w:t>服务</w:t>
            </w:r>
            <w:r>
              <w:rPr>
                <w:rFonts w:hint="eastAsia" w:ascii="仿宋" w:hAnsi="仿宋" w:eastAsia="仿宋" w:cs="仿宋"/>
                <w:color w:val="auto"/>
                <w:sz w:val="21"/>
                <w:szCs w:val="21"/>
                <w:highlight w:val="none"/>
              </w:rPr>
              <w:t>、安全</w:t>
            </w:r>
            <w:r>
              <w:rPr>
                <w:rFonts w:hint="eastAsia" w:ascii="仿宋" w:hAnsi="仿宋" w:eastAsia="仿宋" w:cs="仿宋"/>
                <w:color w:val="auto"/>
                <w:sz w:val="21"/>
                <w:szCs w:val="21"/>
                <w:highlight w:val="none"/>
                <w:lang w:val="en-US" w:eastAsia="zh-CN"/>
              </w:rPr>
              <w:t>服务</w:t>
            </w:r>
            <w:r>
              <w:rPr>
                <w:rFonts w:hint="eastAsia" w:ascii="仿宋" w:hAnsi="仿宋" w:eastAsia="仿宋" w:cs="仿宋"/>
                <w:color w:val="auto"/>
                <w:sz w:val="21"/>
                <w:szCs w:val="21"/>
                <w:highlight w:val="none"/>
              </w:rPr>
              <w:t>、密码</w:t>
            </w:r>
            <w:r>
              <w:rPr>
                <w:rFonts w:hint="eastAsia" w:ascii="仿宋" w:hAnsi="仿宋" w:eastAsia="仿宋" w:cs="仿宋"/>
                <w:color w:val="auto"/>
                <w:sz w:val="21"/>
                <w:szCs w:val="21"/>
                <w:highlight w:val="none"/>
                <w:lang w:val="en-US" w:eastAsia="zh-CN"/>
              </w:rPr>
              <w:t>服务</w:t>
            </w:r>
            <w:r>
              <w:rPr>
                <w:rFonts w:hint="eastAsia" w:ascii="仿宋" w:hAnsi="仿宋" w:eastAsia="仿宋" w:cs="仿宋"/>
                <w:color w:val="auto"/>
                <w:sz w:val="21"/>
                <w:szCs w:val="21"/>
                <w:highlight w:val="none"/>
              </w:rPr>
              <w:t>相关产品及技术方案的总体集成工作。在合同签订后</w:t>
            </w:r>
            <w:r>
              <w:rPr>
                <w:rFonts w:hint="eastAsia" w:ascii="仿宋" w:hAnsi="仿宋" w:eastAsia="仿宋" w:cs="仿宋"/>
                <w:color w:val="auto"/>
                <w:sz w:val="21"/>
                <w:szCs w:val="21"/>
                <w:highlight w:val="none"/>
                <w:lang w:val="en-US" w:eastAsia="zh-CN"/>
              </w:rPr>
              <w:t>6</w:t>
            </w:r>
            <w:r>
              <w:rPr>
                <w:rFonts w:hint="eastAsia" w:ascii="仿宋" w:hAnsi="仿宋" w:eastAsia="仿宋" w:cs="仿宋"/>
                <w:color w:val="auto"/>
                <w:sz w:val="21"/>
                <w:szCs w:val="21"/>
                <w:highlight w:val="none"/>
              </w:rPr>
              <w:t>个月内完成投产上线工作，后续应通过三级等保及相应商用密码测评工作，项目通过验收起进入2年维保期，期间持续开展系统缺陷修复、安全漏洞修复工作、开源软件及组件升级与维护、协助开展系统使用培训、业务培训、技术支持和现场指导服务等；适配新</w:t>
            </w:r>
            <w:r>
              <w:rPr>
                <w:rFonts w:hint="eastAsia" w:ascii="仿宋" w:hAnsi="仿宋" w:eastAsia="仿宋" w:cs="仿宋"/>
                <w:color w:val="auto"/>
                <w:sz w:val="21"/>
                <w:szCs w:val="21"/>
                <w:highlight w:val="none"/>
                <w:lang w:val="en-US" w:eastAsia="zh-CN"/>
              </w:rPr>
              <w:t>发布的移动产品，主要涉及</w:t>
            </w:r>
            <w:r>
              <w:rPr>
                <w:rFonts w:hint="eastAsia" w:ascii="仿宋" w:hAnsi="仿宋" w:eastAsia="仿宋" w:cs="仿宋"/>
                <w:color w:val="auto"/>
                <w:sz w:val="21"/>
                <w:szCs w:val="21"/>
                <w:highlight w:val="none"/>
              </w:rPr>
              <w:t>操作系统更新、硬件升级和应用兼容性优化</w:t>
            </w:r>
            <w:r>
              <w:rPr>
                <w:rFonts w:hint="eastAsia" w:ascii="仿宋" w:hAnsi="仿宋" w:eastAsia="仿宋" w:cs="仿宋"/>
                <w:color w:val="auto"/>
                <w:sz w:val="21"/>
                <w:szCs w:val="21"/>
                <w:highlight w:val="none"/>
                <w:lang w:val="en-US" w:eastAsia="zh-CN"/>
              </w:rPr>
              <w:t>等；</w:t>
            </w:r>
            <w:r>
              <w:rPr>
                <w:rFonts w:hint="eastAsia" w:ascii="仿宋" w:hAnsi="仿宋" w:eastAsia="仿宋" w:cs="仿宋"/>
                <w:color w:val="auto"/>
                <w:sz w:val="21"/>
                <w:szCs w:val="21"/>
                <w:highlight w:val="none"/>
              </w:rPr>
              <w:t>维保期满提供工作总结。</w:t>
            </w:r>
          </w:p>
          <w:p>
            <w:pPr>
              <w:pStyle w:val="8"/>
              <w:keepNext/>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如涉及许可或授权，应满足我行使用。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77" w:type="dxa"/>
            <w:tcBorders>
              <w:top w:val="single" w:color="auto" w:sz="4" w:space="0"/>
              <w:left w:val="single" w:color="auto" w:sz="4" w:space="0"/>
              <w:right w:val="single" w:color="auto" w:sz="4" w:space="0"/>
            </w:tcBorders>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0000FF"/>
                <w:sz w:val="21"/>
                <w:szCs w:val="21"/>
                <w:highlight w:val="none"/>
              </w:rPr>
            </w:pPr>
            <w:r>
              <w:rPr>
                <w:rFonts w:hint="eastAsia" w:ascii="仿宋" w:hAnsi="仿宋" w:eastAsia="仿宋" w:cs="仿宋"/>
                <w:color w:val="0000FF"/>
                <w:sz w:val="21"/>
                <w:szCs w:val="21"/>
                <w:highlight w:val="none"/>
              </w:rPr>
              <w:t>2</w:t>
            </w:r>
          </w:p>
        </w:tc>
        <w:tc>
          <w:tcPr>
            <w:tcW w:w="1340" w:type="dxa"/>
            <w:tcBorders>
              <w:top w:val="single" w:color="auto" w:sz="4" w:space="0"/>
              <w:left w:val="single" w:color="auto" w:sz="4" w:space="0"/>
              <w:right w:val="single" w:color="auto" w:sz="4" w:space="0"/>
            </w:tcBorders>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驻场开发及二级运维服务</w:t>
            </w:r>
          </w:p>
        </w:tc>
        <w:tc>
          <w:tcPr>
            <w:tcW w:w="1605" w:type="dxa"/>
            <w:tcBorders>
              <w:top w:val="single" w:color="auto" w:sz="4" w:space="0"/>
              <w:left w:val="single" w:color="auto" w:sz="4" w:space="0"/>
              <w:right w:val="single" w:color="auto" w:sz="4" w:space="0"/>
            </w:tcBorders>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项目验收通过后24个月</w:t>
            </w:r>
          </w:p>
        </w:tc>
        <w:tc>
          <w:tcPr>
            <w:tcW w:w="1829" w:type="dxa"/>
            <w:tcBorders>
              <w:top w:val="single" w:color="auto" w:sz="4" w:space="0"/>
              <w:left w:val="single" w:color="auto" w:sz="4" w:space="0"/>
              <w:right w:val="single" w:color="auto" w:sz="4" w:space="0"/>
            </w:tcBorders>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0000FF"/>
                <w:sz w:val="21"/>
                <w:szCs w:val="21"/>
                <w:highlight w:val="none"/>
              </w:rPr>
            </w:pPr>
            <w:r>
              <w:rPr>
                <w:rFonts w:hint="eastAsia" w:ascii="仿宋" w:hAnsi="仿宋" w:eastAsia="仿宋" w:cs="仿宋"/>
                <w:sz w:val="21"/>
                <w:szCs w:val="21"/>
                <w:highlight w:val="none"/>
              </w:rPr>
              <w:t>项目经理1人（高级），开发和二级运维技术人员1人（中级以上）</w:t>
            </w:r>
          </w:p>
        </w:tc>
        <w:tc>
          <w:tcPr>
            <w:tcW w:w="3828" w:type="dxa"/>
            <w:tcBorders>
              <w:top w:val="single" w:color="auto" w:sz="4" w:space="0"/>
              <w:left w:val="single" w:color="auto" w:sz="4" w:space="0"/>
              <w:right w:val="single" w:color="auto" w:sz="4" w:space="0"/>
            </w:tcBorders>
            <w:vAlign w:val="center"/>
          </w:tcPr>
          <w:p>
            <w:pPr>
              <w:keepNext/>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0000FF"/>
                <w:sz w:val="21"/>
                <w:szCs w:val="21"/>
                <w:highlight w:val="none"/>
              </w:rPr>
            </w:pPr>
            <w:r>
              <w:rPr>
                <w:rFonts w:hint="eastAsia" w:ascii="仿宋" w:hAnsi="仿宋" w:eastAsia="仿宋" w:cs="仿宋"/>
                <w:sz w:val="21"/>
                <w:szCs w:val="21"/>
                <w:highlight w:val="none"/>
              </w:rPr>
              <w:t>按照甲方要求完成移动办公APP及服务端、统一身份认证新功能开发、功能优化和改进；提供二级运维技术支持，包括工单问题分析和处理、业务咨询、新功能引发的故障分析处理；完成甲方交办的其他工作。</w:t>
            </w:r>
          </w:p>
        </w:tc>
      </w:tr>
    </w:tbl>
    <w:p>
      <w:pPr>
        <w:pStyle w:val="7"/>
        <w:pageBreakBefore w:val="0"/>
        <w:widowControl w:val="0"/>
        <w:kinsoku/>
        <w:wordWrap/>
        <w:overflowPunct/>
        <w:topLinePunct w:val="0"/>
        <w:autoSpaceDE/>
        <w:autoSpaceDN/>
        <w:bidi w:val="0"/>
        <w:snapToGrid/>
        <w:spacing w:before="0" w:after="0" w:line="560" w:lineRule="exact"/>
        <w:ind w:left="0" w:leftChars="0" w:firstLine="643"/>
        <w:rPr>
          <w:rFonts w:hint="eastAsia" w:ascii="楷体" w:hAnsi="楷体" w:eastAsia="楷体" w:cs="楷体"/>
          <w:highlight w:val="none"/>
          <w:lang w:eastAsia="zh-CN"/>
        </w:rPr>
      </w:pPr>
      <w:r>
        <w:rPr>
          <w:rFonts w:hint="eastAsia" w:ascii="楷体" w:hAnsi="楷体" w:eastAsia="楷体" w:cs="楷体"/>
          <w:highlight w:val="none"/>
          <w:lang w:eastAsia="zh-CN"/>
        </w:rPr>
        <w:t>（</w:t>
      </w:r>
      <w:r>
        <w:rPr>
          <w:rFonts w:hint="eastAsia" w:ascii="楷体" w:hAnsi="楷体" w:eastAsia="楷体" w:cs="楷体"/>
          <w:highlight w:val="none"/>
          <w:lang w:val="en-US" w:eastAsia="zh-CN"/>
        </w:rPr>
        <w:t>二</w:t>
      </w:r>
      <w:r>
        <w:rPr>
          <w:rFonts w:hint="eastAsia" w:ascii="楷体" w:hAnsi="楷体" w:eastAsia="楷体" w:cs="楷体"/>
          <w:highlight w:val="none"/>
          <w:lang w:eastAsia="zh-CN"/>
        </w:rPr>
        <w:t>）应用</w:t>
      </w:r>
      <w:r>
        <w:rPr>
          <w:rFonts w:hint="eastAsia" w:ascii="楷体" w:hAnsi="楷体" w:eastAsia="楷体" w:cs="楷体"/>
          <w:highlight w:val="none"/>
          <w:lang w:val="en-US" w:eastAsia="zh-CN"/>
        </w:rPr>
        <w:t>服务</w:t>
      </w:r>
    </w:p>
    <w:tbl>
      <w:tblPr>
        <w:tblStyle w:val="21"/>
        <w:tblW w:w="9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4"/>
        <w:gridCol w:w="3216"/>
        <w:gridCol w:w="2010"/>
        <w:gridCol w:w="817"/>
        <w:gridCol w:w="817"/>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524" w:type="dxa"/>
            <w:tcBorders>
              <w:top w:val="single" w:color="auto" w:sz="4" w:space="0"/>
              <w:left w:val="single" w:color="auto" w:sz="4" w:space="0"/>
              <w:right w:val="single" w:color="auto" w:sz="4" w:space="0"/>
            </w:tcBorders>
            <w:shd w:val="clear" w:color="auto" w:fill="BFBFBF"/>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采购内容</w:t>
            </w:r>
          </w:p>
        </w:tc>
        <w:tc>
          <w:tcPr>
            <w:tcW w:w="3216" w:type="dxa"/>
            <w:tcBorders>
              <w:top w:val="single" w:color="auto" w:sz="4" w:space="0"/>
              <w:left w:val="single" w:color="auto" w:sz="4" w:space="0"/>
              <w:right w:val="single" w:color="auto" w:sz="4" w:space="0"/>
            </w:tcBorders>
            <w:shd w:val="clear" w:color="auto" w:fill="BFBFBF"/>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产品要求</w:t>
            </w:r>
          </w:p>
        </w:tc>
        <w:tc>
          <w:tcPr>
            <w:tcW w:w="2010" w:type="dxa"/>
            <w:tcBorders>
              <w:top w:val="single" w:color="auto" w:sz="4" w:space="0"/>
              <w:left w:val="single" w:color="auto" w:sz="4" w:space="0"/>
              <w:right w:val="single" w:color="auto" w:sz="4" w:space="0"/>
            </w:tcBorders>
            <w:shd w:val="clear" w:color="auto" w:fill="BFBFBF"/>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许可要求</w:t>
            </w:r>
          </w:p>
        </w:tc>
        <w:tc>
          <w:tcPr>
            <w:tcW w:w="817" w:type="dxa"/>
            <w:tcBorders>
              <w:top w:val="single" w:color="auto" w:sz="4" w:space="0"/>
              <w:left w:val="single" w:color="auto" w:sz="4" w:space="0"/>
              <w:right w:val="single" w:color="auto" w:sz="4" w:space="0"/>
            </w:tcBorders>
            <w:shd w:val="clear" w:color="auto" w:fill="BFBFBF"/>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单位</w:t>
            </w:r>
          </w:p>
        </w:tc>
        <w:tc>
          <w:tcPr>
            <w:tcW w:w="817" w:type="dxa"/>
            <w:tcBorders>
              <w:top w:val="single" w:color="auto" w:sz="4" w:space="0"/>
              <w:left w:val="single" w:color="auto" w:sz="4" w:space="0"/>
              <w:right w:val="single" w:color="auto" w:sz="4" w:space="0"/>
            </w:tcBorders>
            <w:shd w:val="clear" w:color="auto" w:fill="BFBFBF"/>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数量</w:t>
            </w:r>
          </w:p>
        </w:tc>
        <w:tc>
          <w:tcPr>
            <w:tcW w:w="876" w:type="dxa"/>
            <w:tcBorders>
              <w:top w:val="single" w:color="auto" w:sz="4" w:space="0"/>
              <w:left w:val="single" w:color="auto" w:sz="4" w:space="0"/>
              <w:right w:val="single" w:color="auto" w:sz="4" w:space="0"/>
            </w:tcBorders>
            <w:shd w:val="clear" w:color="auto" w:fill="BFBFBF"/>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24"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移动办公APP及服务端</w:t>
            </w:r>
          </w:p>
        </w:tc>
        <w:tc>
          <w:tcPr>
            <w:tcW w:w="321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移动办公APP在Pad端、手机端支持安卓、鸿蒙next系统，互联网笔记本端支持windows、国产linux系统</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麒麟、统信</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，能够与主流移动终端品牌厂商含华为、小米、vivo等产品适配，</w:t>
            </w:r>
          </w:p>
          <w:p>
            <w:pPr>
              <w:keepNext w:val="0"/>
              <w:keepLines w:val="0"/>
              <w:pageBreakBefore w:val="0"/>
              <w:widowControl w:val="0"/>
              <w:numPr>
                <w:ilvl w:val="0"/>
                <w:numId w:val="0"/>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2.</w:t>
            </w:r>
            <w:r>
              <w:rPr>
                <w:rFonts w:hint="eastAsia" w:ascii="仿宋" w:hAnsi="仿宋" w:eastAsia="仿宋" w:cs="仿宋"/>
                <w:i w:val="0"/>
                <w:iCs w:val="0"/>
                <w:caps w:val="0"/>
                <w:spacing w:val="0"/>
                <w:kern w:val="2"/>
                <w:sz w:val="22"/>
                <w:szCs w:val="21"/>
                <w:highlight w:val="none"/>
                <w:lang w:val="en-US" w:eastAsia="zh-CN" w:bidi="ar"/>
              </w:rPr>
              <w:t>需提供与本项目生产环境软、硬件型号一致的开发测试环境全套产品含永久授权，授权范围需覆盖测试场景下的全功能使用需求，无使用期限、并发用户数等限制，用于满足测试验证工作。上述除硬件设备外，其余赠送。</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2"/>
                <w:szCs w:val="22"/>
                <w:highlight w:val="none"/>
              </w:rPr>
            </w:pPr>
            <w:r>
              <w:rPr>
                <w:rFonts w:hint="eastAsia" w:ascii="仿宋" w:hAnsi="仿宋" w:eastAsia="仿宋" w:cs="仿宋"/>
                <w:i w:val="0"/>
                <w:iCs w:val="0"/>
                <w:caps w:val="0"/>
                <w:spacing w:val="0"/>
                <w:kern w:val="2"/>
                <w:sz w:val="22"/>
                <w:szCs w:val="21"/>
                <w:highlight w:val="none"/>
                <w:lang w:val="en-US" w:eastAsia="zh-CN" w:bidi="ar"/>
              </w:rPr>
              <w:t>3.含2年原厂维保服务，</w:t>
            </w:r>
            <w:r>
              <w:rPr>
                <w:rFonts w:hint="eastAsia" w:ascii="仿宋" w:hAnsi="仿宋" w:eastAsia="仿宋" w:cs="仿宋"/>
                <w:color w:val="auto"/>
                <w:sz w:val="22"/>
                <w:szCs w:val="22"/>
                <w:highlight w:val="none"/>
              </w:rPr>
              <w:t>详见服务要求</w:t>
            </w:r>
            <w:r>
              <w:rPr>
                <w:rFonts w:hint="eastAsia" w:ascii="仿宋" w:hAnsi="仿宋" w:eastAsia="仿宋" w:cs="仿宋"/>
                <w:color w:val="auto"/>
                <w:sz w:val="22"/>
                <w:szCs w:val="22"/>
                <w:highlight w:val="none"/>
                <w:lang w:eastAsia="zh-CN"/>
              </w:rPr>
              <w:t>。</w:t>
            </w:r>
          </w:p>
        </w:tc>
        <w:tc>
          <w:tcPr>
            <w:tcW w:w="201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永久授权。</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无地域限制。</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至少</w:t>
            </w:r>
            <w:r>
              <w:rPr>
                <w:rFonts w:hint="eastAsia" w:ascii="仿宋" w:hAnsi="仿宋" w:eastAsia="仿宋" w:cs="仿宋"/>
                <w:color w:val="auto"/>
                <w:sz w:val="22"/>
                <w:szCs w:val="22"/>
                <w:highlight w:val="none"/>
              </w:rPr>
              <w:t>满足</w:t>
            </w:r>
            <w:r>
              <w:rPr>
                <w:rFonts w:hint="eastAsia" w:ascii="仿宋" w:hAnsi="仿宋" w:eastAsia="仿宋" w:cs="仿宋"/>
                <w:color w:val="auto"/>
                <w:sz w:val="22"/>
                <w:szCs w:val="22"/>
                <w:highlight w:val="none"/>
                <w:lang w:val="en-US" w:eastAsia="zh-CN"/>
              </w:rPr>
              <w:t>100用户使用</w:t>
            </w:r>
            <w:r>
              <w:rPr>
                <w:rFonts w:hint="eastAsia" w:ascii="仿宋" w:hAnsi="仿宋" w:eastAsia="仿宋" w:cs="仿宋"/>
                <w:color w:val="auto"/>
                <w:sz w:val="22"/>
                <w:szCs w:val="22"/>
                <w:highlight w:val="none"/>
              </w:rPr>
              <w:t>Pad、6000用户使用手机、互联网笔记本同时</w:t>
            </w:r>
            <w:r>
              <w:rPr>
                <w:rFonts w:hint="eastAsia" w:ascii="仿宋" w:hAnsi="仿宋" w:eastAsia="仿宋" w:cs="仿宋"/>
                <w:color w:val="auto"/>
                <w:sz w:val="22"/>
                <w:szCs w:val="22"/>
                <w:highlight w:val="none"/>
                <w:lang w:val="en-US" w:eastAsia="zh-CN"/>
              </w:rPr>
              <w:t>在线需求</w:t>
            </w:r>
            <w:r>
              <w:rPr>
                <w:rFonts w:hint="eastAsia" w:ascii="仿宋" w:hAnsi="仿宋" w:eastAsia="仿宋" w:cs="仿宋"/>
                <w:color w:val="auto"/>
                <w:sz w:val="22"/>
                <w:szCs w:val="22"/>
                <w:highlight w:val="none"/>
              </w:rPr>
              <w:t>。</w:t>
            </w:r>
          </w:p>
        </w:tc>
        <w:tc>
          <w:tcPr>
            <w:tcW w:w="817"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套</w:t>
            </w:r>
          </w:p>
        </w:tc>
        <w:tc>
          <w:tcPr>
            <w:tcW w:w="817"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w:t>
            </w:r>
          </w:p>
        </w:tc>
        <w:tc>
          <w:tcPr>
            <w:tcW w:w="87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是</w:t>
            </w:r>
          </w:p>
        </w:tc>
      </w:tr>
    </w:tbl>
    <w:p>
      <w:pPr>
        <w:pStyle w:val="7"/>
        <w:pageBreakBefore w:val="0"/>
        <w:widowControl w:val="0"/>
        <w:kinsoku/>
        <w:wordWrap/>
        <w:overflowPunct/>
        <w:topLinePunct w:val="0"/>
        <w:autoSpaceDE/>
        <w:autoSpaceDN/>
        <w:bidi w:val="0"/>
        <w:snapToGrid/>
        <w:spacing w:before="0" w:after="0" w:line="560" w:lineRule="exact"/>
        <w:ind w:left="0" w:leftChars="0" w:firstLine="643"/>
        <w:rPr>
          <w:rFonts w:hint="eastAsia" w:ascii="楷体" w:hAnsi="楷体" w:eastAsia="楷体" w:cs="楷体"/>
          <w:highlight w:val="none"/>
          <w:lang w:val="en-US" w:eastAsia="zh-CN"/>
        </w:rPr>
      </w:pPr>
      <w:r>
        <w:rPr>
          <w:rFonts w:hint="eastAsia" w:ascii="楷体" w:hAnsi="楷体" w:eastAsia="楷体" w:cs="楷体"/>
          <w:highlight w:val="none"/>
          <w:lang w:val="en-US" w:eastAsia="zh-CN"/>
        </w:rPr>
        <w:t>（三）安全服务</w:t>
      </w:r>
    </w:p>
    <w:tbl>
      <w:tblPr>
        <w:tblStyle w:val="21"/>
        <w:tblW w:w="95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3216"/>
        <w:gridCol w:w="2405"/>
        <w:gridCol w:w="817"/>
        <w:gridCol w:w="817"/>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418"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采购内容</w:t>
            </w:r>
          </w:p>
        </w:tc>
        <w:tc>
          <w:tcPr>
            <w:tcW w:w="3216"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color w:val="auto"/>
                <w:sz w:val="24"/>
                <w:highlight w:val="none"/>
                <w:lang w:eastAsia="zh-CN"/>
              </w:rPr>
            </w:pPr>
            <w:r>
              <w:rPr>
                <w:rFonts w:hint="eastAsia" w:ascii="仿宋" w:hAnsi="仿宋" w:eastAsia="仿宋" w:cs="仿宋"/>
                <w:b/>
                <w:bCs/>
                <w:color w:val="auto"/>
                <w:sz w:val="24"/>
                <w:highlight w:val="none"/>
                <w:lang w:eastAsia="zh-CN"/>
              </w:rPr>
              <w:t>产品要求</w:t>
            </w:r>
          </w:p>
        </w:tc>
        <w:tc>
          <w:tcPr>
            <w:tcW w:w="2405"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许可要求</w:t>
            </w:r>
          </w:p>
        </w:tc>
        <w:tc>
          <w:tcPr>
            <w:tcW w:w="817"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color w:val="auto"/>
                <w:sz w:val="24"/>
                <w:highlight w:val="none"/>
                <w:lang w:eastAsia="zh-CN"/>
              </w:rPr>
            </w:pPr>
            <w:r>
              <w:rPr>
                <w:rFonts w:hint="eastAsia" w:ascii="仿宋" w:hAnsi="仿宋" w:eastAsia="仿宋" w:cs="仿宋"/>
                <w:b/>
                <w:bCs/>
                <w:color w:val="auto"/>
                <w:sz w:val="24"/>
                <w:highlight w:val="none"/>
                <w:lang w:eastAsia="zh-CN"/>
              </w:rPr>
              <w:t>单位</w:t>
            </w:r>
          </w:p>
        </w:tc>
        <w:tc>
          <w:tcPr>
            <w:tcW w:w="817"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数量</w:t>
            </w:r>
          </w:p>
        </w:tc>
        <w:tc>
          <w:tcPr>
            <w:tcW w:w="876"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color w:val="auto"/>
                <w:sz w:val="24"/>
                <w:highlight w:val="none"/>
                <w:lang w:val="en-US" w:eastAsia="zh-CN"/>
              </w:rPr>
            </w:pPr>
            <w:r>
              <w:rPr>
                <w:rFonts w:hint="eastAsia" w:ascii="仿宋" w:hAnsi="仿宋" w:eastAsia="仿宋" w:cs="仿宋"/>
                <w:b/>
                <w:bCs/>
                <w:color w:val="auto"/>
                <w:sz w:val="24"/>
                <w:highlight w:val="none"/>
                <w:lang w:val="en-US" w:eastAsia="zh-CN"/>
              </w:rPr>
              <w:t>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18"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val="0"/>
                <w:color w:val="auto"/>
                <w:sz w:val="21"/>
                <w:szCs w:val="22"/>
                <w:highlight w:val="none"/>
                <w:lang w:val="en-US" w:eastAsia="zh-CN"/>
              </w:rPr>
            </w:pPr>
            <w:r>
              <w:rPr>
                <w:rFonts w:hint="eastAsia" w:ascii="仿宋" w:hAnsi="仿宋" w:eastAsia="仿宋" w:cs="仿宋"/>
                <w:color w:val="auto"/>
                <w:sz w:val="21"/>
                <w:szCs w:val="22"/>
                <w:highlight w:val="none"/>
              </w:rPr>
              <w:t>统一身份认证</w:t>
            </w:r>
            <w:r>
              <w:rPr>
                <w:rFonts w:hint="eastAsia" w:ascii="仿宋" w:hAnsi="仿宋" w:eastAsia="仿宋" w:cs="仿宋"/>
                <w:color w:val="auto"/>
                <w:sz w:val="21"/>
                <w:szCs w:val="22"/>
                <w:highlight w:val="none"/>
                <w:lang w:val="en-US" w:eastAsia="zh-CN"/>
              </w:rPr>
              <w:t>服务</w:t>
            </w:r>
          </w:p>
        </w:tc>
        <w:tc>
          <w:tcPr>
            <w:tcW w:w="3216" w:type="dxa"/>
            <w:tcBorders>
              <w:top w:val="single" w:color="auto" w:sz="4" w:space="0"/>
              <w:left w:val="single" w:color="auto" w:sz="4" w:space="0"/>
              <w:bottom w:val="single" w:color="auto" w:sz="4" w:space="0"/>
              <w:right w:val="single" w:color="auto" w:sz="4" w:space="0"/>
            </w:tcBorders>
            <w:vAlign w:val="center"/>
          </w:tcPr>
          <w:p>
            <w:pPr>
              <w:pageBreakBefore w:val="0"/>
              <w:widowControl/>
              <w:numPr>
                <w:ilvl w:val="0"/>
                <w:numId w:val="2"/>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1"/>
                <w:szCs w:val="22"/>
                <w:highlight w:val="none"/>
              </w:rPr>
            </w:pPr>
            <w:r>
              <w:rPr>
                <w:rFonts w:hint="eastAsia" w:ascii="仿宋" w:hAnsi="仿宋" w:eastAsia="仿宋" w:cs="仿宋"/>
                <w:color w:val="auto"/>
                <w:sz w:val="21"/>
                <w:szCs w:val="22"/>
                <w:highlight w:val="none"/>
              </w:rPr>
              <w:t>提供身份管理、多因子组合认证、配置与审计能力。管理内部员工，提供身份管理、身份认证、单点登录的功能，实现内网办公用户及互联网办公用户统一身份认证，为各办公系统提供安全、便捷、合规的认证登录及账号管理。</w:t>
            </w:r>
          </w:p>
          <w:p>
            <w:pPr>
              <w:keepNext w:val="0"/>
              <w:keepLines w:val="0"/>
              <w:pageBreakBefore w:val="0"/>
              <w:widowControl w:val="0"/>
              <w:numPr>
                <w:ilvl w:val="0"/>
                <w:numId w:val="0"/>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color w:val="auto"/>
                <w:sz w:val="21"/>
                <w:szCs w:val="22"/>
                <w:highlight w:val="none"/>
                <w:lang w:val="en-US" w:eastAsia="zh-CN"/>
              </w:rPr>
            </w:pPr>
            <w:r>
              <w:rPr>
                <w:rFonts w:hint="eastAsia" w:ascii="仿宋" w:hAnsi="仿宋" w:eastAsia="仿宋" w:cs="仿宋"/>
                <w:color w:val="auto"/>
                <w:sz w:val="21"/>
                <w:szCs w:val="22"/>
                <w:highlight w:val="none"/>
                <w:lang w:val="en-US" w:eastAsia="zh-CN"/>
              </w:rPr>
              <w:t>2.</w:t>
            </w:r>
            <w:r>
              <w:rPr>
                <w:rFonts w:hint="eastAsia" w:ascii="仿宋" w:hAnsi="仿宋" w:eastAsia="仿宋" w:cs="仿宋"/>
                <w:i w:val="0"/>
                <w:iCs w:val="0"/>
                <w:caps w:val="0"/>
                <w:spacing w:val="0"/>
                <w:kern w:val="2"/>
                <w:sz w:val="21"/>
                <w:szCs w:val="21"/>
                <w:highlight w:val="none"/>
                <w:lang w:val="en-US" w:eastAsia="zh-CN" w:bidi="ar"/>
              </w:rPr>
              <w:t>需提供与本项目生产环境软、硬件型号一致的开发测试环境全套产品含永久授权，授权范围需覆盖测试场景下的全功能使用需求，无使用期限、并发用户数等限制，用于满足测试验证工作。上述除硬件设备外，其余赠送。</w:t>
            </w:r>
          </w:p>
          <w:p>
            <w:pPr>
              <w:pStyle w:val="8"/>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1"/>
                <w:highlight w:val="none"/>
                <w:lang w:val="en-US" w:eastAsia="zh-CN"/>
              </w:rPr>
            </w:pPr>
            <w:r>
              <w:rPr>
                <w:rFonts w:hint="eastAsia" w:ascii="仿宋" w:hAnsi="仿宋" w:eastAsia="仿宋" w:cs="仿宋"/>
                <w:i w:val="0"/>
                <w:iCs w:val="0"/>
                <w:caps w:val="0"/>
                <w:spacing w:val="0"/>
                <w:kern w:val="2"/>
                <w:sz w:val="21"/>
                <w:szCs w:val="21"/>
                <w:highlight w:val="none"/>
                <w:lang w:val="en-US" w:eastAsia="zh-CN" w:bidi="ar"/>
              </w:rPr>
              <w:t>3.含2年原厂维保服务，</w:t>
            </w:r>
            <w:r>
              <w:rPr>
                <w:rFonts w:hint="eastAsia" w:ascii="仿宋" w:hAnsi="仿宋" w:eastAsia="仿宋" w:cs="仿宋"/>
                <w:color w:val="auto"/>
                <w:sz w:val="21"/>
                <w:szCs w:val="22"/>
                <w:highlight w:val="none"/>
              </w:rPr>
              <w:t>详见服务要求</w:t>
            </w:r>
            <w:r>
              <w:rPr>
                <w:rFonts w:hint="eastAsia" w:ascii="仿宋" w:hAnsi="仿宋" w:eastAsia="仿宋" w:cs="仿宋"/>
                <w:color w:val="auto"/>
                <w:sz w:val="21"/>
                <w:szCs w:val="22"/>
                <w:highlight w:val="none"/>
                <w:lang w:eastAsia="zh-CN"/>
              </w:rPr>
              <w:t>。</w:t>
            </w:r>
          </w:p>
        </w:tc>
        <w:tc>
          <w:tcPr>
            <w:tcW w:w="24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1"/>
                <w:szCs w:val="22"/>
                <w:highlight w:val="none"/>
              </w:rPr>
            </w:pPr>
            <w:r>
              <w:rPr>
                <w:rFonts w:hint="eastAsia" w:ascii="仿宋" w:hAnsi="仿宋" w:eastAsia="仿宋" w:cs="仿宋"/>
                <w:color w:val="auto"/>
                <w:sz w:val="21"/>
                <w:szCs w:val="22"/>
                <w:highlight w:val="none"/>
              </w:rPr>
              <w:t>永久授权。</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1"/>
                <w:szCs w:val="22"/>
                <w:highlight w:val="none"/>
              </w:rPr>
            </w:pPr>
            <w:r>
              <w:rPr>
                <w:rFonts w:hint="eastAsia" w:ascii="仿宋" w:hAnsi="仿宋" w:eastAsia="仿宋" w:cs="仿宋"/>
                <w:color w:val="auto"/>
                <w:sz w:val="21"/>
                <w:szCs w:val="22"/>
                <w:highlight w:val="none"/>
              </w:rPr>
              <w:t>无地域限制。</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b w:val="0"/>
                <w:color w:val="auto"/>
                <w:sz w:val="21"/>
                <w:szCs w:val="21"/>
                <w:highlight w:val="none"/>
                <w:lang w:val="en-US" w:eastAsia="zh-CN"/>
              </w:rPr>
            </w:pPr>
            <w:r>
              <w:rPr>
                <w:rFonts w:hint="eastAsia" w:ascii="仿宋" w:hAnsi="仿宋" w:eastAsia="仿宋" w:cs="仿宋"/>
                <w:color w:val="auto"/>
                <w:sz w:val="21"/>
                <w:szCs w:val="22"/>
                <w:highlight w:val="none"/>
                <w:lang w:val="en-US" w:eastAsia="zh-CN"/>
              </w:rPr>
              <w:t>至少</w:t>
            </w:r>
            <w:r>
              <w:rPr>
                <w:rFonts w:hint="eastAsia" w:ascii="仿宋" w:hAnsi="仿宋" w:eastAsia="仿宋" w:cs="仿宋"/>
                <w:color w:val="auto"/>
                <w:sz w:val="21"/>
                <w:szCs w:val="22"/>
                <w:highlight w:val="none"/>
              </w:rPr>
              <w:t>满足</w:t>
            </w:r>
            <w:r>
              <w:rPr>
                <w:rFonts w:hint="eastAsia" w:ascii="仿宋" w:hAnsi="仿宋" w:eastAsia="仿宋" w:cs="仿宋"/>
                <w:color w:val="auto"/>
                <w:sz w:val="21"/>
                <w:szCs w:val="22"/>
                <w:highlight w:val="none"/>
                <w:lang w:val="en-US" w:eastAsia="zh-CN"/>
              </w:rPr>
              <w:t>100用户使用</w:t>
            </w:r>
            <w:r>
              <w:rPr>
                <w:rFonts w:hint="eastAsia" w:ascii="仿宋" w:hAnsi="仿宋" w:eastAsia="仿宋" w:cs="仿宋"/>
                <w:color w:val="auto"/>
                <w:sz w:val="21"/>
                <w:szCs w:val="22"/>
                <w:highlight w:val="none"/>
              </w:rPr>
              <w:t>Pad、6000用户使用手机、互联网笔记本同时</w:t>
            </w:r>
            <w:r>
              <w:rPr>
                <w:rFonts w:hint="eastAsia" w:ascii="仿宋" w:hAnsi="仿宋" w:eastAsia="仿宋" w:cs="仿宋"/>
                <w:color w:val="auto"/>
                <w:sz w:val="21"/>
                <w:szCs w:val="22"/>
                <w:highlight w:val="none"/>
                <w:lang w:val="en-US" w:eastAsia="zh-CN"/>
              </w:rPr>
              <w:t>在线需求</w:t>
            </w:r>
            <w:r>
              <w:rPr>
                <w:rFonts w:hint="eastAsia" w:ascii="仿宋" w:hAnsi="仿宋" w:eastAsia="仿宋" w:cs="仿宋"/>
                <w:color w:val="auto"/>
                <w:sz w:val="21"/>
                <w:szCs w:val="22"/>
                <w:highlight w:val="none"/>
              </w:rPr>
              <w:t>。</w:t>
            </w:r>
          </w:p>
        </w:tc>
        <w:tc>
          <w:tcPr>
            <w:tcW w:w="817"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val="0"/>
                <w:color w:val="auto"/>
                <w:sz w:val="21"/>
                <w:szCs w:val="22"/>
                <w:highlight w:val="none"/>
                <w:lang w:val="en-US" w:eastAsia="zh-CN"/>
              </w:rPr>
            </w:pPr>
            <w:r>
              <w:rPr>
                <w:rFonts w:hint="eastAsia" w:ascii="仿宋" w:hAnsi="仿宋" w:eastAsia="仿宋" w:cs="仿宋"/>
                <w:color w:val="auto"/>
                <w:sz w:val="21"/>
                <w:szCs w:val="22"/>
                <w:highlight w:val="none"/>
              </w:rPr>
              <w:t>套</w:t>
            </w:r>
          </w:p>
        </w:tc>
        <w:tc>
          <w:tcPr>
            <w:tcW w:w="817"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val="0"/>
                <w:color w:val="auto"/>
                <w:sz w:val="21"/>
                <w:szCs w:val="22"/>
                <w:highlight w:val="none"/>
                <w:lang w:val="en-US" w:eastAsia="zh-CN"/>
              </w:rPr>
            </w:pPr>
            <w:r>
              <w:rPr>
                <w:rFonts w:hint="eastAsia" w:ascii="仿宋" w:hAnsi="仿宋" w:eastAsia="仿宋" w:cs="仿宋"/>
                <w:color w:val="auto"/>
                <w:sz w:val="21"/>
                <w:szCs w:val="22"/>
                <w:highlight w:val="none"/>
              </w:rPr>
              <w:t>1</w:t>
            </w:r>
          </w:p>
        </w:tc>
        <w:tc>
          <w:tcPr>
            <w:tcW w:w="87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val="0"/>
                <w:color w:val="auto"/>
                <w:sz w:val="21"/>
                <w:szCs w:val="22"/>
                <w:highlight w:val="none"/>
                <w:lang w:val="en-US" w:eastAsia="zh-CN"/>
              </w:rPr>
            </w:pPr>
            <w:r>
              <w:rPr>
                <w:rFonts w:hint="eastAsia" w:ascii="仿宋" w:hAnsi="仿宋" w:eastAsia="仿宋" w:cs="仿宋"/>
                <w:b w:val="0"/>
                <w:color w:val="auto"/>
                <w:sz w:val="21"/>
                <w:szCs w:val="22"/>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0000FF"/>
                <w:sz w:val="21"/>
                <w:szCs w:val="22"/>
                <w:highlight w:val="none"/>
                <w:lang w:val="en-US" w:eastAsia="zh-CN"/>
              </w:rPr>
            </w:pPr>
            <w:r>
              <w:rPr>
                <w:rFonts w:hint="eastAsia" w:ascii="仿宋" w:hAnsi="仿宋" w:eastAsia="仿宋" w:cs="仿宋"/>
                <w:sz w:val="21"/>
                <w:szCs w:val="21"/>
                <w:highlight w:val="none"/>
              </w:rPr>
              <w:t>零信任</w:t>
            </w:r>
            <w:r>
              <w:rPr>
                <w:rFonts w:hint="eastAsia" w:ascii="仿宋" w:hAnsi="仿宋" w:eastAsia="仿宋" w:cs="仿宋"/>
                <w:sz w:val="21"/>
                <w:szCs w:val="21"/>
                <w:highlight w:val="none"/>
                <w:lang w:val="en-US" w:eastAsia="zh-CN"/>
              </w:rPr>
              <w:t>（含沙箱）服务</w:t>
            </w:r>
          </w:p>
        </w:tc>
        <w:tc>
          <w:tcPr>
            <w:tcW w:w="321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3"/>
              </w:numPr>
              <w:suppressLineNumbers w:val="0"/>
              <w:kinsoku/>
              <w:overflowPunct/>
              <w:topLinePunct w:val="0"/>
              <w:bidi w:val="0"/>
              <w:snapToGrid w:val="0"/>
              <w:spacing w:beforeAutospacing="0" w:afterAutospacing="0" w:line="240" w:lineRule="auto"/>
              <w:ind w:left="0" w:leftChars="0" w:right="0" w:rightChars="0" w:firstLine="0" w:firstLineChars="0"/>
              <w:jc w:val="left"/>
              <w:rPr>
                <w:rFonts w:hint="eastAsia" w:ascii="仿宋" w:hAnsi="仿宋" w:eastAsia="仿宋" w:cs="仿宋"/>
                <w:i w:val="0"/>
                <w:iCs w:val="0"/>
                <w:caps w:val="0"/>
                <w:spacing w:val="0"/>
                <w:kern w:val="2"/>
                <w:sz w:val="21"/>
                <w:szCs w:val="21"/>
                <w:highlight w:val="none"/>
                <w:lang w:val="en-US" w:eastAsia="zh-CN" w:bidi="ar"/>
              </w:rPr>
            </w:pPr>
            <w:r>
              <w:rPr>
                <w:rFonts w:hint="eastAsia" w:ascii="仿宋" w:hAnsi="仿宋" w:eastAsia="仿宋" w:cs="仿宋"/>
                <w:i w:val="0"/>
                <w:iCs w:val="0"/>
                <w:caps w:val="0"/>
                <w:spacing w:val="0"/>
                <w:kern w:val="2"/>
                <w:sz w:val="21"/>
                <w:szCs w:val="21"/>
                <w:highlight w:val="none"/>
                <w:lang w:val="en-US" w:eastAsia="zh-CN" w:bidi="ar"/>
              </w:rPr>
              <w:t>采用零信任架构，具备身份认证、动态访问控制、应用与网络隐身、数据加密传输、访问日志审计等功能，沙箱应实现独立空间隔离、动态行为监控、受控执行、自动响应等功能。兼容主流操作系统和浏览器，满足信创合规要求，支持与移动办公APP及服务端、统一身份认证系统对接，</w:t>
            </w:r>
          </w:p>
          <w:p>
            <w:pPr>
              <w:keepNext w:val="0"/>
              <w:keepLines w:val="0"/>
              <w:pageBreakBefore w:val="0"/>
              <w:widowControl w:val="0"/>
              <w:numPr>
                <w:ilvl w:val="0"/>
                <w:numId w:val="0"/>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color w:val="auto"/>
                <w:sz w:val="21"/>
                <w:szCs w:val="22"/>
                <w:highlight w:val="none"/>
                <w:lang w:val="en-US" w:eastAsia="zh-CN"/>
              </w:rPr>
            </w:pPr>
            <w:r>
              <w:rPr>
                <w:rFonts w:hint="eastAsia" w:ascii="仿宋" w:hAnsi="仿宋" w:eastAsia="仿宋" w:cs="仿宋"/>
                <w:color w:val="auto"/>
                <w:sz w:val="21"/>
                <w:szCs w:val="22"/>
                <w:highlight w:val="none"/>
                <w:lang w:val="en-US" w:eastAsia="zh-CN"/>
              </w:rPr>
              <w:t>2.</w:t>
            </w:r>
            <w:r>
              <w:rPr>
                <w:rFonts w:hint="eastAsia" w:ascii="仿宋" w:hAnsi="仿宋" w:eastAsia="仿宋" w:cs="仿宋"/>
                <w:i w:val="0"/>
                <w:iCs w:val="0"/>
                <w:caps w:val="0"/>
                <w:spacing w:val="0"/>
                <w:kern w:val="2"/>
                <w:sz w:val="21"/>
                <w:szCs w:val="21"/>
                <w:highlight w:val="none"/>
                <w:lang w:val="en-US" w:eastAsia="zh-CN" w:bidi="ar"/>
              </w:rPr>
              <w:t>需提供与本项目生产环境软、硬件型号一致的开发测试环境全套产品含永久授权，授权范围需覆盖测试场景下的全功能使用需求，无使用期限、并发用户数等限制，用于满足测试验证工作。上述除硬件设备外，其余赠送。</w:t>
            </w:r>
          </w:p>
          <w:p>
            <w:pPr>
              <w:keepNext w:val="0"/>
              <w:keepLines w:val="0"/>
              <w:pageBreakBefore w:val="0"/>
              <w:widowControl w:val="0"/>
              <w:numPr>
                <w:ilvl w:val="0"/>
                <w:numId w:val="0"/>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i w:val="0"/>
                <w:iCs w:val="0"/>
                <w:caps w:val="0"/>
                <w:spacing w:val="0"/>
                <w:kern w:val="2"/>
                <w:sz w:val="21"/>
                <w:szCs w:val="21"/>
                <w:highlight w:val="none"/>
                <w:lang w:val="en-US" w:eastAsia="zh-CN" w:bidi="ar"/>
              </w:rPr>
            </w:pPr>
            <w:r>
              <w:rPr>
                <w:rFonts w:hint="eastAsia" w:ascii="仿宋" w:hAnsi="仿宋" w:eastAsia="仿宋" w:cs="仿宋"/>
                <w:i w:val="0"/>
                <w:iCs w:val="0"/>
                <w:caps w:val="0"/>
                <w:spacing w:val="0"/>
                <w:kern w:val="2"/>
                <w:sz w:val="21"/>
                <w:szCs w:val="21"/>
                <w:highlight w:val="none"/>
                <w:lang w:val="en-US" w:eastAsia="zh-CN" w:bidi="ar"/>
              </w:rPr>
              <w:t>3.含2年原厂维保服务，</w:t>
            </w:r>
            <w:r>
              <w:rPr>
                <w:rFonts w:hint="eastAsia" w:ascii="仿宋" w:hAnsi="仿宋" w:eastAsia="仿宋" w:cs="仿宋"/>
                <w:color w:val="auto"/>
                <w:sz w:val="21"/>
                <w:szCs w:val="22"/>
                <w:highlight w:val="none"/>
              </w:rPr>
              <w:t>详见服务要求</w:t>
            </w:r>
            <w:r>
              <w:rPr>
                <w:rFonts w:hint="eastAsia" w:ascii="仿宋" w:hAnsi="仿宋" w:eastAsia="仿宋" w:cs="仿宋"/>
                <w:color w:val="auto"/>
                <w:sz w:val="21"/>
                <w:szCs w:val="22"/>
                <w:highlight w:val="none"/>
                <w:lang w:eastAsia="zh-CN"/>
              </w:rPr>
              <w:t>。</w:t>
            </w:r>
          </w:p>
        </w:tc>
        <w:tc>
          <w:tcPr>
            <w:tcW w:w="24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1"/>
                <w:szCs w:val="22"/>
                <w:highlight w:val="none"/>
              </w:rPr>
            </w:pPr>
            <w:r>
              <w:rPr>
                <w:rFonts w:hint="eastAsia" w:ascii="仿宋" w:hAnsi="仿宋" w:eastAsia="仿宋" w:cs="仿宋"/>
                <w:color w:val="auto"/>
                <w:sz w:val="21"/>
                <w:szCs w:val="22"/>
                <w:highlight w:val="none"/>
              </w:rPr>
              <w:t>永久授权。</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1"/>
                <w:szCs w:val="22"/>
                <w:highlight w:val="none"/>
              </w:rPr>
            </w:pPr>
            <w:r>
              <w:rPr>
                <w:rFonts w:hint="eastAsia" w:ascii="仿宋" w:hAnsi="仿宋" w:eastAsia="仿宋" w:cs="仿宋"/>
                <w:color w:val="auto"/>
                <w:sz w:val="21"/>
                <w:szCs w:val="22"/>
                <w:highlight w:val="none"/>
              </w:rPr>
              <w:t>无地域限制。</w:t>
            </w:r>
          </w:p>
          <w:p>
            <w:pPr>
              <w:keepNext w:val="0"/>
              <w:keepLines w:val="0"/>
              <w:pageBreakBefore w:val="0"/>
              <w:widowControl w:val="0"/>
              <w:suppressLineNumbers w:val="0"/>
              <w:kinsoku/>
              <w:overflowPunct/>
              <w:topLinePunct w:val="0"/>
              <w:bidi w:val="0"/>
              <w:snapToGrid w:val="0"/>
              <w:spacing w:beforeAutospacing="0" w:afterAutospacing="0" w:line="240" w:lineRule="auto"/>
              <w:ind w:left="0" w:leftChars="0" w:right="0" w:rightChars="0" w:firstLine="0" w:firstLineChars="0"/>
              <w:jc w:val="left"/>
              <w:rPr>
                <w:rFonts w:hint="eastAsia" w:ascii="仿宋" w:hAnsi="仿宋" w:eastAsia="仿宋" w:cs="仿宋"/>
                <w:i w:val="0"/>
                <w:iCs w:val="0"/>
                <w:caps w:val="0"/>
                <w:spacing w:val="0"/>
                <w:kern w:val="2"/>
                <w:sz w:val="21"/>
                <w:szCs w:val="21"/>
                <w:highlight w:val="none"/>
                <w:lang w:val="en-US" w:eastAsia="zh-CN" w:bidi="ar"/>
              </w:rPr>
            </w:pPr>
            <w:r>
              <w:rPr>
                <w:rFonts w:hint="eastAsia" w:ascii="仿宋" w:hAnsi="仿宋" w:eastAsia="仿宋" w:cs="仿宋"/>
                <w:color w:val="auto"/>
                <w:sz w:val="21"/>
                <w:szCs w:val="22"/>
                <w:highlight w:val="none"/>
                <w:lang w:val="en-US" w:eastAsia="zh-CN"/>
              </w:rPr>
              <w:t>至少</w:t>
            </w:r>
            <w:r>
              <w:rPr>
                <w:rFonts w:hint="eastAsia" w:ascii="仿宋" w:hAnsi="仿宋" w:eastAsia="仿宋" w:cs="仿宋"/>
                <w:color w:val="auto"/>
                <w:sz w:val="21"/>
                <w:szCs w:val="22"/>
                <w:highlight w:val="none"/>
              </w:rPr>
              <w:t>满足</w:t>
            </w:r>
            <w:r>
              <w:rPr>
                <w:rFonts w:hint="eastAsia" w:ascii="仿宋" w:hAnsi="仿宋" w:eastAsia="仿宋" w:cs="仿宋"/>
                <w:color w:val="auto"/>
                <w:sz w:val="21"/>
                <w:szCs w:val="22"/>
                <w:highlight w:val="none"/>
                <w:lang w:val="en-US" w:eastAsia="zh-CN"/>
              </w:rPr>
              <w:t>100用户使用</w:t>
            </w:r>
            <w:r>
              <w:rPr>
                <w:rFonts w:hint="eastAsia" w:ascii="仿宋" w:hAnsi="仿宋" w:eastAsia="仿宋" w:cs="仿宋"/>
                <w:color w:val="auto"/>
                <w:sz w:val="21"/>
                <w:szCs w:val="22"/>
                <w:highlight w:val="none"/>
              </w:rPr>
              <w:t>Pad、6000用户使用手机、互联网笔记本同时</w:t>
            </w:r>
            <w:r>
              <w:rPr>
                <w:rFonts w:hint="eastAsia" w:ascii="仿宋" w:hAnsi="仿宋" w:eastAsia="仿宋" w:cs="仿宋"/>
                <w:color w:val="auto"/>
                <w:sz w:val="21"/>
                <w:szCs w:val="22"/>
                <w:highlight w:val="none"/>
                <w:lang w:val="en-US" w:eastAsia="zh-CN"/>
              </w:rPr>
              <w:t>在线需求</w:t>
            </w:r>
            <w:r>
              <w:rPr>
                <w:rFonts w:hint="eastAsia" w:ascii="仿宋" w:hAnsi="仿宋" w:eastAsia="仿宋" w:cs="仿宋"/>
                <w:color w:val="auto"/>
                <w:sz w:val="21"/>
                <w:szCs w:val="22"/>
                <w:highlight w:val="none"/>
              </w:rPr>
              <w:t>。</w:t>
            </w:r>
          </w:p>
        </w:tc>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auto"/>
                <w:sz w:val="21"/>
                <w:szCs w:val="22"/>
                <w:highlight w:val="none"/>
                <w:lang w:val="en-US" w:eastAsia="zh-CN"/>
              </w:rPr>
            </w:pPr>
            <w:r>
              <w:rPr>
                <w:rFonts w:hint="eastAsia" w:ascii="仿宋" w:hAnsi="仿宋" w:eastAsia="仿宋" w:cs="仿宋"/>
                <w:b w:val="0"/>
                <w:color w:val="auto"/>
                <w:sz w:val="21"/>
                <w:szCs w:val="22"/>
                <w:highlight w:val="none"/>
                <w:lang w:val="en-US" w:eastAsia="zh-CN"/>
              </w:rPr>
              <w:t>套</w:t>
            </w:r>
          </w:p>
        </w:tc>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auto"/>
                <w:sz w:val="21"/>
                <w:szCs w:val="22"/>
                <w:highlight w:val="none"/>
                <w:lang w:val="en-US" w:eastAsia="zh-CN"/>
              </w:rPr>
            </w:pPr>
            <w:r>
              <w:rPr>
                <w:rFonts w:hint="eastAsia" w:ascii="仿宋" w:hAnsi="仿宋" w:eastAsia="仿宋" w:cs="仿宋"/>
                <w:b w:val="0"/>
                <w:color w:val="auto"/>
                <w:sz w:val="21"/>
                <w:szCs w:val="22"/>
                <w:highlight w:val="none"/>
                <w:lang w:val="en-US" w:eastAsia="zh-CN"/>
              </w:rPr>
              <w:t>1</w:t>
            </w:r>
          </w:p>
        </w:tc>
        <w:tc>
          <w:tcPr>
            <w:tcW w:w="8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auto"/>
                <w:sz w:val="21"/>
                <w:szCs w:val="22"/>
                <w:highlight w:val="none"/>
                <w:lang w:val="en-US" w:eastAsia="zh-CN"/>
              </w:rPr>
            </w:pPr>
            <w:r>
              <w:rPr>
                <w:rFonts w:hint="eastAsia" w:ascii="仿宋" w:hAnsi="仿宋" w:eastAsia="仿宋" w:cs="仿宋"/>
                <w:b w:val="0"/>
                <w:color w:val="auto"/>
                <w:sz w:val="21"/>
                <w:szCs w:val="22"/>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0000FF"/>
                <w:sz w:val="21"/>
                <w:szCs w:val="22"/>
                <w:highlight w:val="none"/>
                <w:lang w:val="en-US" w:eastAsia="zh-CN"/>
              </w:rPr>
            </w:pPr>
            <w:r>
              <w:rPr>
                <w:rFonts w:hint="eastAsia" w:ascii="仿宋" w:hAnsi="仿宋" w:eastAsia="仿宋" w:cs="仿宋"/>
                <w:sz w:val="21"/>
                <w:szCs w:val="21"/>
                <w:highlight w:val="none"/>
              </w:rPr>
              <w:t>移动设备管理</w:t>
            </w:r>
            <w:r>
              <w:rPr>
                <w:rFonts w:hint="eastAsia" w:ascii="仿宋" w:hAnsi="仿宋" w:eastAsia="仿宋" w:cs="仿宋"/>
                <w:sz w:val="21"/>
                <w:szCs w:val="21"/>
                <w:highlight w:val="none"/>
                <w:lang w:val="en-US" w:eastAsia="zh-CN"/>
              </w:rPr>
              <w:t>服务</w:t>
            </w:r>
          </w:p>
        </w:tc>
        <w:tc>
          <w:tcPr>
            <w:tcW w:w="321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overflowPunct/>
              <w:topLinePunct w:val="0"/>
              <w:bidi w:val="0"/>
              <w:snapToGrid w:val="0"/>
              <w:spacing w:beforeAutospacing="0" w:afterAutospacing="0" w:line="240" w:lineRule="auto"/>
              <w:ind w:left="0" w:leftChars="0" w:right="0" w:rightChars="0" w:firstLine="0" w:firstLineChars="0"/>
              <w:jc w:val="left"/>
              <w:rPr>
                <w:rFonts w:hint="eastAsia" w:ascii="仿宋" w:hAnsi="仿宋" w:eastAsia="仿宋" w:cs="仿宋"/>
                <w:i w:val="0"/>
                <w:iCs w:val="0"/>
                <w:caps w:val="0"/>
                <w:spacing w:val="0"/>
                <w:kern w:val="2"/>
                <w:sz w:val="21"/>
                <w:szCs w:val="21"/>
                <w:highlight w:val="none"/>
                <w:lang w:val="en-US" w:eastAsia="zh-CN" w:bidi="ar"/>
              </w:rPr>
            </w:pPr>
            <w:r>
              <w:rPr>
                <w:rFonts w:hint="eastAsia" w:ascii="仿宋" w:hAnsi="仿宋" w:eastAsia="仿宋" w:cs="仿宋"/>
                <w:i w:val="0"/>
                <w:iCs w:val="0"/>
                <w:caps w:val="0"/>
                <w:spacing w:val="0"/>
                <w:kern w:val="2"/>
                <w:sz w:val="21"/>
                <w:szCs w:val="21"/>
                <w:highlight w:val="none"/>
                <w:lang w:val="en-US" w:eastAsia="zh-CN" w:bidi="ar"/>
              </w:rPr>
              <w:t>1.支持对行内派发移动设备Pad进行集中化、全生命周期的管控，包括：强制实施安全策略（如复杂密码、外设禁用、USB接口限制等）、远程监控设备状态、应用黑白名单限制（自定义禁止安装/使用违规应用）、以及在外设丢失或员工离职时设备锁定、远程擦除敏感信息，并支持设备的合规监测，包括设备破解监测、SIM卡变更监测、系统版本监测、存储空间监测、设备失联监测等保障设备的安全合规使用。</w:t>
            </w:r>
          </w:p>
          <w:p>
            <w:pPr>
              <w:keepNext w:val="0"/>
              <w:keepLines w:val="0"/>
              <w:pageBreakBefore w:val="0"/>
              <w:widowControl w:val="0"/>
              <w:numPr>
                <w:ilvl w:val="0"/>
                <w:numId w:val="0"/>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color w:val="auto"/>
                <w:sz w:val="21"/>
                <w:szCs w:val="22"/>
                <w:highlight w:val="none"/>
                <w:lang w:val="en-US" w:eastAsia="zh-CN"/>
              </w:rPr>
            </w:pPr>
            <w:r>
              <w:rPr>
                <w:rFonts w:hint="eastAsia" w:ascii="仿宋" w:hAnsi="仿宋" w:eastAsia="仿宋" w:cs="仿宋"/>
                <w:color w:val="auto"/>
                <w:sz w:val="21"/>
                <w:szCs w:val="22"/>
                <w:highlight w:val="none"/>
                <w:lang w:val="en-US" w:eastAsia="zh-CN"/>
              </w:rPr>
              <w:t>2.</w:t>
            </w:r>
            <w:r>
              <w:rPr>
                <w:rFonts w:hint="eastAsia" w:ascii="仿宋" w:hAnsi="仿宋" w:eastAsia="仿宋" w:cs="仿宋"/>
                <w:i w:val="0"/>
                <w:iCs w:val="0"/>
                <w:caps w:val="0"/>
                <w:spacing w:val="0"/>
                <w:kern w:val="2"/>
                <w:sz w:val="21"/>
                <w:szCs w:val="21"/>
                <w:highlight w:val="none"/>
                <w:lang w:val="en-US" w:eastAsia="zh-CN" w:bidi="ar"/>
              </w:rPr>
              <w:t>需提供与本项目生产环境软、硬件型号一致的开发测试环境全套产品含永久授权，授权范围需覆盖测试场景下的全功能使用需求，无使用期限、并发用户数等限制，用于满足测试验证工作。上述除硬件设备外，其余赠送。</w:t>
            </w:r>
          </w:p>
          <w:p>
            <w:pPr>
              <w:keepNext w:val="0"/>
              <w:keepLines w:val="0"/>
              <w:pageBreakBefore w:val="0"/>
              <w:widowControl w:val="0"/>
              <w:numPr>
                <w:ilvl w:val="0"/>
                <w:numId w:val="0"/>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i w:val="0"/>
                <w:iCs w:val="0"/>
                <w:caps w:val="0"/>
                <w:spacing w:val="0"/>
                <w:kern w:val="2"/>
                <w:sz w:val="21"/>
                <w:szCs w:val="21"/>
                <w:highlight w:val="none"/>
                <w:lang w:val="en-US" w:eastAsia="zh-CN" w:bidi="ar"/>
              </w:rPr>
            </w:pPr>
            <w:r>
              <w:rPr>
                <w:rFonts w:hint="eastAsia" w:ascii="仿宋" w:hAnsi="仿宋" w:eastAsia="仿宋" w:cs="仿宋"/>
                <w:i w:val="0"/>
                <w:iCs w:val="0"/>
                <w:caps w:val="0"/>
                <w:spacing w:val="0"/>
                <w:kern w:val="2"/>
                <w:sz w:val="21"/>
                <w:szCs w:val="21"/>
                <w:highlight w:val="none"/>
                <w:lang w:val="en-US" w:eastAsia="zh-CN" w:bidi="ar"/>
              </w:rPr>
              <w:t>3.含2年原厂维保服务，</w:t>
            </w:r>
            <w:r>
              <w:rPr>
                <w:rFonts w:hint="eastAsia" w:ascii="仿宋" w:hAnsi="仿宋" w:eastAsia="仿宋" w:cs="仿宋"/>
                <w:color w:val="auto"/>
                <w:sz w:val="21"/>
                <w:szCs w:val="22"/>
                <w:highlight w:val="none"/>
              </w:rPr>
              <w:t>详见服务要求</w:t>
            </w:r>
            <w:r>
              <w:rPr>
                <w:rFonts w:hint="eastAsia" w:ascii="仿宋" w:hAnsi="仿宋" w:eastAsia="仿宋" w:cs="仿宋"/>
                <w:color w:val="auto"/>
                <w:sz w:val="21"/>
                <w:szCs w:val="22"/>
                <w:highlight w:val="none"/>
                <w:lang w:eastAsia="zh-CN"/>
              </w:rPr>
              <w:t>。</w:t>
            </w:r>
          </w:p>
        </w:tc>
        <w:tc>
          <w:tcPr>
            <w:tcW w:w="24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overflowPunct/>
              <w:topLinePunct w:val="0"/>
              <w:bidi w:val="0"/>
              <w:snapToGrid w:val="0"/>
              <w:spacing w:beforeAutospacing="0" w:afterAutospacing="0" w:line="240" w:lineRule="auto"/>
              <w:ind w:left="0" w:leftChars="0" w:right="0" w:rightChars="0" w:firstLine="0" w:firstLineChars="0"/>
              <w:jc w:val="left"/>
              <w:rPr>
                <w:rFonts w:hint="eastAsia" w:ascii="仿宋" w:hAnsi="仿宋" w:eastAsia="仿宋" w:cs="仿宋"/>
                <w:i w:val="0"/>
                <w:iCs w:val="0"/>
                <w:caps w:val="0"/>
                <w:spacing w:val="0"/>
                <w:kern w:val="2"/>
                <w:sz w:val="21"/>
                <w:szCs w:val="21"/>
                <w:highlight w:val="none"/>
                <w:lang w:val="en-US" w:eastAsia="zh-CN" w:bidi="ar"/>
              </w:rPr>
            </w:pPr>
            <w:r>
              <w:rPr>
                <w:rFonts w:hint="eastAsia" w:ascii="仿宋" w:hAnsi="仿宋" w:eastAsia="仿宋" w:cs="仿宋"/>
                <w:i w:val="0"/>
                <w:iCs w:val="0"/>
                <w:caps w:val="0"/>
                <w:spacing w:val="0"/>
                <w:kern w:val="2"/>
                <w:sz w:val="21"/>
                <w:szCs w:val="21"/>
                <w:highlight w:val="none"/>
                <w:lang w:val="en-US" w:eastAsia="zh-CN" w:bidi="ar"/>
              </w:rPr>
              <w:t>永久授权，无地域限制，按管理至少100台设备终端数进行授权，包含平台所有功能模块。不对硬件资源（CPU、内存、存储、带宽等）作出限制。</w:t>
            </w:r>
          </w:p>
        </w:tc>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0000FF"/>
                <w:sz w:val="21"/>
                <w:szCs w:val="22"/>
                <w:highlight w:val="none"/>
                <w:lang w:val="en-US" w:eastAsia="zh-CN"/>
              </w:rPr>
            </w:pPr>
            <w:r>
              <w:rPr>
                <w:rFonts w:hint="eastAsia" w:ascii="仿宋" w:hAnsi="仿宋" w:eastAsia="仿宋" w:cs="仿宋"/>
                <w:b w:val="0"/>
                <w:color w:val="0000FF"/>
                <w:sz w:val="21"/>
                <w:szCs w:val="22"/>
                <w:highlight w:val="none"/>
                <w:lang w:val="en-US" w:eastAsia="zh-CN"/>
              </w:rPr>
              <w:t>套</w:t>
            </w:r>
          </w:p>
        </w:tc>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0000FF"/>
                <w:sz w:val="21"/>
                <w:szCs w:val="22"/>
                <w:highlight w:val="none"/>
                <w:lang w:val="en-US" w:eastAsia="zh-CN"/>
              </w:rPr>
            </w:pPr>
            <w:r>
              <w:rPr>
                <w:rFonts w:hint="eastAsia" w:ascii="仿宋" w:hAnsi="仿宋" w:eastAsia="仿宋" w:cs="仿宋"/>
                <w:b w:val="0"/>
                <w:color w:val="0000FF"/>
                <w:sz w:val="21"/>
                <w:szCs w:val="22"/>
                <w:highlight w:val="none"/>
                <w:lang w:val="en-US" w:eastAsia="zh-CN"/>
              </w:rPr>
              <w:t>1</w:t>
            </w:r>
          </w:p>
        </w:tc>
        <w:tc>
          <w:tcPr>
            <w:tcW w:w="8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0000FF"/>
                <w:sz w:val="21"/>
                <w:szCs w:val="22"/>
                <w:highlight w:val="none"/>
                <w:lang w:val="en-US" w:eastAsia="zh-CN"/>
              </w:rPr>
            </w:pPr>
            <w:r>
              <w:rPr>
                <w:rFonts w:hint="eastAsia" w:ascii="仿宋" w:hAnsi="仿宋" w:eastAsia="仿宋" w:cs="仿宋"/>
                <w:b w:val="0"/>
                <w:color w:val="0000FF"/>
                <w:sz w:val="21"/>
                <w:szCs w:val="22"/>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1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rPr>
              <w:t>保密自监管</w:t>
            </w:r>
            <w:r>
              <w:rPr>
                <w:rFonts w:hint="eastAsia" w:ascii="仿宋" w:hAnsi="仿宋" w:eastAsia="仿宋" w:cs="仿宋"/>
                <w:sz w:val="21"/>
                <w:szCs w:val="21"/>
                <w:highlight w:val="none"/>
                <w:lang w:val="en-US" w:eastAsia="zh-CN"/>
              </w:rPr>
              <w:t>服务</w:t>
            </w:r>
          </w:p>
        </w:tc>
        <w:tc>
          <w:tcPr>
            <w:tcW w:w="3216"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overflowPunct/>
              <w:topLinePunct w:val="0"/>
              <w:bidi w:val="0"/>
              <w:snapToGrid w:val="0"/>
              <w:spacing w:beforeAutospacing="0" w:afterAutospacing="0" w:line="240" w:lineRule="auto"/>
              <w:ind w:left="0" w:leftChars="0" w:right="0" w:rightChars="0" w:firstLine="0" w:firstLineChars="0"/>
              <w:jc w:val="left"/>
              <w:rPr>
                <w:rFonts w:hint="eastAsia" w:ascii="仿宋" w:hAnsi="仿宋" w:eastAsia="仿宋" w:cs="仿宋"/>
                <w:i w:val="0"/>
                <w:iCs w:val="0"/>
                <w:caps w:val="0"/>
                <w:spacing w:val="0"/>
                <w:kern w:val="2"/>
                <w:sz w:val="21"/>
                <w:szCs w:val="21"/>
                <w:highlight w:val="none"/>
                <w:lang w:val="en-US" w:eastAsia="zh-CN" w:bidi="ar"/>
              </w:rPr>
            </w:pPr>
            <w:r>
              <w:rPr>
                <w:rFonts w:hint="eastAsia" w:ascii="仿宋" w:hAnsi="仿宋" w:eastAsia="仿宋" w:cs="仿宋"/>
                <w:i w:val="0"/>
                <w:iCs w:val="0"/>
                <w:caps w:val="0"/>
                <w:spacing w:val="0"/>
                <w:kern w:val="2"/>
                <w:sz w:val="21"/>
                <w:szCs w:val="21"/>
                <w:highlight w:val="none"/>
                <w:lang w:val="en-US" w:eastAsia="zh-CN" w:bidi="ar"/>
              </w:rPr>
              <w:t>对应用系统上传、导入、存储保密违规敏感数据时进行实时监测，支持数据采集与处理、组件管理与策略下发、智能分析与规则配置、事件处置与统计、数据接入与部署、符合安全保密产品要求。</w:t>
            </w:r>
          </w:p>
          <w:p>
            <w:pPr>
              <w:keepNext w:val="0"/>
              <w:keepLines w:val="0"/>
              <w:pageBreakBefore w:val="0"/>
              <w:widowControl w:val="0"/>
              <w:numPr>
                <w:ilvl w:val="0"/>
                <w:numId w:val="0"/>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color w:val="auto"/>
                <w:sz w:val="21"/>
                <w:szCs w:val="22"/>
                <w:highlight w:val="none"/>
                <w:lang w:val="en-US" w:eastAsia="zh-CN"/>
              </w:rPr>
            </w:pPr>
            <w:r>
              <w:rPr>
                <w:rFonts w:hint="eastAsia" w:ascii="仿宋" w:hAnsi="仿宋" w:eastAsia="仿宋" w:cs="仿宋"/>
                <w:color w:val="auto"/>
                <w:sz w:val="21"/>
                <w:szCs w:val="22"/>
                <w:highlight w:val="none"/>
                <w:lang w:val="en-US" w:eastAsia="zh-CN"/>
              </w:rPr>
              <w:t>2.</w:t>
            </w:r>
            <w:r>
              <w:rPr>
                <w:rFonts w:hint="eastAsia" w:ascii="仿宋" w:hAnsi="仿宋" w:eastAsia="仿宋" w:cs="仿宋"/>
                <w:i w:val="0"/>
                <w:iCs w:val="0"/>
                <w:caps w:val="0"/>
                <w:spacing w:val="0"/>
                <w:kern w:val="2"/>
                <w:sz w:val="21"/>
                <w:szCs w:val="21"/>
                <w:highlight w:val="none"/>
                <w:lang w:val="en-US" w:eastAsia="zh-CN" w:bidi="ar"/>
              </w:rPr>
              <w:t>需提供与本项目生产环境软、硬件型号一致的开发测试环境全套产品含永久授权，授权范围需覆盖测试场景下的全功能使用需求，无使用期限、并发用户数等限制，用于满足测试验证工作。上述除硬件设备外，其余赠送。</w:t>
            </w:r>
          </w:p>
          <w:p>
            <w:pPr>
              <w:keepNext w:val="0"/>
              <w:keepLines w:val="0"/>
              <w:pageBreakBefore w:val="0"/>
              <w:widowControl w:val="0"/>
              <w:numPr>
                <w:ilvl w:val="0"/>
                <w:numId w:val="0"/>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i w:val="0"/>
                <w:iCs w:val="0"/>
                <w:caps w:val="0"/>
                <w:spacing w:val="0"/>
                <w:kern w:val="2"/>
                <w:sz w:val="21"/>
                <w:szCs w:val="21"/>
                <w:highlight w:val="none"/>
                <w:lang w:val="en-US" w:eastAsia="zh-CN" w:bidi="ar"/>
              </w:rPr>
            </w:pPr>
            <w:r>
              <w:rPr>
                <w:rFonts w:hint="eastAsia" w:ascii="仿宋" w:hAnsi="仿宋" w:eastAsia="仿宋" w:cs="仿宋"/>
                <w:i w:val="0"/>
                <w:iCs w:val="0"/>
                <w:caps w:val="0"/>
                <w:spacing w:val="0"/>
                <w:kern w:val="2"/>
                <w:sz w:val="21"/>
                <w:szCs w:val="21"/>
                <w:highlight w:val="none"/>
                <w:lang w:val="en-US" w:eastAsia="zh-CN" w:bidi="ar"/>
              </w:rPr>
              <w:t>3.含2年原厂维保服务，</w:t>
            </w:r>
            <w:r>
              <w:rPr>
                <w:rFonts w:hint="eastAsia" w:ascii="仿宋" w:hAnsi="仿宋" w:eastAsia="仿宋" w:cs="仿宋"/>
                <w:color w:val="auto"/>
                <w:sz w:val="21"/>
                <w:szCs w:val="22"/>
                <w:highlight w:val="none"/>
              </w:rPr>
              <w:t>详见服务要求</w:t>
            </w:r>
            <w:r>
              <w:rPr>
                <w:rFonts w:hint="eastAsia" w:ascii="仿宋" w:hAnsi="仿宋" w:eastAsia="仿宋" w:cs="仿宋"/>
                <w:color w:val="auto"/>
                <w:sz w:val="21"/>
                <w:szCs w:val="22"/>
                <w:highlight w:val="none"/>
                <w:lang w:eastAsia="zh-CN"/>
              </w:rPr>
              <w:t>。</w:t>
            </w:r>
          </w:p>
          <w:p>
            <w:pPr>
              <w:keepNext w:val="0"/>
              <w:keepLines w:val="0"/>
              <w:pageBreakBefore w:val="0"/>
              <w:widowControl w:val="0"/>
              <w:numPr>
                <w:ilvl w:val="0"/>
                <w:numId w:val="0"/>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color w:val="auto"/>
                <w:sz w:val="21"/>
                <w:szCs w:val="22"/>
                <w:highlight w:val="none"/>
                <w:lang w:val="en-US" w:eastAsia="zh-CN"/>
              </w:rPr>
            </w:pPr>
            <w:r>
              <w:rPr>
                <w:rFonts w:hint="eastAsia" w:ascii="仿宋" w:hAnsi="仿宋" w:eastAsia="仿宋" w:cs="仿宋"/>
                <w:i w:val="0"/>
                <w:iCs w:val="0"/>
                <w:caps w:val="0"/>
                <w:spacing w:val="0"/>
                <w:kern w:val="2"/>
                <w:sz w:val="21"/>
                <w:szCs w:val="21"/>
                <w:highlight w:val="none"/>
                <w:lang w:val="en-US" w:eastAsia="zh-CN" w:bidi="ar"/>
              </w:rPr>
              <w:t>4.提供原厂承诺：在合同到期前，如国家保密局发布互联网保密自监管系统标准，根据发布标准需要原厂商应取得相应资质证书，并依据发布标准免费完成采购产品的升级整改工作</w:t>
            </w:r>
          </w:p>
        </w:tc>
        <w:tc>
          <w:tcPr>
            <w:tcW w:w="2405"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overflowPunct/>
              <w:topLinePunct w:val="0"/>
              <w:bidi w:val="0"/>
              <w:snapToGrid w:val="0"/>
              <w:spacing w:beforeAutospacing="0" w:afterAutospacing="0" w:line="240" w:lineRule="auto"/>
              <w:ind w:left="0" w:leftChars="0" w:right="0" w:rightChars="0" w:firstLine="0" w:firstLineChars="0"/>
              <w:jc w:val="left"/>
              <w:rPr>
                <w:rFonts w:hint="eastAsia" w:ascii="仿宋" w:hAnsi="仿宋" w:eastAsia="仿宋" w:cs="仿宋"/>
                <w:i w:val="0"/>
                <w:iCs w:val="0"/>
                <w:caps w:val="0"/>
                <w:spacing w:val="0"/>
                <w:kern w:val="2"/>
                <w:sz w:val="21"/>
                <w:szCs w:val="21"/>
                <w:highlight w:val="none"/>
                <w:lang w:val="en-US" w:eastAsia="zh-CN" w:bidi="ar"/>
              </w:rPr>
            </w:pPr>
            <w:r>
              <w:rPr>
                <w:rFonts w:hint="eastAsia" w:ascii="仿宋" w:hAnsi="仿宋" w:eastAsia="仿宋" w:cs="仿宋"/>
                <w:i w:val="0"/>
                <w:iCs w:val="0"/>
                <w:caps w:val="0"/>
                <w:spacing w:val="0"/>
                <w:kern w:val="2"/>
                <w:sz w:val="21"/>
                <w:szCs w:val="21"/>
                <w:highlight w:val="none"/>
                <w:lang w:val="en-US" w:eastAsia="zh-CN" w:bidi="ar"/>
              </w:rPr>
              <w:t>永久授权，无地域限制，支持集群部署，不对硬件资源（CPU、内存、存储、带宽等）作出限制。</w:t>
            </w:r>
          </w:p>
        </w:tc>
        <w:tc>
          <w:tcPr>
            <w:tcW w:w="817"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0000FF"/>
                <w:sz w:val="21"/>
                <w:szCs w:val="22"/>
                <w:highlight w:val="none"/>
                <w:lang w:val="en-US" w:eastAsia="zh-CN"/>
              </w:rPr>
            </w:pPr>
            <w:r>
              <w:rPr>
                <w:rFonts w:hint="eastAsia" w:ascii="仿宋" w:hAnsi="仿宋" w:eastAsia="仿宋" w:cs="仿宋"/>
                <w:b w:val="0"/>
                <w:color w:val="0000FF"/>
                <w:sz w:val="21"/>
                <w:szCs w:val="22"/>
                <w:highlight w:val="none"/>
                <w:lang w:val="en-US" w:eastAsia="zh-CN"/>
              </w:rPr>
              <w:t>套</w:t>
            </w:r>
          </w:p>
        </w:tc>
        <w:tc>
          <w:tcPr>
            <w:tcW w:w="817"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0000FF"/>
                <w:sz w:val="21"/>
                <w:szCs w:val="22"/>
                <w:highlight w:val="none"/>
                <w:lang w:val="en-US" w:eastAsia="zh-CN"/>
              </w:rPr>
            </w:pPr>
            <w:r>
              <w:rPr>
                <w:rFonts w:hint="eastAsia" w:ascii="仿宋" w:hAnsi="仿宋" w:eastAsia="仿宋" w:cs="仿宋"/>
                <w:b w:val="0"/>
                <w:color w:val="0000FF"/>
                <w:sz w:val="21"/>
                <w:szCs w:val="22"/>
                <w:highlight w:val="none"/>
                <w:lang w:val="en-US" w:eastAsia="zh-CN"/>
              </w:rPr>
              <w:t>1</w:t>
            </w:r>
          </w:p>
        </w:tc>
        <w:tc>
          <w:tcPr>
            <w:tcW w:w="876"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val="0"/>
                <w:color w:val="0000FF"/>
                <w:sz w:val="21"/>
                <w:szCs w:val="22"/>
                <w:highlight w:val="none"/>
                <w:lang w:val="en-US" w:eastAsia="zh-CN"/>
              </w:rPr>
            </w:pPr>
            <w:r>
              <w:rPr>
                <w:rFonts w:hint="eastAsia" w:ascii="仿宋" w:hAnsi="仿宋" w:eastAsia="仿宋" w:cs="仿宋"/>
                <w:b w:val="0"/>
                <w:color w:val="0000FF"/>
                <w:sz w:val="21"/>
                <w:szCs w:val="22"/>
                <w:highlight w:val="none"/>
                <w:lang w:val="en-US" w:eastAsia="zh-CN"/>
              </w:rPr>
              <w:t>否</w:t>
            </w:r>
          </w:p>
        </w:tc>
      </w:tr>
    </w:tbl>
    <w:p>
      <w:pPr>
        <w:pStyle w:val="7"/>
        <w:pageBreakBefore w:val="0"/>
        <w:widowControl w:val="0"/>
        <w:kinsoku/>
        <w:wordWrap/>
        <w:overflowPunct/>
        <w:topLinePunct w:val="0"/>
        <w:autoSpaceDE/>
        <w:autoSpaceDN/>
        <w:bidi w:val="0"/>
        <w:snapToGrid/>
        <w:spacing w:before="0" w:after="0" w:line="560" w:lineRule="exact"/>
        <w:ind w:left="0" w:leftChars="0" w:firstLine="643"/>
        <w:rPr>
          <w:rFonts w:hint="eastAsia" w:ascii="楷体" w:hAnsi="楷体" w:eastAsia="楷体" w:cs="楷体"/>
          <w:highlight w:val="none"/>
          <w:lang w:val="en-US" w:eastAsia="zh-CN"/>
        </w:rPr>
      </w:pPr>
      <w:r>
        <w:rPr>
          <w:rFonts w:hint="eastAsia" w:ascii="楷体" w:hAnsi="楷体" w:eastAsia="楷体" w:cs="楷体"/>
          <w:highlight w:val="none"/>
          <w:lang w:val="en-US" w:eastAsia="zh-CN"/>
        </w:rPr>
        <w:t>（四）密码服务</w:t>
      </w:r>
    </w:p>
    <w:tbl>
      <w:tblPr>
        <w:tblStyle w:val="21"/>
        <w:tblW w:w="9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
        <w:gridCol w:w="4097"/>
        <w:gridCol w:w="2033"/>
        <w:gridCol w:w="815"/>
        <w:gridCol w:w="815"/>
        <w:gridCol w:w="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507" w:type="dxa"/>
            <w:tcBorders>
              <w:top w:val="single" w:color="auto" w:sz="4" w:space="0"/>
              <w:left w:val="single" w:color="auto" w:sz="4" w:space="0"/>
              <w:bottom w:val="single" w:color="auto" w:sz="4" w:space="0"/>
              <w:right w:val="single" w:color="auto" w:sz="4" w:space="0"/>
            </w:tcBorders>
            <w:shd w:val="clear" w:color="auto" w:fill="BFBFBF"/>
            <w:vAlign w:val="center"/>
          </w:tcPr>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sz w:val="21"/>
                <w:szCs w:val="21"/>
                <w:highlight w:val="none"/>
                <w:lang w:eastAsia="zh-CN"/>
              </w:rPr>
            </w:pPr>
            <w:r>
              <w:rPr>
                <w:rFonts w:hint="eastAsia" w:ascii="仿宋" w:hAnsi="仿宋" w:eastAsia="仿宋" w:cs="仿宋"/>
                <w:b/>
                <w:bCs/>
                <w:sz w:val="21"/>
                <w:szCs w:val="21"/>
                <w:highlight w:val="none"/>
                <w:lang w:val="en-US" w:eastAsia="zh-CN"/>
              </w:rPr>
              <w:t>采购内容</w:t>
            </w:r>
          </w:p>
        </w:tc>
        <w:tc>
          <w:tcPr>
            <w:tcW w:w="4097" w:type="dxa"/>
            <w:tcBorders>
              <w:top w:val="single" w:color="auto" w:sz="4" w:space="0"/>
              <w:left w:val="single" w:color="auto" w:sz="4" w:space="0"/>
              <w:bottom w:val="single" w:color="auto" w:sz="4" w:space="0"/>
              <w:right w:val="single" w:color="auto" w:sz="4" w:space="0"/>
            </w:tcBorders>
            <w:shd w:val="clear" w:color="auto" w:fill="BFBFBF"/>
            <w:vAlign w:val="center"/>
          </w:tcPr>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sz w:val="21"/>
                <w:szCs w:val="21"/>
                <w:highlight w:val="none"/>
                <w:lang w:eastAsia="zh-CN"/>
              </w:rPr>
            </w:pPr>
            <w:r>
              <w:rPr>
                <w:rFonts w:hint="eastAsia" w:ascii="仿宋" w:hAnsi="仿宋" w:eastAsia="仿宋" w:cs="仿宋"/>
                <w:b/>
                <w:bCs/>
                <w:sz w:val="21"/>
                <w:szCs w:val="21"/>
                <w:highlight w:val="none"/>
                <w:lang w:eastAsia="zh-CN"/>
              </w:rPr>
              <w:t>产品要求</w:t>
            </w:r>
          </w:p>
        </w:tc>
        <w:tc>
          <w:tcPr>
            <w:tcW w:w="2033" w:type="dxa"/>
            <w:tcBorders>
              <w:top w:val="single" w:color="auto" w:sz="4" w:space="0"/>
              <w:left w:val="single" w:color="auto" w:sz="4" w:space="0"/>
              <w:bottom w:val="single" w:color="auto" w:sz="4" w:space="0"/>
              <w:right w:val="single" w:color="auto" w:sz="4" w:space="0"/>
            </w:tcBorders>
            <w:shd w:val="clear" w:color="auto" w:fill="BFBFBF"/>
            <w:vAlign w:val="center"/>
          </w:tcPr>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sz w:val="21"/>
                <w:szCs w:val="21"/>
                <w:highlight w:val="none"/>
                <w:lang w:eastAsia="zh-CN"/>
              </w:rPr>
            </w:pPr>
            <w:r>
              <w:rPr>
                <w:rFonts w:hint="eastAsia" w:ascii="仿宋" w:hAnsi="仿宋" w:eastAsia="仿宋" w:cs="仿宋"/>
                <w:b/>
                <w:bCs/>
                <w:sz w:val="21"/>
                <w:szCs w:val="21"/>
                <w:highlight w:val="none"/>
                <w:lang w:eastAsia="zh-CN"/>
              </w:rPr>
              <w:t>许可要求</w:t>
            </w:r>
          </w:p>
        </w:tc>
        <w:tc>
          <w:tcPr>
            <w:tcW w:w="815" w:type="dxa"/>
            <w:tcBorders>
              <w:top w:val="single" w:color="auto" w:sz="4" w:space="0"/>
              <w:left w:val="single" w:color="auto" w:sz="4" w:space="0"/>
              <w:bottom w:val="single" w:color="auto" w:sz="4" w:space="0"/>
              <w:right w:val="single" w:color="auto" w:sz="4" w:space="0"/>
            </w:tcBorders>
            <w:shd w:val="clear" w:color="auto" w:fill="BFBFBF"/>
            <w:vAlign w:val="center"/>
          </w:tcPr>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sz w:val="21"/>
                <w:szCs w:val="21"/>
                <w:highlight w:val="none"/>
                <w:lang w:eastAsia="zh-CN"/>
              </w:rPr>
            </w:pPr>
            <w:r>
              <w:rPr>
                <w:rFonts w:hint="eastAsia" w:ascii="仿宋" w:hAnsi="仿宋" w:eastAsia="仿宋" w:cs="仿宋"/>
                <w:b/>
                <w:bCs/>
                <w:sz w:val="21"/>
                <w:szCs w:val="21"/>
                <w:highlight w:val="none"/>
                <w:lang w:eastAsia="zh-CN"/>
              </w:rPr>
              <w:t>单位</w:t>
            </w:r>
          </w:p>
        </w:tc>
        <w:tc>
          <w:tcPr>
            <w:tcW w:w="815" w:type="dxa"/>
            <w:tcBorders>
              <w:top w:val="single" w:color="auto" w:sz="4" w:space="0"/>
              <w:left w:val="single" w:color="auto" w:sz="4" w:space="0"/>
              <w:bottom w:val="single" w:color="auto" w:sz="4" w:space="0"/>
              <w:right w:val="single" w:color="auto" w:sz="4" w:space="0"/>
            </w:tcBorders>
            <w:shd w:val="clear" w:color="auto" w:fill="BFBFBF"/>
            <w:vAlign w:val="center"/>
          </w:tcPr>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sz w:val="21"/>
                <w:szCs w:val="21"/>
                <w:highlight w:val="none"/>
                <w:lang w:eastAsia="zh-CN"/>
              </w:rPr>
            </w:pPr>
            <w:r>
              <w:rPr>
                <w:rFonts w:hint="eastAsia" w:ascii="仿宋" w:hAnsi="仿宋" w:eastAsia="仿宋" w:cs="仿宋"/>
                <w:b/>
                <w:bCs/>
                <w:sz w:val="21"/>
                <w:szCs w:val="21"/>
                <w:highlight w:val="none"/>
                <w:lang w:eastAsia="zh-CN"/>
              </w:rPr>
              <w:t>数量</w:t>
            </w:r>
          </w:p>
        </w:tc>
        <w:tc>
          <w:tcPr>
            <w:tcW w:w="816" w:type="dxa"/>
            <w:tcBorders>
              <w:top w:val="single" w:color="auto" w:sz="4" w:space="0"/>
              <w:left w:val="single" w:color="auto" w:sz="4" w:space="0"/>
              <w:bottom w:val="single" w:color="auto" w:sz="4" w:space="0"/>
              <w:right w:val="single" w:color="auto" w:sz="4" w:space="0"/>
            </w:tcBorders>
            <w:shd w:val="clear" w:color="auto" w:fill="BFBFBF"/>
            <w:vAlign w:val="center"/>
          </w:tcPr>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sz w:val="21"/>
                <w:szCs w:val="21"/>
                <w:highlight w:val="none"/>
                <w:lang w:val="en-US" w:eastAsia="zh-CN"/>
              </w:rPr>
            </w:pPr>
            <w:r>
              <w:rPr>
                <w:rFonts w:hint="eastAsia" w:ascii="仿宋" w:hAnsi="仿宋" w:eastAsia="仿宋" w:cs="仿宋"/>
                <w:b/>
                <w:bCs/>
                <w:sz w:val="21"/>
                <w:szCs w:val="21"/>
                <w:highlight w:val="none"/>
                <w:lang w:val="en-US" w:eastAsia="zh-CN"/>
              </w:rPr>
              <w:t>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507" w:type="dxa"/>
            <w:tcBorders>
              <w:top w:val="single" w:color="auto" w:sz="4" w:space="0"/>
              <w:left w:val="single" w:color="auto" w:sz="4" w:space="0"/>
              <w:right w:val="single" w:color="auto" w:sz="4" w:space="0"/>
            </w:tcBorders>
            <w:shd w:val="clear" w:color="auto" w:fill="auto"/>
            <w:vAlign w:val="center"/>
          </w:tcPr>
          <w:p>
            <w:pPr>
              <w:pStyle w:val="6"/>
              <w:keepNext/>
              <w:pageBreakBefore w:val="0"/>
              <w:kinsoku/>
              <w:overflowPunct/>
              <w:topLinePunct w:val="0"/>
              <w:bidi w:val="0"/>
              <w:snapToGrid w:val="0"/>
              <w:spacing w:before="0" w:after="0" w:line="240" w:lineRule="auto"/>
              <w:ind w:left="0" w:leftChars="0" w:right="0" w:rightChars="0" w:firstLine="0" w:firstLineChars="0"/>
              <w:jc w:val="center"/>
              <w:rPr>
                <w:rFonts w:hint="eastAsia" w:ascii="仿宋" w:hAnsi="仿宋" w:eastAsia="仿宋" w:cs="仿宋"/>
                <w:b/>
                <w:bCs/>
                <w:color w:val="auto"/>
                <w:sz w:val="22"/>
                <w:szCs w:val="21"/>
                <w:highlight w:val="none"/>
                <w:lang w:val="en-US" w:eastAsia="zh-CN"/>
              </w:rPr>
            </w:pPr>
            <w:r>
              <w:rPr>
                <w:rFonts w:hint="eastAsia" w:ascii="仿宋" w:hAnsi="仿宋" w:eastAsia="仿宋" w:cs="仿宋"/>
                <w:b/>
                <w:color w:val="auto"/>
                <w:sz w:val="22"/>
                <w:szCs w:val="21"/>
                <w:highlight w:val="none"/>
                <w:lang w:val="en-US" w:eastAsia="zh-CN"/>
              </w:rPr>
              <w:t>密码服务</w:t>
            </w:r>
          </w:p>
        </w:tc>
        <w:tc>
          <w:tcPr>
            <w:tcW w:w="4097" w:type="dxa"/>
            <w:tcBorders>
              <w:top w:val="single" w:color="auto" w:sz="4" w:space="0"/>
              <w:left w:val="single" w:color="auto" w:sz="4" w:space="0"/>
              <w:right w:val="single" w:color="auto" w:sz="4" w:space="0"/>
            </w:tcBorders>
            <w:shd w:val="clear" w:color="auto" w:fill="auto"/>
            <w:vAlign w:val="center"/>
          </w:tcPr>
          <w:p>
            <w:pPr>
              <w:keepNext/>
              <w:keepLines w:val="0"/>
              <w:pageBreakBefore w:val="0"/>
              <w:widowControl w:val="0"/>
              <w:numPr>
                <w:ilvl w:val="0"/>
                <w:numId w:val="4"/>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以实现移动办公平台通过等保三级及密评三级测评为目标提供专属硬件、软件密码产品（非第三方服务形式），该产品需由甲方在其内部环境中私有化部署使用，完全归属甲方管理控制，不采用第三方提供的密码服务模式。产品功能包括但不限于敏感数据加解密服务，文件加解密服务，签名验签服务，协同签名服务，时间戳服务，数字证书签发与管理、密码软键盘、站点证书等服务；提供可扩展的密服平台产品用于统一的密钥管理、密码运算服务、设备资源调度及安全审计等。</w:t>
            </w:r>
          </w:p>
          <w:p>
            <w:pPr>
              <w:keepNext/>
              <w:keepLines w:val="0"/>
              <w:pageBreakBefore w:val="0"/>
              <w:widowControl w:val="0"/>
              <w:numPr>
                <w:ilvl w:val="0"/>
                <w:numId w:val="4"/>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i w:val="0"/>
                <w:iCs w:val="0"/>
                <w:caps w:val="0"/>
                <w:spacing w:val="0"/>
                <w:kern w:val="2"/>
                <w:sz w:val="22"/>
                <w:szCs w:val="21"/>
                <w:highlight w:val="none"/>
                <w:lang w:val="en-US" w:eastAsia="zh-CN" w:bidi="ar"/>
              </w:rPr>
            </w:pPr>
            <w:r>
              <w:rPr>
                <w:rFonts w:hint="eastAsia" w:ascii="仿宋" w:hAnsi="仿宋" w:eastAsia="仿宋" w:cs="仿宋"/>
                <w:i w:val="0"/>
                <w:iCs w:val="0"/>
                <w:caps w:val="0"/>
                <w:spacing w:val="0"/>
                <w:kern w:val="2"/>
                <w:sz w:val="22"/>
                <w:szCs w:val="21"/>
                <w:highlight w:val="none"/>
                <w:lang w:val="en-US" w:eastAsia="zh-CN" w:bidi="ar"/>
              </w:rPr>
              <w:t>需提供与本项目生产环境软、硬件型号一致的开发测试环境全套产品含永久授权，提供永久有效的数字证书，授权范围需覆盖测试场景下的全功能使用需求，无使用期限、并发用户数等限制，用于满足测试验证工作。上述除硬件设备外，其余赠送。</w:t>
            </w:r>
          </w:p>
          <w:p>
            <w:pPr>
              <w:keepNext/>
              <w:keepLines w:val="0"/>
              <w:pageBreakBefore w:val="0"/>
              <w:widowControl w:val="0"/>
              <w:numPr>
                <w:ilvl w:val="0"/>
                <w:numId w:val="4"/>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b/>
                <w:bCs/>
                <w:color w:val="auto"/>
                <w:sz w:val="22"/>
                <w:szCs w:val="21"/>
                <w:highlight w:val="none"/>
                <w:lang w:eastAsia="zh-CN"/>
              </w:rPr>
            </w:pPr>
            <w:r>
              <w:rPr>
                <w:rFonts w:hint="eastAsia" w:ascii="仿宋" w:hAnsi="仿宋" w:eastAsia="仿宋" w:cs="仿宋"/>
                <w:i w:val="0"/>
                <w:iCs w:val="0"/>
                <w:caps w:val="0"/>
                <w:spacing w:val="0"/>
                <w:kern w:val="2"/>
                <w:sz w:val="22"/>
                <w:szCs w:val="21"/>
                <w:highlight w:val="none"/>
                <w:lang w:val="en-US" w:eastAsia="zh-CN" w:bidi="ar"/>
              </w:rPr>
              <w:t>含2年原厂维保服务，</w:t>
            </w:r>
            <w:r>
              <w:rPr>
                <w:rFonts w:hint="eastAsia" w:ascii="仿宋" w:hAnsi="仿宋" w:eastAsia="仿宋" w:cs="仿宋"/>
                <w:color w:val="auto"/>
                <w:sz w:val="22"/>
                <w:szCs w:val="22"/>
                <w:highlight w:val="none"/>
              </w:rPr>
              <w:t>详见服务要求</w:t>
            </w:r>
            <w:r>
              <w:rPr>
                <w:rFonts w:hint="eastAsia" w:ascii="仿宋" w:hAnsi="仿宋" w:eastAsia="仿宋" w:cs="仿宋"/>
                <w:color w:val="auto"/>
                <w:sz w:val="22"/>
                <w:szCs w:val="22"/>
                <w:highlight w:val="none"/>
                <w:lang w:eastAsia="zh-CN"/>
              </w:rPr>
              <w:t>。</w:t>
            </w:r>
          </w:p>
          <w:p>
            <w:pPr>
              <w:keepNext/>
              <w:keepLines w:val="0"/>
              <w:pageBreakBefore w:val="0"/>
              <w:widowControl w:val="0"/>
              <w:numPr>
                <w:ilvl w:val="0"/>
                <w:numId w:val="0"/>
              </w:numPr>
              <w:kinsoku/>
              <w:wordWrap/>
              <w:overflowPunct/>
              <w:topLinePunct w:val="0"/>
              <w:bidi w:val="0"/>
              <w:adjustRightInd/>
              <w:snapToGrid w:val="0"/>
              <w:spacing w:line="240" w:lineRule="auto"/>
              <w:ind w:left="0" w:leftChars="0" w:right="0" w:rightChars="0" w:firstLine="0" w:firstLineChars="0"/>
              <w:jc w:val="left"/>
              <w:textAlignment w:val="auto"/>
              <w:rPr>
                <w:rFonts w:hint="eastAsia" w:ascii="仿宋" w:hAnsi="仿宋" w:eastAsia="仿宋" w:cs="仿宋"/>
                <w:b/>
                <w:bCs/>
                <w:color w:val="auto"/>
                <w:sz w:val="22"/>
                <w:szCs w:val="21"/>
                <w:highlight w:val="none"/>
                <w:lang w:eastAsia="zh-CN"/>
              </w:rPr>
            </w:pPr>
            <w:r>
              <w:rPr>
                <w:rFonts w:hint="eastAsia" w:ascii="仿宋" w:hAnsi="仿宋" w:eastAsia="仿宋" w:cs="仿宋"/>
                <w:color w:val="auto"/>
                <w:sz w:val="22"/>
                <w:szCs w:val="22"/>
                <w:highlight w:val="none"/>
                <w:lang w:val="en-US" w:eastAsia="zh-CN"/>
              </w:rPr>
              <w:t>4.支持移动办公场景下的主流操作系统（含安卓、鸿蒙next、Windows、国产linux（麒麟、统信）等）。</w:t>
            </w:r>
          </w:p>
        </w:tc>
        <w:tc>
          <w:tcPr>
            <w:tcW w:w="2033" w:type="dxa"/>
            <w:tcBorders>
              <w:top w:val="single" w:color="auto" w:sz="4" w:space="0"/>
              <w:left w:val="single" w:color="auto" w:sz="4" w:space="0"/>
              <w:right w:val="single" w:color="auto" w:sz="4" w:space="0"/>
            </w:tcBorders>
            <w:shd w:val="clear" w:color="auto" w:fill="auto"/>
            <w:vAlign w:val="center"/>
          </w:tcPr>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i w:val="0"/>
                <w:iCs w:val="0"/>
                <w:caps w:val="0"/>
                <w:spacing w:val="0"/>
                <w:kern w:val="2"/>
                <w:sz w:val="22"/>
                <w:szCs w:val="21"/>
                <w:highlight w:val="none"/>
                <w:lang w:val="en-US" w:eastAsia="zh-CN" w:bidi="ar"/>
              </w:rPr>
            </w:pPr>
            <w:r>
              <w:rPr>
                <w:rFonts w:hint="eastAsia" w:ascii="仿宋" w:hAnsi="仿宋" w:eastAsia="仿宋" w:cs="仿宋"/>
                <w:i w:val="0"/>
                <w:iCs w:val="0"/>
                <w:caps w:val="0"/>
                <w:spacing w:val="0"/>
                <w:kern w:val="2"/>
                <w:sz w:val="22"/>
                <w:szCs w:val="21"/>
                <w:highlight w:val="none"/>
                <w:lang w:val="en-US" w:eastAsia="zh-CN" w:bidi="ar"/>
              </w:rPr>
              <w:t>永久授权，无地域限制，支持高可用部署，不对硬件资源（CPU、内存、存储、带宽等）作出限制。</w:t>
            </w:r>
          </w:p>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i w:val="0"/>
                <w:iCs w:val="0"/>
                <w:caps w:val="0"/>
                <w:spacing w:val="0"/>
                <w:kern w:val="2"/>
                <w:sz w:val="22"/>
                <w:szCs w:val="21"/>
                <w:highlight w:val="none"/>
                <w:lang w:val="en-US" w:eastAsia="zh-CN" w:bidi="ar"/>
              </w:rPr>
            </w:pPr>
            <w:r>
              <w:rPr>
                <w:rFonts w:hint="eastAsia" w:ascii="仿宋" w:hAnsi="仿宋" w:eastAsia="仿宋" w:cs="仿宋"/>
                <w:i w:val="0"/>
                <w:iCs w:val="0"/>
                <w:caps w:val="0"/>
                <w:spacing w:val="0"/>
                <w:kern w:val="2"/>
                <w:sz w:val="22"/>
                <w:szCs w:val="21"/>
                <w:highlight w:val="none"/>
                <w:lang w:val="en-US" w:eastAsia="zh-CN" w:bidi="ar"/>
              </w:rPr>
              <w:t>数字证书永久授权；</w:t>
            </w:r>
          </w:p>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i w:val="0"/>
                <w:iCs w:val="0"/>
                <w:caps w:val="0"/>
                <w:spacing w:val="0"/>
                <w:kern w:val="2"/>
                <w:sz w:val="22"/>
                <w:szCs w:val="21"/>
                <w:highlight w:val="none"/>
                <w:lang w:val="en-US" w:eastAsia="zh-CN" w:bidi="ar"/>
              </w:rPr>
            </w:pPr>
            <w:r>
              <w:rPr>
                <w:rFonts w:hint="eastAsia" w:ascii="仿宋" w:hAnsi="仿宋" w:eastAsia="仿宋" w:cs="仿宋"/>
                <w:i w:val="0"/>
                <w:iCs w:val="0"/>
                <w:caps w:val="0"/>
                <w:spacing w:val="0"/>
                <w:kern w:val="2"/>
                <w:sz w:val="22"/>
                <w:szCs w:val="21"/>
                <w:highlight w:val="none"/>
                <w:lang w:val="en-US" w:eastAsia="zh-CN" w:bidi="ar"/>
              </w:rPr>
              <w:t>第三方站点证书应满足3年以上授权。</w:t>
            </w:r>
          </w:p>
        </w:tc>
        <w:tc>
          <w:tcPr>
            <w:tcW w:w="815" w:type="dxa"/>
            <w:tcBorders>
              <w:top w:val="single" w:color="auto" w:sz="4" w:space="0"/>
              <w:left w:val="single" w:color="auto" w:sz="4" w:space="0"/>
              <w:right w:val="single" w:color="auto" w:sz="4" w:space="0"/>
            </w:tcBorders>
            <w:shd w:val="clear" w:color="auto" w:fill="auto"/>
            <w:vAlign w:val="center"/>
          </w:tcPr>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color w:val="auto"/>
                <w:sz w:val="22"/>
                <w:szCs w:val="21"/>
                <w:highlight w:val="none"/>
                <w:lang w:val="en-US" w:eastAsia="zh-CN"/>
              </w:rPr>
            </w:pPr>
            <w:r>
              <w:rPr>
                <w:rFonts w:hint="eastAsia" w:ascii="仿宋" w:hAnsi="仿宋" w:eastAsia="仿宋" w:cs="仿宋"/>
                <w:b/>
                <w:bCs/>
                <w:color w:val="auto"/>
                <w:sz w:val="22"/>
                <w:szCs w:val="21"/>
                <w:highlight w:val="none"/>
                <w:lang w:val="en-US" w:eastAsia="zh-CN"/>
              </w:rPr>
              <w:t>套</w:t>
            </w:r>
          </w:p>
        </w:tc>
        <w:tc>
          <w:tcPr>
            <w:tcW w:w="815" w:type="dxa"/>
            <w:tcBorders>
              <w:top w:val="single" w:color="auto" w:sz="4" w:space="0"/>
              <w:left w:val="single" w:color="auto" w:sz="4" w:space="0"/>
              <w:right w:val="single" w:color="auto" w:sz="4" w:space="0"/>
            </w:tcBorders>
            <w:shd w:val="clear" w:color="auto" w:fill="auto"/>
            <w:vAlign w:val="center"/>
          </w:tcPr>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color w:val="auto"/>
                <w:sz w:val="22"/>
                <w:szCs w:val="21"/>
                <w:highlight w:val="none"/>
                <w:lang w:val="en-US" w:eastAsia="zh-CN"/>
              </w:rPr>
            </w:pPr>
            <w:r>
              <w:rPr>
                <w:rFonts w:hint="eastAsia" w:ascii="仿宋" w:hAnsi="仿宋" w:eastAsia="仿宋" w:cs="仿宋"/>
                <w:b/>
                <w:bCs/>
                <w:color w:val="auto"/>
                <w:sz w:val="22"/>
                <w:szCs w:val="21"/>
                <w:highlight w:val="none"/>
                <w:lang w:val="en-US" w:eastAsia="zh-CN"/>
              </w:rPr>
              <w:t>1</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bCs/>
                <w:color w:val="auto"/>
                <w:sz w:val="22"/>
                <w:szCs w:val="21"/>
                <w:highlight w:val="none"/>
                <w:lang w:val="en-US" w:eastAsia="zh-CN"/>
              </w:rPr>
            </w:pPr>
            <w:r>
              <w:rPr>
                <w:rFonts w:hint="eastAsia" w:ascii="仿宋" w:hAnsi="仿宋" w:eastAsia="仿宋" w:cs="仿宋"/>
                <w:b/>
                <w:bCs/>
                <w:color w:val="auto"/>
                <w:sz w:val="22"/>
                <w:szCs w:val="21"/>
                <w:highlight w:val="none"/>
                <w:lang w:val="en-US" w:eastAsia="zh-CN"/>
              </w:rPr>
              <w:t>否</w:t>
            </w:r>
          </w:p>
        </w:tc>
      </w:tr>
    </w:tbl>
    <w:p>
      <w:pPr>
        <w:pStyle w:val="18"/>
        <w:pageBreakBefore w:val="0"/>
        <w:kinsoku/>
        <w:overflowPunct/>
        <w:topLinePunct w:val="0"/>
        <w:bidi w:val="0"/>
        <w:adjustRightInd w:val="0"/>
        <w:spacing w:before="0" w:beforeLines="0" w:after="0" w:afterLines="0" w:line="560" w:lineRule="exact"/>
        <w:ind w:left="0" w:leftChars="0" w:firstLine="640" w:firstLineChars="200"/>
        <w:textAlignment w:val="baseline"/>
        <w:outlineLvl w:val="0"/>
        <w:rPr>
          <w:rFonts w:ascii="Times New Roman" w:hAnsi="黑体" w:eastAsia="黑体"/>
          <w:b w:val="0"/>
          <w:bCs w:val="0"/>
          <w:sz w:val="32"/>
          <w:highlight w:val="none"/>
        </w:rPr>
      </w:pPr>
      <w:bookmarkStart w:id="8" w:name="_Toc20903"/>
      <w:bookmarkStart w:id="9" w:name="_Toc28733"/>
      <w:bookmarkStart w:id="10" w:name="_Toc25759"/>
      <w:r>
        <w:rPr>
          <w:rFonts w:ascii="Times New Roman" w:hAnsi="黑体" w:eastAsia="黑体"/>
          <w:b w:val="0"/>
          <w:bCs w:val="0"/>
          <w:sz w:val="32"/>
          <w:highlight w:val="none"/>
        </w:rPr>
        <w:t>三、业务要求</w:t>
      </w:r>
      <w:bookmarkEnd w:id="8"/>
      <w:bookmarkEnd w:id="9"/>
      <w:bookmarkEnd w:id="10"/>
    </w:p>
    <w:p>
      <w:pPr>
        <w:pStyle w:val="7"/>
        <w:pageBreakBefore w:val="0"/>
        <w:widowControl w:val="0"/>
        <w:kinsoku/>
        <w:wordWrap/>
        <w:overflowPunct/>
        <w:topLinePunct w:val="0"/>
        <w:autoSpaceDE/>
        <w:autoSpaceDN/>
        <w:bidi w:val="0"/>
        <w:snapToGrid/>
        <w:spacing w:before="0" w:after="0" w:line="560" w:lineRule="exact"/>
        <w:ind w:left="0" w:leftChars="0" w:firstLine="643"/>
        <w:rPr>
          <w:rFonts w:hint="default" w:ascii="楷体" w:hAnsi="楷体" w:eastAsia="楷体" w:cs="楷体"/>
          <w:highlight w:val="none"/>
          <w:lang w:val="en-US" w:eastAsia="zh-CN"/>
        </w:rPr>
      </w:pPr>
      <w:bookmarkStart w:id="11" w:name="_Toc30962"/>
      <w:bookmarkStart w:id="12" w:name="_Toc7213"/>
      <w:bookmarkStart w:id="13" w:name="_Toc20673"/>
      <w:bookmarkStart w:id="14" w:name="_Toc60236001"/>
      <w:bookmarkStart w:id="15" w:name="_Toc10294"/>
      <w:bookmarkStart w:id="16" w:name="_Toc32447"/>
      <w:bookmarkStart w:id="17" w:name="_Toc7085"/>
      <w:bookmarkStart w:id="18" w:name="_Toc18998"/>
      <w:bookmarkStart w:id="19" w:name="_Toc314514082"/>
      <w:bookmarkStart w:id="20" w:name="_Toc32180"/>
      <w:bookmarkStart w:id="21" w:name="_Toc4862"/>
      <w:bookmarkStart w:id="22" w:name="_Toc24652"/>
      <w:bookmarkStart w:id="23" w:name="_Toc7965"/>
      <w:bookmarkStart w:id="24" w:name="_Toc3724"/>
      <w:bookmarkStart w:id="25" w:name="_Toc12668"/>
      <w:bookmarkStart w:id="26" w:name="_Toc24665"/>
      <w:bookmarkStart w:id="27" w:name="_Toc20826"/>
      <w:bookmarkStart w:id="28" w:name="_Toc32236"/>
      <w:bookmarkStart w:id="29" w:name="_Toc19906"/>
      <w:bookmarkStart w:id="30" w:name="_Toc5703"/>
      <w:r>
        <w:rPr>
          <w:rFonts w:hint="eastAsia" w:ascii="楷体" w:hAnsi="楷体" w:eastAsia="楷体" w:cs="楷体"/>
          <w:highlight w:val="none"/>
          <w:lang w:val="en-US" w:eastAsia="zh-CN"/>
        </w:rPr>
        <w:t>（一）</w:t>
      </w:r>
      <w:r>
        <w:rPr>
          <w:rFonts w:hint="default" w:ascii="楷体" w:hAnsi="楷体" w:eastAsia="楷体" w:cs="楷体"/>
          <w:highlight w:val="none"/>
          <w:lang w:val="en-US" w:eastAsia="zh-CN"/>
        </w:rPr>
        <w:t>总体说明</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p>
      <w:pPr>
        <w:pageBreakBefore w:val="0"/>
        <w:kinsoku/>
        <w:overflowPunct/>
        <w:topLinePunct w:val="0"/>
        <w:bidi w:val="0"/>
        <w:spacing w:line="560" w:lineRule="exact"/>
        <w:ind w:left="0" w:leftChars="0" w:firstLine="560" w:firstLineChars="200"/>
        <w:rPr>
          <w:rFonts w:hint="eastAsia" w:ascii="Times New Roman" w:hAnsi="楷体" w:eastAsia="仿宋_GB2312" w:cs="Times New Roman"/>
          <w:sz w:val="32"/>
          <w:szCs w:val="28"/>
          <w:highlight w:val="none"/>
          <w:lang w:val="en-US" w:eastAsia="zh-CN"/>
        </w:rPr>
      </w:pPr>
      <w:r>
        <w:rPr>
          <w:rFonts w:hint="eastAsia" w:ascii="仿宋" w:hAnsi="仿宋" w:eastAsia="仿宋" w:cs="仿宋"/>
          <w:b w:val="0"/>
          <w:bCs w:val="0"/>
          <w:kern w:val="2"/>
          <w:sz w:val="28"/>
          <w:szCs w:val="28"/>
          <w:highlight w:val="none"/>
          <w:lang w:val="en-US" w:eastAsia="zh-CN" w:bidi="ar-SA"/>
        </w:rPr>
        <w:t>实现现有协同办公系统功能，包括公文管理、值班动态、督办管理等；功能</w:t>
      </w:r>
      <w:r>
        <w:rPr>
          <w:rFonts w:hint="eastAsia" w:ascii="仿宋" w:hAnsi="仿宋" w:eastAsia="仿宋" w:cs="仿宋"/>
          <w:b w:val="0"/>
          <w:bCs w:val="0"/>
          <w:kern w:val="2"/>
          <w:sz w:val="28"/>
          <w:szCs w:val="28"/>
          <w:highlight w:val="none"/>
          <w:lang w:val="en-US" w:eastAsia="en-US" w:bidi="ar-SA"/>
        </w:rPr>
        <w:t>模块与现有</w:t>
      </w:r>
      <w:r>
        <w:rPr>
          <w:rFonts w:hint="eastAsia" w:ascii="仿宋" w:hAnsi="仿宋" w:eastAsia="仿宋" w:cs="仿宋"/>
          <w:b w:val="0"/>
          <w:bCs w:val="0"/>
          <w:kern w:val="2"/>
          <w:sz w:val="28"/>
          <w:szCs w:val="28"/>
          <w:highlight w:val="none"/>
          <w:lang w:val="en-US" w:eastAsia="zh-CN" w:bidi="ar-SA"/>
        </w:rPr>
        <w:t>协同办公系统</w:t>
      </w:r>
      <w:r>
        <w:rPr>
          <w:rFonts w:hint="eastAsia" w:ascii="仿宋" w:hAnsi="仿宋" w:eastAsia="仿宋" w:cs="仿宋"/>
          <w:b w:val="0"/>
          <w:bCs w:val="0"/>
          <w:kern w:val="2"/>
          <w:sz w:val="28"/>
          <w:szCs w:val="28"/>
          <w:highlight w:val="none"/>
          <w:lang w:val="en-US" w:eastAsia="en-US" w:bidi="ar-SA"/>
        </w:rPr>
        <w:t>一致</w:t>
      </w:r>
      <w:r>
        <w:rPr>
          <w:rFonts w:hint="eastAsia" w:ascii="仿宋" w:hAnsi="仿宋" w:eastAsia="仿宋" w:cs="仿宋"/>
          <w:b w:val="0"/>
          <w:bCs w:val="0"/>
          <w:kern w:val="2"/>
          <w:sz w:val="28"/>
          <w:szCs w:val="28"/>
          <w:highlight w:val="none"/>
          <w:lang w:val="en-US" w:eastAsia="zh-CN" w:bidi="ar-SA"/>
        </w:rPr>
        <w:t>，涉及的数据字段以现有协同办公系统为准</w:t>
      </w:r>
      <w:r>
        <w:rPr>
          <w:rFonts w:hint="eastAsia" w:ascii="仿宋" w:hAnsi="仿宋" w:eastAsia="仿宋" w:cs="仿宋"/>
          <w:b w:val="0"/>
          <w:bCs w:val="0"/>
          <w:kern w:val="2"/>
          <w:sz w:val="28"/>
          <w:szCs w:val="28"/>
          <w:highlight w:val="none"/>
          <w:lang w:val="en-US" w:eastAsia="en-US" w:bidi="ar-SA"/>
        </w:rPr>
        <w:t>；</w:t>
      </w:r>
      <w:r>
        <w:rPr>
          <w:rFonts w:hint="eastAsia" w:ascii="仿宋" w:hAnsi="仿宋" w:eastAsia="仿宋" w:cs="仿宋"/>
          <w:b w:val="0"/>
          <w:bCs w:val="0"/>
          <w:kern w:val="2"/>
          <w:sz w:val="28"/>
          <w:szCs w:val="28"/>
          <w:highlight w:val="none"/>
          <w:lang w:val="en-US" w:eastAsia="zh-CN" w:bidi="ar-SA"/>
        </w:rPr>
        <w:t>首批使用人员为总行行领导及秘书和联络员、总行各部室主要负责人（约50人），后续待首批功能投产上线后，在此基础上进行调整，逐步扩大范围到全行使用。</w:t>
      </w:r>
    </w:p>
    <w:p>
      <w:pPr>
        <w:pStyle w:val="7"/>
        <w:pageBreakBefore w:val="0"/>
        <w:widowControl w:val="0"/>
        <w:kinsoku/>
        <w:wordWrap/>
        <w:overflowPunct/>
        <w:topLinePunct w:val="0"/>
        <w:autoSpaceDE/>
        <w:autoSpaceDN/>
        <w:bidi w:val="0"/>
        <w:snapToGrid/>
        <w:spacing w:before="0" w:after="0" w:line="560" w:lineRule="exact"/>
        <w:ind w:left="0" w:leftChars="0" w:firstLine="643"/>
        <w:rPr>
          <w:rFonts w:hint="default" w:ascii="楷体" w:hAnsi="楷体" w:eastAsia="楷体" w:cs="楷体"/>
          <w:highlight w:val="none"/>
          <w:lang w:val="en-US" w:eastAsia="zh-CN"/>
        </w:rPr>
      </w:pPr>
      <w:bookmarkStart w:id="31" w:name="_Toc15316"/>
      <w:bookmarkStart w:id="32" w:name="_Toc12253"/>
      <w:bookmarkStart w:id="33" w:name="_Toc3286"/>
      <w:bookmarkStart w:id="34" w:name="_Toc18237"/>
      <w:bookmarkStart w:id="35" w:name="_Toc21405"/>
      <w:bookmarkStart w:id="36" w:name="_Toc8349"/>
      <w:bookmarkStart w:id="37" w:name="_Toc5648"/>
      <w:bookmarkStart w:id="38" w:name="_Toc4507"/>
      <w:bookmarkStart w:id="39" w:name="_Toc7499"/>
      <w:bookmarkStart w:id="40" w:name="_Toc8737"/>
      <w:bookmarkStart w:id="41" w:name="_Toc11324"/>
      <w:bookmarkStart w:id="42" w:name="_Toc22399"/>
      <w:bookmarkStart w:id="43" w:name="_Toc13543"/>
      <w:bookmarkStart w:id="44" w:name="_Toc1080920907"/>
      <w:bookmarkStart w:id="45" w:name="_Toc60236003"/>
      <w:bookmarkStart w:id="46" w:name="_Toc18474"/>
      <w:bookmarkStart w:id="47" w:name="_Toc28494"/>
      <w:r>
        <w:rPr>
          <w:rFonts w:hint="eastAsia" w:ascii="楷体" w:hAnsi="楷体" w:eastAsia="楷体" w:cs="楷体"/>
          <w:highlight w:val="none"/>
          <w:lang w:val="en-US" w:eastAsia="zh-CN"/>
        </w:rPr>
        <w:t>（二）</w:t>
      </w:r>
      <w:r>
        <w:rPr>
          <w:rFonts w:hint="default" w:ascii="楷体" w:hAnsi="楷体" w:eastAsia="楷体" w:cs="楷体"/>
          <w:highlight w:val="none"/>
          <w:lang w:val="en-US" w:eastAsia="zh-CN"/>
        </w:rPr>
        <w:t>现有</w:t>
      </w:r>
      <w:r>
        <w:rPr>
          <w:rFonts w:hint="eastAsia" w:ascii="楷体" w:hAnsi="楷体" w:eastAsia="楷体" w:cs="楷体"/>
          <w:highlight w:val="none"/>
          <w:lang w:val="en-US" w:eastAsia="zh-CN"/>
        </w:rPr>
        <w:t>协同办公</w:t>
      </w:r>
      <w:r>
        <w:rPr>
          <w:rFonts w:hint="default" w:ascii="楷体" w:hAnsi="楷体" w:eastAsia="楷体" w:cs="楷体"/>
          <w:highlight w:val="none"/>
          <w:lang w:val="en-US" w:eastAsia="zh-CN"/>
        </w:rPr>
        <w:t>系统功能迁移</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pPr>
        <w:pStyle w:val="7"/>
        <w:pageBreakBefore w:val="0"/>
        <w:widowControl w:val="0"/>
        <w:kinsoku/>
        <w:wordWrap/>
        <w:overflowPunct/>
        <w:topLinePunct w:val="0"/>
        <w:autoSpaceDE/>
        <w:autoSpaceDN/>
        <w:bidi w:val="0"/>
        <w:adjustRightInd w:val="0"/>
        <w:snapToGrid/>
        <w:spacing w:before="0" w:after="0" w:line="560" w:lineRule="exact"/>
        <w:ind w:left="0" w:leftChars="0" w:firstLine="643"/>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移动办公系统为我行协同办公系统提供公文管理等相关功能渠道拓展，主要用于干部员工行外出差、培训等无法通过办公内网PC端处理办公事项的场景。</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1892"/>
        <w:gridCol w:w="4301"/>
        <w:gridCol w:w="2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pct"/>
            <w:shd w:val="clear" w:color="auto" w:fill="D8D8D8"/>
            <w:vAlign w:val="center"/>
          </w:tcPr>
          <w:p>
            <w:pPr>
              <w:keepNext w:val="0"/>
              <w:keepLines w:val="0"/>
              <w:pageBreakBefore w:val="0"/>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0"/>
              <w:jc w:val="center"/>
              <w:textAlignment w:val="auto"/>
              <w:rPr>
                <w:rFonts w:hint="eastAsia" w:ascii="仿宋" w:hAnsi="仿宋" w:eastAsia="仿宋" w:cs="仿宋"/>
                <w:b/>
                <w:sz w:val="22"/>
                <w:szCs w:val="22"/>
                <w:highlight w:val="none"/>
              </w:rPr>
            </w:pPr>
            <w:r>
              <w:rPr>
                <w:rFonts w:hint="eastAsia" w:ascii="仿宋" w:hAnsi="仿宋" w:eastAsia="仿宋" w:cs="仿宋"/>
                <w:b/>
                <w:sz w:val="22"/>
                <w:szCs w:val="22"/>
                <w:highlight w:val="none"/>
              </w:rPr>
              <w:t>序号</w:t>
            </w:r>
          </w:p>
        </w:tc>
        <w:tc>
          <w:tcPr>
            <w:tcW w:w="1041" w:type="pct"/>
            <w:shd w:val="clear" w:color="auto" w:fill="D8D8D8"/>
            <w:vAlign w:val="center"/>
          </w:tcPr>
          <w:p>
            <w:pPr>
              <w:keepNext w:val="0"/>
              <w:keepLines w:val="0"/>
              <w:pageBreakBefore w:val="0"/>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0"/>
              <w:jc w:val="center"/>
              <w:textAlignment w:val="auto"/>
              <w:rPr>
                <w:rFonts w:hint="eastAsia" w:ascii="仿宋" w:hAnsi="仿宋" w:eastAsia="仿宋" w:cs="仿宋"/>
                <w:b/>
                <w:sz w:val="22"/>
                <w:szCs w:val="22"/>
                <w:highlight w:val="none"/>
              </w:rPr>
            </w:pPr>
            <w:r>
              <w:rPr>
                <w:rFonts w:hint="eastAsia" w:ascii="仿宋" w:hAnsi="仿宋" w:eastAsia="仿宋" w:cs="仿宋"/>
                <w:b/>
                <w:sz w:val="22"/>
                <w:szCs w:val="22"/>
                <w:highlight w:val="none"/>
              </w:rPr>
              <w:t>业务活动</w:t>
            </w:r>
          </w:p>
        </w:tc>
        <w:tc>
          <w:tcPr>
            <w:tcW w:w="2366" w:type="pct"/>
            <w:shd w:val="clear" w:color="auto" w:fill="D8D8D8"/>
            <w:vAlign w:val="center"/>
          </w:tcPr>
          <w:p>
            <w:pPr>
              <w:keepNext w:val="0"/>
              <w:keepLines w:val="0"/>
              <w:pageBreakBefore w:val="0"/>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0"/>
              <w:jc w:val="center"/>
              <w:textAlignment w:val="auto"/>
              <w:rPr>
                <w:rFonts w:hint="eastAsia" w:ascii="仿宋" w:hAnsi="仿宋" w:eastAsia="仿宋" w:cs="仿宋"/>
                <w:b/>
                <w:sz w:val="22"/>
                <w:szCs w:val="22"/>
                <w:highlight w:val="none"/>
              </w:rPr>
            </w:pPr>
            <w:r>
              <w:rPr>
                <w:rFonts w:hint="eastAsia" w:ascii="仿宋" w:hAnsi="仿宋" w:eastAsia="仿宋" w:cs="仿宋"/>
                <w:b/>
                <w:sz w:val="22"/>
                <w:szCs w:val="22"/>
                <w:highlight w:val="none"/>
              </w:rPr>
              <w:t>业务活动概述</w:t>
            </w:r>
          </w:p>
        </w:tc>
        <w:tc>
          <w:tcPr>
            <w:tcW w:w="1140" w:type="pct"/>
            <w:shd w:val="clear" w:color="auto" w:fill="D8D8D8"/>
            <w:vAlign w:val="center"/>
          </w:tcPr>
          <w:p>
            <w:pPr>
              <w:keepNext w:val="0"/>
              <w:keepLines w:val="0"/>
              <w:pageBreakBefore w:val="0"/>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0"/>
              <w:jc w:val="center"/>
              <w:textAlignment w:val="auto"/>
              <w:rPr>
                <w:rFonts w:hint="eastAsia" w:ascii="仿宋" w:hAnsi="仿宋" w:eastAsia="仿宋" w:cs="仿宋"/>
                <w:b/>
                <w:sz w:val="22"/>
                <w:szCs w:val="22"/>
                <w:highlight w:val="none"/>
              </w:rPr>
            </w:pPr>
            <w:r>
              <w:rPr>
                <w:rFonts w:hint="eastAsia" w:ascii="仿宋" w:hAnsi="仿宋" w:eastAsia="仿宋" w:cs="仿宋"/>
                <w:b/>
                <w:sz w:val="22"/>
                <w:szCs w:val="22"/>
                <w:highlight w:val="none"/>
              </w:rPr>
              <w:t>功能要求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8"/>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1</w:t>
            </w:r>
          </w:p>
        </w:tc>
        <w:tc>
          <w:tcPr>
            <w:tcW w:w="1041"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8"/>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办文首页</w:t>
            </w:r>
          </w:p>
        </w:tc>
        <w:tc>
          <w:tcPr>
            <w:tcW w:w="2366" w:type="pct"/>
            <w:shd w:val="clear" w:color="auto" w:fill="auto"/>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8"/>
              <w:jc w:val="left"/>
              <w:textAlignment w:val="auto"/>
              <w:rPr>
                <w:rFonts w:hint="eastAsia" w:ascii="仿宋" w:hAnsi="仿宋" w:eastAsia="仿宋" w:cs="仿宋"/>
                <w:i/>
                <w:iCs/>
                <w:color w:val="0000FF"/>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实现收文、发文和签报类型公文的待办的入口。</w:t>
            </w:r>
          </w:p>
        </w:tc>
        <w:tc>
          <w:tcPr>
            <w:tcW w:w="1140" w:type="pct"/>
            <w:vMerge w:val="restart"/>
            <w:shd w:val="clear" w:color="auto" w:fill="auto"/>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8"/>
              <w:jc w:val="left"/>
              <w:textAlignment w:val="auto"/>
              <w:rPr>
                <w:rFonts w:hint="eastAsia" w:ascii="仿宋" w:hAnsi="仿宋" w:eastAsia="仿宋" w:cs="仿宋"/>
                <w:kern w:val="2"/>
                <w:sz w:val="22"/>
                <w:szCs w:val="22"/>
                <w:highlight w:val="none"/>
                <w:lang w:val="en-US" w:eastAsia="zh-CN" w:bidi="ar-SA"/>
              </w:rPr>
            </w:pPr>
          </w:p>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8"/>
              <w:jc w:val="left"/>
              <w:textAlignment w:val="auto"/>
              <w:rPr>
                <w:rFonts w:hint="eastAsia" w:ascii="仿宋" w:hAnsi="仿宋" w:eastAsia="仿宋" w:cs="仿宋"/>
                <w:kern w:val="2"/>
                <w:sz w:val="22"/>
                <w:szCs w:val="22"/>
                <w:highlight w:val="none"/>
                <w:lang w:val="en-US" w:eastAsia="zh-CN" w:bidi="ar-SA"/>
              </w:rPr>
            </w:pPr>
          </w:p>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8"/>
              <w:jc w:val="left"/>
              <w:textAlignment w:val="auto"/>
              <w:rPr>
                <w:rFonts w:hint="eastAsia" w:ascii="仿宋" w:hAnsi="仿宋" w:eastAsia="仿宋" w:cs="仿宋"/>
                <w:kern w:val="2"/>
                <w:sz w:val="22"/>
                <w:szCs w:val="22"/>
                <w:highlight w:val="none"/>
                <w:lang w:val="en-US" w:eastAsia="zh-CN" w:bidi="ar-SA"/>
              </w:rPr>
            </w:pPr>
          </w:p>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8"/>
              <w:jc w:val="left"/>
              <w:textAlignment w:val="auto"/>
              <w:rPr>
                <w:rFonts w:hint="eastAsia" w:ascii="仿宋" w:hAnsi="仿宋" w:eastAsia="仿宋" w:cs="仿宋"/>
                <w:i/>
                <w:iCs/>
                <w:color w:val="0000FF"/>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与现有协同办公系统流程一致，数据同步，同时界面、按钮需进行移动端适配和简化。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2</w:t>
            </w:r>
          </w:p>
        </w:tc>
        <w:tc>
          <w:tcPr>
            <w:tcW w:w="1041"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发文管理</w:t>
            </w:r>
          </w:p>
        </w:tc>
        <w:tc>
          <w:tcPr>
            <w:tcW w:w="2366"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left"/>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实现总行发文、部门发文、分行/代表处发文的移动端审批、审阅、流转、签写意见、查看正文、查看附件、查看关联文件、传阅等功能。移动端不能套红头，不能加盖公章。</w:t>
            </w:r>
          </w:p>
        </w:tc>
        <w:tc>
          <w:tcPr>
            <w:tcW w:w="1140" w:type="pct"/>
            <w:vMerge w:val="continue"/>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3</w:t>
            </w:r>
          </w:p>
        </w:tc>
        <w:tc>
          <w:tcPr>
            <w:tcW w:w="1041"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收文管理</w:t>
            </w:r>
          </w:p>
        </w:tc>
        <w:tc>
          <w:tcPr>
            <w:tcW w:w="2366"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left"/>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实现总行收文、部门收文、分行/代表处收文的移动端签收、退文、审批流转、签写意见、查看正文、查看附件等功能。</w:t>
            </w:r>
          </w:p>
        </w:tc>
        <w:tc>
          <w:tcPr>
            <w:tcW w:w="1140" w:type="pct"/>
            <w:vMerge w:val="continue"/>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450"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4</w:t>
            </w:r>
          </w:p>
        </w:tc>
        <w:tc>
          <w:tcPr>
            <w:tcW w:w="1041"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签报管理</w:t>
            </w:r>
          </w:p>
        </w:tc>
        <w:tc>
          <w:tcPr>
            <w:tcW w:w="2366"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left"/>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实现总行签报、部门/分行签报的移动端审批、审阅、流转、签写意见、查看关联文件等功能。</w:t>
            </w:r>
          </w:p>
        </w:tc>
        <w:tc>
          <w:tcPr>
            <w:tcW w:w="1140" w:type="pct"/>
            <w:vMerge w:val="continue"/>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450"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5</w:t>
            </w:r>
          </w:p>
        </w:tc>
        <w:tc>
          <w:tcPr>
            <w:tcW w:w="1041"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值班动态</w:t>
            </w:r>
          </w:p>
        </w:tc>
        <w:tc>
          <w:tcPr>
            <w:tcW w:w="2366"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left"/>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实现值班动态的移动端阅览功能。</w:t>
            </w:r>
          </w:p>
        </w:tc>
        <w:tc>
          <w:tcPr>
            <w:tcW w:w="1140" w:type="pct"/>
            <w:vMerge w:val="continue"/>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6</w:t>
            </w:r>
          </w:p>
        </w:tc>
        <w:tc>
          <w:tcPr>
            <w:tcW w:w="1041"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督办事项</w:t>
            </w:r>
          </w:p>
        </w:tc>
        <w:tc>
          <w:tcPr>
            <w:tcW w:w="2366" w:type="pct"/>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left"/>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实现：1、审核部门督办员送审的督办单；</w:t>
            </w:r>
          </w:p>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left"/>
              <w:textAlignment w:val="auto"/>
              <w:rPr>
                <w:rFonts w:hint="eastAsia" w:ascii="仿宋" w:hAnsi="仿宋" w:eastAsia="仿宋" w:cs="仿宋"/>
                <w:kern w:val="2"/>
                <w:sz w:val="22"/>
                <w:szCs w:val="22"/>
                <w:highlight w:val="none"/>
                <w:lang w:val="en-US" w:eastAsia="zh-CN" w:bidi="ar-SA"/>
              </w:rPr>
            </w:pPr>
            <w:r>
              <w:rPr>
                <w:rFonts w:hint="eastAsia" w:ascii="仿宋" w:hAnsi="仿宋" w:eastAsia="仿宋" w:cs="仿宋"/>
                <w:kern w:val="2"/>
                <w:sz w:val="22"/>
                <w:szCs w:val="22"/>
                <w:highlight w:val="none"/>
                <w:lang w:val="en-US" w:eastAsia="zh-CN" w:bidi="ar-SA"/>
              </w:rPr>
              <w:t>2、审批主办处室提交的督办反馈单、督办延期单。</w:t>
            </w:r>
          </w:p>
        </w:tc>
        <w:tc>
          <w:tcPr>
            <w:tcW w:w="1140" w:type="pct"/>
            <w:vMerge w:val="continue"/>
            <w:shd w:val="clear" w:color="auto" w:fill="auto"/>
            <w:vAlign w:val="center"/>
          </w:tcPr>
          <w:p>
            <w:pPr>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Lines="0" w:afterAutospacing="0" w:line="500" w:lineRule="exact"/>
              <w:ind w:left="0" w:right="-107"/>
              <w:jc w:val="center"/>
              <w:textAlignment w:val="auto"/>
              <w:rPr>
                <w:rFonts w:hint="eastAsia" w:ascii="仿宋" w:hAnsi="仿宋" w:eastAsia="仿宋" w:cs="仿宋"/>
                <w:kern w:val="2"/>
                <w:sz w:val="22"/>
                <w:szCs w:val="22"/>
                <w:highlight w:val="none"/>
                <w:lang w:val="en-US" w:eastAsia="zh-CN" w:bidi="ar-SA"/>
              </w:rPr>
            </w:pPr>
          </w:p>
        </w:tc>
      </w:tr>
    </w:tbl>
    <w:p>
      <w:pPr>
        <w:pStyle w:val="7"/>
        <w:pageBreakBefore w:val="0"/>
        <w:widowControl w:val="0"/>
        <w:kinsoku/>
        <w:wordWrap/>
        <w:overflowPunct/>
        <w:topLinePunct w:val="0"/>
        <w:autoSpaceDE/>
        <w:autoSpaceDN/>
        <w:bidi w:val="0"/>
        <w:snapToGrid/>
        <w:spacing w:before="0" w:after="0" w:line="560" w:lineRule="exact"/>
        <w:ind w:left="0" w:leftChars="0" w:firstLine="643"/>
        <w:rPr>
          <w:rFonts w:hint="default" w:ascii="楷体" w:hAnsi="楷体" w:eastAsia="楷体" w:cs="楷体"/>
          <w:highlight w:val="none"/>
          <w:lang w:val="en-US" w:eastAsia="zh-CN"/>
        </w:rPr>
      </w:pPr>
      <w:bookmarkStart w:id="48" w:name="_Toc2925"/>
      <w:bookmarkStart w:id="49" w:name="_Toc5474"/>
      <w:bookmarkStart w:id="50" w:name="_Toc1473513976"/>
      <w:bookmarkStart w:id="51" w:name="_Toc12194"/>
      <w:bookmarkStart w:id="52" w:name="_Toc3815"/>
      <w:bookmarkStart w:id="53" w:name="_Toc27229"/>
      <w:bookmarkStart w:id="54" w:name="_Toc3399"/>
      <w:bookmarkStart w:id="55" w:name="_Toc3250"/>
      <w:bookmarkStart w:id="56" w:name="_Toc23277"/>
      <w:bookmarkStart w:id="57" w:name="_Toc29275"/>
      <w:r>
        <w:rPr>
          <w:rFonts w:hint="eastAsia" w:ascii="楷体" w:hAnsi="楷体" w:eastAsia="楷体" w:cs="楷体"/>
          <w:highlight w:val="none"/>
          <w:lang w:val="en-US" w:eastAsia="zh-CN"/>
        </w:rPr>
        <w:t>（三）移动办公平台</w:t>
      </w:r>
      <w:r>
        <w:rPr>
          <w:rFonts w:hint="default" w:ascii="楷体" w:hAnsi="楷体" w:eastAsia="楷体" w:cs="楷体"/>
          <w:highlight w:val="none"/>
          <w:lang w:val="en-US" w:eastAsia="zh-CN"/>
        </w:rPr>
        <w:t>功能</w:t>
      </w:r>
      <w:bookmarkEnd w:id="48"/>
      <w:bookmarkEnd w:id="49"/>
      <w:bookmarkEnd w:id="50"/>
      <w:bookmarkEnd w:id="51"/>
      <w:bookmarkEnd w:id="52"/>
      <w:bookmarkEnd w:id="53"/>
      <w:bookmarkEnd w:id="54"/>
      <w:bookmarkEnd w:id="55"/>
      <w:bookmarkEnd w:id="56"/>
      <w:bookmarkEnd w:id="57"/>
      <w:r>
        <w:rPr>
          <w:rFonts w:hint="eastAsia" w:ascii="楷体" w:hAnsi="楷体" w:eastAsia="楷体" w:cs="楷体"/>
          <w:highlight w:val="none"/>
          <w:lang w:val="en-US" w:eastAsia="zh-CN"/>
        </w:rPr>
        <w:t>点</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除现有协同办公系统公文管理相关功能外，可通过移动端实现以下功能。</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bookmarkStart w:id="58" w:name="_Toc401"/>
      <w:bookmarkStart w:id="59" w:name="_Toc12482"/>
      <w:bookmarkStart w:id="60" w:name="_Toc29757"/>
      <w:bookmarkStart w:id="61" w:name="_Toc6567"/>
      <w:bookmarkStart w:id="62" w:name="_Toc29749"/>
      <w:bookmarkStart w:id="63" w:name="_Toc4944"/>
      <w:r>
        <w:rPr>
          <w:rFonts w:hint="default" w:ascii="仿宋" w:hAnsi="仿宋" w:eastAsia="仿宋" w:cs="仿宋"/>
          <w:b w:val="0"/>
          <w:bCs w:val="0"/>
          <w:kern w:val="2"/>
          <w:sz w:val="28"/>
          <w:szCs w:val="28"/>
          <w:highlight w:val="none"/>
          <w:lang w:val="en-US" w:eastAsia="zh-CN" w:bidi="ar-SA"/>
        </w:rPr>
        <w:t>手写批示</w:t>
      </w:r>
      <w:bookmarkEnd w:id="58"/>
      <w:bookmarkEnd w:id="59"/>
      <w:bookmarkEnd w:id="60"/>
      <w:bookmarkEnd w:id="61"/>
      <w:bookmarkEnd w:id="62"/>
      <w:bookmarkEnd w:id="63"/>
      <w:r>
        <w:rPr>
          <w:rFonts w:hint="eastAsia" w:ascii="仿宋" w:hAnsi="仿宋" w:eastAsia="仿宋" w:cs="仿宋"/>
          <w:b w:val="0"/>
          <w:bCs w:val="0"/>
          <w:kern w:val="2"/>
          <w:sz w:val="28"/>
          <w:szCs w:val="28"/>
          <w:highlight w:val="none"/>
          <w:lang w:val="en-US" w:eastAsia="zh-CN" w:bidi="ar-SA"/>
        </w:rPr>
        <w:t>：提供手写签批功能，可对相关文件以触屏、触控笔等形式进行批注，并签批流转意见。</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留言板：可通过“留言板”模块反馈移动协同办公系统使用问题，便于系统管理及运维人员及时线上收集问题、线下反馈解决情况。</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电话簿：实现全行通讯录查询功能。</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bookmarkStart w:id="64" w:name="_Toc26997"/>
      <w:bookmarkStart w:id="65" w:name="_Toc21559"/>
      <w:bookmarkStart w:id="66" w:name="_Toc28117"/>
      <w:bookmarkStart w:id="67" w:name="_Toc29534"/>
      <w:bookmarkStart w:id="68" w:name="_Toc17952"/>
      <w:bookmarkStart w:id="69" w:name="_Toc29226"/>
      <w:r>
        <w:rPr>
          <w:rFonts w:hint="default" w:ascii="仿宋" w:hAnsi="仿宋" w:eastAsia="仿宋" w:cs="仿宋"/>
          <w:b w:val="0"/>
          <w:bCs w:val="0"/>
          <w:kern w:val="2"/>
          <w:sz w:val="28"/>
          <w:szCs w:val="28"/>
          <w:highlight w:val="none"/>
          <w:lang w:val="en-US" w:eastAsia="zh-CN" w:bidi="ar-SA"/>
        </w:rPr>
        <w:t>数据统计</w:t>
      </w:r>
      <w:bookmarkEnd w:id="64"/>
      <w:bookmarkEnd w:id="65"/>
      <w:bookmarkEnd w:id="66"/>
      <w:bookmarkEnd w:id="67"/>
      <w:bookmarkEnd w:id="68"/>
      <w:bookmarkEnd w:id="69"/>
      <w:r>
        <w:rPr>
          <w:rFonts w:hint="eastAsia" w:ascii="仿宋" w:hAnsi="仿宋" w:eastAsia="仿宋" w:cs="仿宋"/>
          <w:b w:val="0"/>
          <w:bCs w:val="0"/>
          <w:kern w:val="2"/>
          <w:sz w:val="28"/>
          <w:szCs w:val="28"/>
          <w:highlight w:val="none"/>
          <w:lang w:val="en-US" w:eastAsia="zh-CN" w:bidi="ar-SA"/>
        </w:rPr>
        <w:t>：可统计、展示系统日常使用情况数据，包括但不限于登录人数、操作次数、主要操作环节、模块活跃用户数、系统日志分析等统计功能。</w:t>
      </w:r>
    </w:p>
    <w:p>
      <w:pPr>
        <w:pStyle w:val="7"/>
        <w:pageBreakBefore w:val="0"/>
        <w:widowControl w:val="0"/>
        <w:kinsoku/>
        <w:wordWrap/>
        <w:overflowPunct/>
        <w:topLinePunct w:val="0"/>
        <w:autoSpaceDE/>
        <w:autoSpaceDN/>
        <w:bidi w:val="0"/>
        <w:snapToGrid/>
        <w:spacing w:before="0" w:after="0" w:line="560" w:lineRule="exact"/>
        <w:ind w:left="0" w:leftChars="0" w:firstLine="643"/>
        <w:rPr>
          <w:rFonts w:hint="default" w:ascii="楷体" w:hAnsi="楷体" w:eastAsia="楷体" w:cs="楷体"/>
          <w:highlight w:val="none"/>
          <w:lang w:val="en-US" w:eastAsia="zh-CN"/>
        </w:rPr>
      </w:pPr>
      <w:bookmarkStart w:id="70" w:name="_Toc14854"/>
      <w:bookmarkStart w:id="71" w:name="_Toc20915"/>
      <w:bookmarkStart w:id="72" w:name="_Toc15609"/>
      <w:bookmarkStart w:id="73" w:name="_Toc60236008"/>
      <w:bookmarkStart w:id="74" w:name="_Toc16189"/>
      <w:bookmarkStart w:id="75" w:name="_Toc18177"/>
      <w:bookmarkStart w:id="76" w:name="_Toc737"/>
      <w:bookmarkStart w:id="77" w:name="_Toc10916"/>
      <w:bookmarkStart w:id="78" w:name="_Toc20579"/>
      <w:bookmarkStart w:id="79" w:name="_Toc29223"/>
      <w:bookmarkStart w:id="80" w:name="_Toc15217"/>
      <w:bookmarkStart w:id="81" w:name="_Toc13793"/>
      <w:bookmarkStart w:id="82" w:name="_Toc16602"/>
      <w:bookmarkStart w:id="83" w:name="_Toc567977428"/>
      <w:bookmarkStart w:id="84" w:name="_Toc16641"/>
      <w:bookmarkStart w:id="85" w:name="_Toc17784"/>
      <w:bookmarkStart w:id="86" w:name="_Toc14498"/>
      <w:bookmarkStart w:id="87" w:name="_Toc381175114"/>
      <w:r>
        <w:rPr>
          <w:rFonts w:hint="eastAsia" w:ascii="楷体" w:hAnsi="楷体" w:eastAsia="楷体" w:cs="楷体"/>
          <w:highlight w:val="none"/>
          <w:lang w:val="en-US" w:eastAsia="zh-CN"/>
        </w:rPr>
        <w:t>（四）</w:t>
      </w:r>
      <w:r>
        <w:rPr>
          <w:rFonts w:hint="default" w:ascii="楷体" w:hAnsi="楷体" w:eastAsia="楷体" w:cs="楷体"/>
          <w:highlight w:val="none"/>
          <w:lang w:val="en-US" w:eastAsia="zh-CN"/>
        </w:rPr>
        <w:t>系统安全</w:t>
      </w:r>
      <w:bookmarkEnd w:id="70"/>
      <w:bookmarkEnd w:id="71"/>
      <w:bookmarkEnd w:id="72"/>
      <w:bookmarkEnd w:id="73"/>
      <w:bookmarkEnd w:id="74"/>
      <w:bookmarkEnd w:id="75"/>
      <w:bookmarkEnd w:id="76"/>
      <w:r>
        <w:rPr>
          <w:rFonts w:hint="default" w:ascii="楷体" w:hAnsi="楷体" w:eastAsia="楷体" w:cs="楷体"/>
          <w:highlight w:val="none"/>
          <w:lang w:val="en-US" w:eastAsia="zh-CN"/>
        </w:rPr>
        <w:t>要求</w:t>
      </w:r>
      <w:bookmarkEnd w:id="77"/>
      <w:bookmarkEnd w:id="78"/>
      <w:bookmarkEnd w:id="79"/>
      <w:bookmarkEnd w:id="80"/>
      <w:bookmarkEnd w:id="81"/>
      <w:bookmarkEnd w:id="82"/>
      <w:bookmarkEnd w:id="83"/>
      <w:bookmarkEnd w:id="84"/>
      <w:bookmarkEnd w:id="85"/>
      <w:bookmarkEnd w:id="86"/>
    </w:p>
    <w:bookmarkEnd w:id="87"/>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bookmarkStart w:id="88" w:name="_Toc378519106"/>
      <w:bookmarkEnd w:id="88"/>
      <w:bookmarkStart w:id="89" w:name="_Toc378519104"/>
      <w:bookmarkEnd w:id="89"/>
      <w:bookmarkStart w:id="90" w:name="_Toc378518900"/>
      <w:bookmarkEnd w:id="90"/>
      <w:bookmarkStart w:id="91" w:name="_Toc378518901"/>
      <w:bookmarkEnd w:id="91"/>
      <w:bookmarkStart w:id="92" w:name="_Toc378518913"/>
      <w:bookmarkEnd w:id="92"/>
      <w:bookmarkStart w:id="93" w:name="_Toc378519105"/>
      <w:bookmarkEnd w:id="93"/>
      <w:bookmarkStart w:id="94" w:name="_Toc378519107"/>
      <w:bookmarkEnd w:id="94"/>
      <w:bookmarkStart w:id="95" w:name="_Toc378518908"/>
      <w:bookmarkEnd w:id="95"/>
      <w:bookmarkStart w:id="96" w:name="_Toc378518899"/>
      <w:bookmarkEnd w:id="96"/>
      <w:bookmarkStart w:id="97" w:name="_Toc378518902"/>
      <w:bookmarkEnd w:id="97"/>
      <w:bookmarkStart w:id="98" w:name="_Toc378519118"/>
      <w:bookmarkEnd w:id="98"/>
      <w:bookmarkStart w:id="99" w:name="_Toc378519113"/>
      <w:bookmarkEnd w:id="99"/>
      <w:r>
        <w:rPr>
          <w:rFonts w:hint="eastAsia" w:ascii="仿宋" w:hAnsi="仿宋" w:eastAsia="仿宋" w:cs="仿宋"/>
          <w:b w:val="0"/>
          <w:bCs w:val="0"/>
          <w:kern w:val="2"/>
          <w:sz w:val="28"/>
          <w:szCs w:val="28"/>
          <w:highlight w:val="none"/>
          <w:lang w:val="en-US" w:eastAsia="zh-CN" w:bidi="ar-SA"/>
        </w:rPr>
        <w:t>移动办公系统建设安全保密标准和要求主要包括运行移动办公系统的网络应达到网络安全等级保护三级防护要求，在此基础上从终端设备、信息传输、应用系统、存储备份、数据隔离等方面采取安全防护措施，并采用取得《商用密码产品认证证书》的商用密码产品（在合同到期前，若国家密码管理局发布关于抗量子计算的新一代商用密码技术应用要求，原厂商需承诺协助开展产品升级工作）进行保护</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移动办公系统应基于“永不信任，持续验证”的零信任安全理念进行设计。整体安全框架需贯穿“身份-设备-网络-应用-数据”的全链路，确保任何访问请求，无论其来源（内外网）或设备类型，都经过严格的身份认证、设备合规性检查和权限评估，实现对核心数据和应用资源的精细化、动态化访问控制。</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2" w:firstLineChars="200"/>
        <w:textAlignment w:val="baseline"/>
        <w:rPr>
          <w:rFonts w:hint="eastAsia" w:ascii="仿宋" w:hAnsi="仿宋" w:eastAsia="仿宋" w:cs="仿宋"/>
          <w:b/>
          <w:bCs/>
          <w:kern w:val="2"/>
          <w:sz w:val="28"/>
          <w:szCs w:val="28"/>
          <w:highlight w:val="none"/>
          <w:lang w:val="en-US" w:eastAsia="zh-CN" w:bidi="ar-SA"/>
        </w:rPr>
      </w:pPr>
      <w:bookmarkStart w:id="100" w:name="_Toc8574400"/>
      <w:bookmarkStart w:id="101" w:name="_Toc15173"/>
      <w:bookmarkStart w:id="102" w:name="_Toc25812"/>
      <w:bookmarkStart w:id="103" w:name="_Toc1135"/>
      <w:bookmarkStart w:id="104" w:name="_Toc8257"/>
      <w:bookmarkStart w:id="105" w:name="_Toc6108"/>
      <w:bookmarkStart w:id="106" w:name="_Toc28752"/>
      <w:r>
        <w:rPr>
          <w:rFonts w:hint="default" w:ascii="仿宋" w:hAnsi="仿宋" w:eastAsia="仿宋" w:cs="仿宋"/>
          <w:b/>
          <w:bCs/>
          <w:kern w:val="2"/>
          <w:sz w:val="28"/>
          <w:szCs w:val="28"/>
          <w:highlight w:val="none"/>
          <w:lang w:val="en-US" w:eastAsia="zh-CN" w:bidi="ar-SA"/>
        </w:rPr>
        <w:t>终端设备</w:t>
      </w:r>
      <w:bookmarkEnd w:id="100"/>
      <w:bookmarkEnd w:id="101"/>
      <w:bookmarkEnd w:id="102"/>
      <w:bookmarkEnd w:id="103"/>
      <w:bookmarkEnd w:id="104"/>
      <w:bookmarkEnd w:id="105"/>
      <w:bookmarkEnd w:id="106"/>
      <w:r>
        <w:rPr>
          <w:rFonts w:hint="eastAsia" w:ascii="仿宋" w:hAnsi="仿宋" w:eastAsia="仿宋" w:cs="仿宋"/>
          <w:b/>
          <w:bCs/>
          <w:kern w:val="2"/>
          <w:sz w:val="28"/>
          <w:szCs w:val="28"/>
          <w:highlight w:val="none"/>
          <w:lang w:val="en-US" w:eastAsia="zh-CN" w:bidi="ar-SA"/>
        </w:rPr>
        <w:t>：</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采用统一定制的移动终端设备(Pad)，优先适配行内已有的移动互联网终端设备，并通过移动设备管理技术（MDM/EMM）实现对设备全生命周期的安全管控。终端设备应采用虚拟技术、沙箱等技术措施，在操作系统层面创建一个独立、加密的运行环境，用于承载所有移动办公应用及相关数据，该安全工作空间与外部个人应用空间在进程、文件系统、网络通信、剪贴板等方面实现强隔离，有效杜绝恶意软件从个人空间向企业空间的渗透，工作空间内所有应用的业务流量可强制通过零信任加密隧道（SDP）访问后端服务器；应具备强身份认证与设备绑定、设备合规性基线检查、设备遗失数据擦除、远程锁定/解锁、恢复出厂设置等安全控制策略；应实现文件和数据不在终端落地存储，有效控制终端感染木马病毒、终端遗失等带来的风险。</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具有安全的身份鉴别及授权。统一用户管理，提供移动用户身份认证的集中管理，支持手势密码认证、指纹认证、人脸认证等多因素认证。短信密码：短信密码以手机短信形式请求包含6位或更多随机数的动态口令，以短信形式发送随机的6/8位密码到系统用户手机上，系统用户输入此动态口令，从而确保系统身份认证的安全性。人脸、指纹识别：系统可以通过本地令牌安全存储面容ID及指纹信息（依托轻量级操作系统实现），结合人脸或指纹识别实现快速登录。系统应具备身份鉴别失败措施，强制结束回话、限制失败登录次数，自动退出等功能。应支持身份鉴别结果有效期，过期后需重新登录；更新系统终端设备时，应重新登录。</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屏幕水印保护。用户在操作和查看被保护电子文件时，在屏幕显示电子文件过程中可始终附有文件属性的底纹，底纹的内容涵盖用户、单位、部门等文件属性及警示等信息，具体信息展示情况可根据后续实施厂商功能情况进行商议，但需保留底纹信息的灵活配置能力。底纹的覆盖率一般需要超过50%，以用于防范随意拍照。对于授权打印的电子文件在打印时也一并附有底纹，便于事后追溯文件最后使用用户，确定文件外泄事故源头。</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屏幕禁止截屏。用户在使用系统时，禁止移动端截屏和录屏，防止文件外泄。</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2" w:firstLineChars="200"/>
        <w:textAlignment w:val="baseline"/>
        <w:rPr>
          <w:rFonts w:hint="default" w:ascii="仿宋" w:hAnsi="仿宋" w:eastAsia="仿宋" w:cs="仿宋"/>
          <w:b/>
          <w:bCs/>
          <w:kern w:val="2"/>
          <w:sz w:val="28"/>
          <w:szCs w:val="28"/>
          <w:highlight w:val="none"/>
          <w:lang w:val="en-US" w:eastAsia="zh-CN" w:bidi="ar-SA"/>
        </w:rPr>
      </w:pPr>
      <w:bookmarkStart w:id="107" w:name="_Toc32741"/>
      <w:bookmarkStart w:id="108" w:name="_Toc18859"/>
      <w:bookmarkStart w:id="109" w:name="_Toc24894"/>
      <w:bookmarkStart w:id="110" w:name="_Toc9429"/>
      <w:bookmarkStart w:id="111" w:name="_Toc13457"/>
      <w:bookmarkStart w:id="112" w:name="_Toc25483"/>
      <w:bookmarkStart w:id="113" w:name="_Toc8574401"/>
      <w:r>
        <w:rPr>
          <w:rFonts w:hint="eastAsia" w:ascii="仿宋" w:hAnsi="仿宋" w:eastAsia="仿宋" w:cs="仿宋"/>
          <w:b/>
          <w:bCs/>
          <w:kern w:val="2"/>
          <w:sz w:val="28"/>
          <w:szCs w:val="28"/>
          <w:highlight w:val="none"/>
          <w:lang w:val="en-US" w:eastAsia="zh-CN" w:bidi="ar-SA"/>
        </w:rPr>
        <w:t>信息</w:t>
      </w:r>
      <w:r>
        <w:rPr>
          <w:rFonts w:hint="default" w:ascii="仿宋" w:hAnsi="仿宋" w:eastAsia="仿宋" w:cs="仿宋"/>
          <w:b/>
          <w:bCs/>
          <w:kern w:val="2"/>
          <w:sz w:val="28"/>
          <w:szCs w:val="28"/>
          <w:highlight w:val="none"/>
          <w:lang w:val="en-US" w:eastAsia="zh-CN" w:bidi="ar-SA"/>
        </w:rPr>
        <w:t>传输</w:t>
      </w:r>
      <w:bookmarkEnd w:id="107"/>
      <w:bookmarkEnd w:id="108"/>
      <w:bookmarkEnd w:id="109"/>
      <w:bookmarkEnd w:id="110"/>
      <w:bookmarkEnd w:id="111"/>
      <w:r>
        <w:rPr>
          <w:rFonts w:hint="eastAsia" w:ascii="仿宋" w:hAnsi="仿宋" w:eastAsia="仿宋" w:cs="仿宋"/>
          <w:b/>
          <w:bCs/>
          <w:kern w:val="2"/>
          <w:sz w:val="28"/>
          <w:szCs w:val="28"/>
          <w:highlight w:val="none"/>
          <w:lang w:val="en-US" w:eastAsia="zh-CN" w:bidi="ar-SA"/>
        </w:rPr>
        <w:t>：</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依托密码技术，采用密码产品或SDP技术，实现数据信息在传输过程中无明文，防止被非法窃取或信息完整性被破坏。</w:t>
      </w:r>
      <w:bookmarkEnd w:id="112"/>
      <w:bookmarkEnd w:id="113"/>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2" w:firstLineChars="200"/>
        <w:textAlignment w:val="baseline"/>
        <w:rPr>
          <w:rFonts w:hint="default" w:ascii="仿宋" w:hAnsi="仿宋" w:eastAsia="仿宋" w:cs="仿宋"/>
          <w:b w:val="0"/>
          <w:bCs w:val="0"/>
          <w:kern w:val="2"/>
          <w:sz w:val="28"/>
          <w:szCs w:val="28"/>
          <w:highlight w:val="none"/>
          <w:lang w:val="en-US" w:eastAsia="zh-CN" w:bidi="ar-SA"/>
        </w:rPr>
      </w:pPr>
      <w:bookmarkStart w:id="114" w:name="_Toc18362"/>
      <w:bookmarkStart w:id="115" w:name="_Toc20466"/>
      <w:bookmarkStart w:id="116" w:name="_Toc14019"/>
      <w:bookmarkStart w:id="117" w:name="_Toc25091"/>
      <w:bookmarkStart w:id="118" w:name="_Toc9171"/>
      <w:r>
        <w:rPr>
          <w:rFonts w:hint="eastAsia" w:ascii="仿宋" w:hAnsi="仿宋" w:eastAsia="仿宋" w:cs="仿宋"/>
          <w:b/>
          <w:bCs/>
          <w:kern w:val="2"/>
          <w:sz w:val="28"/>
          <w:szCs w:val="28"/>
          <w:highlight w:val="none"/>
          <w:lang w:val="en-US" w:eastAsia="zh-CN" w:bidi="ar-SA"/>
        </w:rPr>
        <w:t>应用系统：</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权限划分：按照最小化原则划分用户访问权限。可建立授权机制，对流程特定环节、特定岗位人员或出差人员进行移动办公授权。</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操作可追溯、审计：根据数据标识进行访问控制，记录用户对系统使用过程进行详细的记录，每个可审计事件与引起该事件的用户身份相关联。审计记录的内容包括：事件发生的时间（或时间段）、事件发起用户ID、用户操作的客户端、事件内容、事件的结果，对审计记录数据进行统计、排序、分类、搜索以及分析生成报表的功能，可实现数据追踪溯源；采取水印技术对显示、打印的行内业务秘密信息作出个性化标识。</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应用隔离：系统关闭非必要端口和服务，不与提供互联网服务的应用系统共用物理服务器。</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2" w:firstLineChars="200"/>
        <w:textAlignment w:val="baseline"/>
        <w:rPr>
          <w:rFonts w:hint="default" w:ascii="仿宋" w:hAnsi="仿宋" w:eastAsia="仿宋" w:cs="仿宋"/>
          <w:b/>
          <w:bCs/>
          <w:kern w:val="2"/>
          <w:sz w:val="28"/>
          <w:szCs w:val="28"/>
          <w:highlight w:val="none"/>
          <w:lang w:val="en-US" w:eastAsia="zh-CN" w:bidi="ar-SA"/>
        </w:rPr>
      </w:pPr>
      <w:r>
        <w:rPr>
          <w:rFonts w:hint="default" w:ascii="仿宋" w:hAnsi="仿宋" w:eastAsia="仿宋" w:cs="仿宋"/>
          <w:b/>
          <w:bCs/>
          <w:kern w:val="2"/>
          <w:sz w:val="28"/>
          <w:szCs w:val="28"/>
          <w:highlight w:val="none"/>
          <w:lang w:val="en-US" w:eastAsia="zh-CN" w:bidi="ar-SA"/>
        </w:rPr>
        <w:t>存储</w:t>
      </w:r>
      <w:r>
        <w:rPr>
          <w:rFonts w:hint="eastAsia" w:ascii="仿宋" w:hAnsi="仿宋" w:eastAsia="仿宋" w:cs="仿宋"/>
          <w:b/>
          <w:bCs/>
          <w:kern w:val="2"/>
          <w:sz w:val="28"/>
          <w:szCs w:val="28"/>
          <w:highlight w:val="none"/>
          <w:lang w:val="en-US" w:eastAsia="zh-CN" w:bidi="ar-SA"/>
        </w:rPr>
        <w:t>备份</w:t>
      </w:r>
      <w:bookmarkEnd w:id="114"/>
      <w:bookmarkEnd w:id="115"/>
      <w:bookmarkEnd w:id="116"/>
      <w:bookmarkEnd w:id="117"/>
      <w:bookmarkEnd w:id="118"/>
      <w:r>
        <w:rPr>
          <w:rFonts w:hint="eastAsia" w:ascii="仿宋" w:hAnsi="仿宋" w:eastAsia="仿宋" w:cs="仿宋"/>
          <w:b/>
          <w:bCs/>
          <w:kern w:val="2"/>
          <w:sz w:val="28"/>
          <w:szCs w:val="28"/>
          <w:highlight w:val="none"/>
          <w:lang w:val="en-US" w:eastAsia="zh-CN" w:bidi="ar-SA"/>
        </w:rPr>
        <w:t>：</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default"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对服务器及存储与备份设备采取商用密码进行防护，或将其与存储互联网公共服务数据的服务器及存储与备份设备物理隔离。</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2" w:firstLineChars="200"/>
        <w:textAlignment w:val="baseline"/>
        <w:rPr>
          <w:rFonts w:hint="default"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数据隔离：</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通过技术手段抵御中间人攻击、注入攻击、调试攻击等安全威胁，有终端病毒防御能力。建立零信任安全机制，保障用户登录安全可靠。</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可对由系统内向外输出（包括拷贝、打印等）文件进行控制。支持安全输入法，防止输入法输入内容被恶意监听导致敏感信息泄露。通过技术手段实现移动办公系统数据与个人数据隔离，及时释放内存中的敏感数据。具备清除或安全覆盖存储介质能力，清除或覆盖后保证设备上的敏感数据和授权软件无法被恢复重用同时支持远程擦除移动端数据。</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2" w:firstLineChars="200"/>
        <w:textAlignment w:val="baseline"/>
        <w:rPr>
          <w:rFonts w:hint="default"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保密自监管：</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为有效应对信息泄露、违规扩散等风险，根据国家保密法律法规及政策要求，针对协同办公系统提出保密自监管系统建设需求，该功能需具备监测发现违规存储、处理、传输情况的能力，发现涉密信息泄露能够及时检测、弹窗告警并阻断上传。</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default" w:ascii="仿宋" w:hAnsi="仿宋" w:eastAsia="仿宋" w:cs="仿宋"/>
          <w:b w:val="0"/>
          <w:bCs w:val="0"/>
          <w:kern w:val="2"/>
          <w:sz w:val="28"/>
          <w:szCs w:val="28"/>
          <w:highlight w:val="none"/>
          <w:lang w:val="en-US" w:eastAsia="zh-CN" w:bidi="ar-SA"/>
        </w:rPr>
      </w:pPr>
      <w:r>
        <w:rPr>
          <w:rFonts w:hint="default" w:ascii="仿宋" w:hAnsi="仿宋" w:eastAsia="仿宋" w:cs="仿宋"/>
          <w:b w:val="0"/>
          <w:bCs w:val="0"/>
          <w:kern w:val="2"/>
          <w:sz w:val="28"/>
          <w:szCs w:val="28"/>
          <w:highlight w:val="none"/>
          <w:lang w:val="en-US" w:eastAsia="zh-CN" w:bidi="ar-SA"/>
        </w:rPr>
        <w:t>保密自监管系统（含应用系统保密自监管组件），必须符合保密局技术标准，原厂商需承诺：在合同到期前，如国家保密局发布互联网保密自监管系统标准，根据发布标准原厂商</w:t>
      </w:r>
      <w:r>
        <w:rPr>
          <w:rFonts w:hint="eastAsia" w:ascii="仿宋" w:hAnsi="仿宋" w:eastAsia="仿宋" w:cs="仿宋"/>
          <w:b w:val="0"/>
          <w:bCs w:val="0"/>
          <w:kern w:val="2"/>
          <w:sz w:val="28"/>
          <w:szCs w:val="28"/>
          <w:highlight w:val="none"/>
          <w:lang w:val="en-US" w:eastAsia="zh-CN" w:bidi="ar-SA"/>
        </w:rPr>
        <w:t>应</w:t>
      </w:r>
      <w:r>
        <w:rPr>
          <w:rFonts w:hint="default" w:ascii="仿宋" w:hAnsi="仿宋" w:eastAsia="仿宋" w:cs="仿宋"/>
          <w:b w:val="0"/>
          <w:bCs w:val="0"/>
          <w:kern w:val="2"/>
          <w:sz w:val="28"/>
          <w:szCs w:val="28"/>
          <w:highlight w:val="none"/>
          <w:lang w:val="en-US" w:eastAsia="zh-CN" w:bidi="ar-SA"/>
        </w:rPr>
        <w:t>取得相应资质证书，并依据发布标准免费完成采购产品的</w:t>
      </w:r>
      <w:r>
        <w:rPr>
          <w:rFonts w:hint="eastAsia" w:ascii="仿宋" w:hAnsi="仿宋" w:eastAsia="仿宋" w:cs="仿宋"/>
          <w:b w:val="0"/>
          <w:bCs w:val="0"/>
          <w:kern w:val="2"/>
          <w:sz w:val="28"/>
          <w:szCs w:val="28"/>
          <w:highlight w:val="none"/>
          <w:lang w:val="en-US" w:eastAsia="zh-CN" w:bidi="ar-SA"/>
        </w:rPr>
        <w:t>升级</w:t>
      </w:r>
      <w:r>
        <w:rPr>
          <w:rFonts w:hint="default" w:ascii="仿宋" w:hAnsi="仿宋" w:eastAsia="仿宋" w:cs="仿宋"/>
          <w:b w:val="0"/>
          <w:bCs w:val="0"/>
          <w:kern w:val="2"/>
          <w:sz w:val="28"/>
          <w:szCs w:val="28"/>
          <w:highlight w:val="none"/>
          <w:lang w:val="en-US" w:eastAsia="zh-CN" w:bidi="ar-SA"/>
        </w:rPr>
        <w:t>整改工作。</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2" w:firstLineChars="200"/>
        <w:textAlignment w:val="baseline"/>
        <w:rPr>
          <w:rFonts w:hint="default"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其他</w:t>
      </w:r>
      <w:r>
        <w:rPr>
          <w:rFonts w:hint="default" w:ascii="仿宋" w:hAnsi="仿宋" w:eastAsia="仿宋" w:cs="仿宋"/>
          <w:b/>
          <w:bCs/>
          <w:kern w:val="2"/>
          <w:sz w:val="28"/>
          <w:szCs w:val="28"/>
          <w:highlight w:val="none"/>
          <w:lang w:val="en-US" w:eastAsia="zh-CN" w:bidi="ar-SA"/>
        </w:rPr>
        <w:t>安全</w:t>
      </w:r>
      <w:r>
        <w:rPr>
          <w:rFonts w:hint="eastAsia" w:ascii="仿宋" w:hAnsi="仿宋" w:eastAsia="仿宋" w:cs="仿宋"/>
          <w:b/>
          <w:bCs/>
          <w:kern w:val="2"/>
          <w:sz w:val="28"/>
          <w:szCs w:val="28"/>
          <w:highlight w:val="none"/>
          <w:lang w:val="en-US" w:eastAsia="zh-CN" w:bidi="ar-SA"/>
        </w:rPr>
        <w:t>保密要求:</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移动办公系统建设厂商优先选择涉密信息系统集成资质单位。</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系统可实现“统一规划建设、分步上线实施”，即根据文件及信息是否涉及行内业务秘密的维度实现分别管理，具备按此维度分批次上线运行的条件。</w:t>
      </w:r>
    </w:p>
    <w:p>
      <w:pPr>
        <w:pStyle w:val="7"/>
        <w:pageBreakBefore w:val="0"/>
        <w:widowControl w:val="0"/>
        <w:kinsoku/>
        <w:wordWrap/>
        <w:overflowPunct/>
        <w:topLinePunct w:val="0"/>
        <w:autoSpaceDE/>
        <w:autoSpaceDN/>
        <w:bidi w:val="0"/>
        <w:snapToGrid/>
        <w:spacing w:before="0" w:after="0" w:line="560" w:lineRule="exact"/>
        <w:ind w:left="0" w:leftChars="0" w:firstLine="643"/>
        <w:rPr>
          <w:rFonts w:hint="default" w:ascii="楷体" w:hAnsi="楷体" w:eastAsia="楷体" w:cs="楷体"/>
          <w:highlight w:val="none"/>
          <w:lang w:val="en-US" w:eastAsia="zh-CN"/>
        </w:rPr>
      </w:pPr>
      <w:r>
        <w:rPr>
          <w:rFonts w:hint="eastAsia" w:ascii="楷体" w:hAnsi="楷体" w:eastAsia="楷体" w:cs="楷体"/>
          <w:highlight w:val="none"/>
          <w:lang w:val="en-US" w:eastAsia="zh-CN"/>
        </w:rPr>
        <w:t>（五）</w:t>
      </w:r>
      <w:r>
        <w:rPr>
          <w:rFonts w:hint="default" w:ascii="楷体" w:hAnsi="楷体" w:eastAsia="楷体" w:cs="楷体"/>
          <w:highlight w:val="none"/>
          <w:lang w:val="en-US" w:eastAsia="zh-CN"/>
        </w:rPr>
        <w:t>其他</w:t>
      </w:r>
      <w:r>
        <w:rPr>
          <w:rFonts w:hint="eastAsia" w:ascii="楷体" w:hAnsi="楷体" w:eastAsia="楷体" w:cs="楷体"/>
          <w:highlight w:val="none"/>
          <w:lang w:val="en-US" w:eastAsia="zh-CN"/>
        </w:rPr>
        <w:t>需求</w:t>
      </w:r>
      <w:r>
        <w:rPr>
          <w:rFonts w:hint="default" w:ascii="楷体" w:hAnsi="楷体" w:eastAsia="楷体" w:cs="楷体"/>
          <w:highlight w:val="none"/>
          <w:lang w:val="en-US" w:eastAsia="zh-CN"/>
        </w:rPr>
        <w:t>建议</w:t>
      </w:r>
      <w:bookmarkStart w:id="119" w:name="_Toc381175117"/>
      <w:bookmarkStart w:id="120" w:name="_Toc385577971"/>
      <w:bookmarkStart w:id="121" w:name="_Toc60236013"/>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业务参数与现有协同办公系统保持一致。系统响应速度要求与现有办公系统保持一致。</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移动办公系统支持pdf、wps、word、excel、powerpoint、ofd等常用格式文件的在线浏览功能，支持不在移动端持久化存储。</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在协同办公系统增加相关功能，并同步在移动办公中使用：</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1.增加阅件审批功能。</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2.增加行领导与秘书间公文运转个性化功能：</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（1）秘书可为行领导待办件排序。</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（2）秘书可在签报文档中作标注，且仅行领导和秘书可见。</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（3）在秘书提交行领导审批的页面，增加备注栏，且仅行领导和秘书可见。</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3.增加在移动办公系统中使用互联网邮箱的功能。</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default"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4.移动办公设备中协同办公系统图标同步显示待办文件数量。</w:t>
      </w:r>
    </w:p>
    <w:bookmarkEnd w:id="119"/>
    <w:bookmarkEnd w:id="120"/>
    <w:bookmarkEnd w:id="121"/>
    <w:p>
      <w:pPr>
        <w:pStyle w:val="18"/>
        <w:pageBreakBefore w:val="0"/>
        <w:kinsoku/>
        <w:overflowPunct/>
        <w:topLinePunct w:val="0"/>
        <w:bidi w:val="0"/>
        <w:adjustRightInd w:val="0"/>
        <w:spacing w:before="0" w:beforeLines="0" w:after="0" w:afterLines="0" w:line="560" w:lineRule="exact"/>
        <w:ind w:left="0" w:leftChars="0" w:firstLine="640" w:firstLineChars="200"/>
        <w:textAlignment w:val="baseline"/>
        <w:outlineLvl w:val="0"/>
        <w:rPr>
          <w:rFonts w:ascii="Times New Roman" w:hAnsi="黑体" w:eastAsia="黑体" w:cs="Times New Roman"/>
          <w:b w:val="0"/>
          <w:bCs w:val="0"/>
          <w:sz w:val="32"/>
          <w:highlight w:val="none"/>
        </w:rPr>
      </w:pPr>
      <w:r>
        <w:rPr>
          <w:rFonts w:ascii="Times New Roman" w:hAnsi="黑体" w:eastAsia="黑体" w:cs="Times New Roman"/>
          <w:b w:val="0"/>
          <w:bCs w:val="0"/>
          <w:sz w:val="32"/>
          <w:highlight w:val="none"/>
        </w:rPr>
        <w:t>四、技术要求</w:t>
      </w:r>
      <w:bookmarkEnd w:id="28"/>
      <w:bookmarkEnd w:id="29"/>
      <w:bookmarkEnd w:id="30"/>
    </w:p>
    <w:tbl>
      <w:tblPr>
        <w:tblStyle w:val="21"/>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
        <w:gridCol w:w="1900"/>
        <w:gridCol w:w="756"/>
        <w:gridCol w:w="4383"/>
        <w:gridCol w:w="1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865" w:type="dxa"/>
            <w:shd w:val="clear" w:color="auto" w:fill="E7E6E6" w:themeFill="background2"/>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szCs w:val="22"/>
                <w:highlight w:val="none"/>
              </w:rPr>
            </w:pPr>
            <w:r>
              <w:rPr>
                <w:rFonts w:hint="eastAsia" w:ascii="仿宋" w:hAnsi="仿宋" w:eastAsia="仿宋" w:cs="仿宋"/>
                <w:b/>
                <w:bCs/>
                <w:color w:val="auto"/>
                <w:sz w:val="24"/>
                <w:szCs w:val="22"/>
                <w:highlight w:val="none"/>
              </w:rPr>
              <w:t>序号</w:t>
            </w:r>
          </w:p>
        </w:tc>
        <w:tc>
          <w:tcPr>
            <w:tcW w:w="1900" w:type="dxa"/>
            <w:shd w:val="clear" w:color="auto" w:fill="E7E6E6" w:themeFill="background2"/>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szCs w:val="22"/>
                <w:highlight w:val="none"/>
              </w:rPr>
            </w:pPr>
            <w:r>
              <w:rPr>
                <w:rFonts w:hint="eastAsia" w:ascii="仿宋" w:hAnsi="仿宋" w:eastAsia="仿宋" w:cs="仿宋"/>
                <w:b/>
                <w:bCs/>
                <w:color w:val="auto"/>
                <w:sz w:val="24"/>
                <w:szCs w:val="22"/>
                <w:highlight w:val="none"/>
              </w:rPr>
              <w:t>技术要求项目</w:t>
            </w:r>
          </w:p>
        </w:tc>
        <w:tc>
          <w:tcPr>
            <w:tcW w:w="756" w:type="dxa"/>
            <w:shd w:val="clear" w:color="auto" w:fill="E7E6E6" w:themeFill="background2"/>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szCs w:val="22"/>
                <w:highlight w:val="none"/>
              </w:rPr>
            </w:pPr>
            <w:r>
              <w:rPr>
                <w:rFonts w:hint="eastAsia" w:ascii="仿宋" w:hAnsi="仿宋" w:eastAsia="仿宋" w:cs="仿宋"/>
                <w:b/>
                <w:bCs/>
                <w:color w:val="auto"/>
                <w:sz w:val="24"/>
                <w:szCs w:val="22"/>
                <w:highlight w:val="none"/>
              </w:rPr>
              <w:t>重要性</w:t>
            </w:r>
          </w:p>
        </w:tc>
        <w:tc>
          <w:tcPr>
            <w:tcW w:w="4383" w:type="dxa"/>
            <w:shd w:val="clear" w:color="auto" w:fill="E7E6E6" w:themeFill="background2"/>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szCs w:val="22"/>
                <w:highlight w:val="none"/>
              </w:rPr>
            </w:pPr>
            <w:r>
              <w:rPr>
                <w:rFonts w:hint="eastAsia" w:ascii="仿宋" w:hAnsi="仿宋" w:eastAsia="仿宋" w:cs="仿宋"/>
                <w:b/>
                <w:bCs/>
                <w:color w:val="auto"/>
                <w:sz w:val="24"/>
                <w:szCs w:val="22"/>
                <w:highlight w:val="none"/>
              </w:rPr>
              <w:t>技术要求标准</w:t>
            </w:r>
          </w:p>
        </w:tc>
        <w:tc>
          <w:tcPr>
            <w:tcW w:w="1180" w:type="dxa"/>
            <w:shd w:val="clear" w:color="auto" w:fill="E7E6E6" w:themeFill="background2"/>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color w:val="auto"/>
                <w:sz w:val="24"/>
                <w:szCs w:val="22"/>
                <w:highlight w:val="none"/>
              </w:rPr>
            </w:pPr>
            <w:r>
              <w:rPr>
                <w:rFonts w:hint="eastAsia" w:ascii="仿宋" w:hAnsi="仿宋" w:eastAsia="仿宋" w:cs="仿宋"/>
                <w:b/>
                <w:bCs/>
                <w:color w:val="auto"/>
                <w:sz w:val="24"/>
                <w:szCs w:val="22"/>
                <w:highlight w:val="none"/>
              </w:rPr>
              <w:t>☆/#指标列明三家满足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应用架构规范要求</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1.遵循我行企业级架构原则进行系统设计，制定系统架构方案。</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2.遵循我行分层架构设计原则，架构分层为渠道整合层、用户服务整合层、应用集成层、外联集成层、产品服务层、数据集成层、管理分析层。</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3.遵循我行渠道与流程、产品服务分离原则，产品服务和管理分析服务分离原则。</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4.遵循我行外联服务设计原则及接入模式。</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5.按照我行联机、批量、文件传输、事件消息等接口标准与行内系统进行交互。</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6.遵循我行全局事件跟踪号编码规范。</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7.使用我行公共组件进行客户信息、机构与用户信息管理。</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8.对接我行内部应用实现单点登录功能。</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9.在终端使用和Web页面系统开发时，应选择基于Chromium内核且内核版本号为102及以上的浏览器。</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10.采用高内聚、低耦合原则进行模块设计。</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11.按照我行开源软件管理的要求引入开源软件。乙方所投产品使用开源软件的，乙方应确保所用开源软件符合甲方开源软件引入相关制度管理规定。</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12.系统兼容IPv6协议。</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2</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安全要求</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rPr>
              <w:t>按照《GB/T 22239-2019信息安全技术网络安全等级保护基本要求》，本系统需承载等级保护</w:t>
            </w:r>
            <w:r>
              <w:rPr>
                <w:rFonts w:hint="eastAsia" w:ascii="仿宋" w:hAnsi="仿宋" w:eastAsia="仿宋" w:cs="仿宋"/>
                <w:color w:val="auto"/>
                <w:sz w:val="24"/>
                <w:szCs w:val="22"/>
                <w:highlight w:val="none"/>
                <w:lang w:val="en-US" w:eastAsia="zh-CN"/>
              </w:rPr>
              <w:t>为</w:t>
            </w:r>
            <w:r>
              <w:rPr>
                <w:rFonts w:hint="eastAsia" w:ascii="仿宋" w:hAnsi="仿宋" w:eastAsia="仿宋" w:cs="仿宋"/>
                <w:color w:val="auto"/>
                <w:sz w:val="24"/>
                <w:szCs w:val="22"/>
                <w:highlight w:val="none"/>
              </w:rPr>
              <w:t>3级</w:t>
            </w:r>
            <w:r>
              <w:rPr>
                <w:rFonts w:hint="eastAsia" w:ascii="仿宋" w:hAnsi="仿宋" w:eastAsia="仿宋" w:cs="仿宋"/>
                <w:color w:val="auto"/>
                <w:sz w:val="24"/>
                <w:szCs w:val="22"/>
                <w:highlight w:val="none"/>
                <w:lang w:val="en-US" w:eastAsia="zh-CN"/>
              </w:rPr>
              <w:t>办公</w:t>
            </w:r>
            <w:r>
              <w:rPr>
                <w:rFonts w:hint="eastAsia" w:ascii="仿宋" w:hAnsi="仿宋" w:eastAsia="仿宋" w:cs="仿宋"/>
                <w:color w:val="auto"/>
                <w:sz w:val="24"/>
                <w:szCs w:val="22"/>
                <w:highlight w:val="none"/>
              </w:rPr>
              <w:t>系统（如OA），</w:t>
            </w:r>
            <w:r>
              <w:rPr>
                <w:rFonts w:hint="eastAsia" w:ascii="仿宋" w:hAnsi="仿宋" w:eastAsia="仿宋" w:cs="仿宋"/>
                <w:color w:val="auto"/>
                <w:sz w:val="24"/>
                <w:szCs w:val="22"/>
                <w:highlight w:val="none"/>
                <w:lang w:val="en-US" w:eastAsia="zh-CN"/>
              </w:rPr>
              <w:t>且从互联网进行访问</w:t>
            </w:r>
            <w:r>
              <w:rPr>
                <w:rFonts w:hint="eastAsia" w:ascii="仿宋" w:hAnsi="仿宋" w:eastAsia="仿宋" w:cs="仿宋"/>
                <w:color w:val="auto"/>
                <w:sz w:val="24"/>
                <w:szCs w:val="22"/>
                <w:highlight w:val="none"/>
              </w:rPr>
              <w:t>，</w:t>
            </w:r>
            <w:r>
              <w:rPr>
                <w:rFonts w:hint="eastAsia" w:ascii="仿宋" w:hAnsi="仿宋" w:eastAsia="仿宋" w:cs="仿宋"/>
                <w:color w:val="auto"/>
                <w:sz w:val="24"/>
                <w:szCs w:val="22"/>
                <w:highlight w:val="none"/>
                <w:lang w:val="en-US" w:eastAsia="zh-CN"/>
              </w:rPr>
              <w:t>故</w:t>
            </w:r>
            <w:r>
              <w:rPr>
                <w:rFonts w:hint="eastAsia" w:ascii="仿宋" w:hAnsi="仿宋" w:eastAsia="仿宋" w:cs="仿宋"/>
                <w:color w:val="auto"/>
                <w:sz w:val="24"/>
                <w:szCs w:val="22"/>
                <w:highlight w:val="none"/>
              </w:rPr>
              <w:t>本系统</w:t>
            </w:r>
            <w:r>
              <w:rPr>
                <w:rFonts w:hint="eastAsia" w:ascii="仿宋" w:hAnsi="仿宋" w:eastAsia="仿宋" w:cs="仿宋"/>
                <w:color w:val="auto"/>
                <w:sz w:val="24"/>
                <w:szCs w:val="22"/>
                <w:highlight w:val="none"/>
                <w:lang w:val="en-US" w:eastAsia="zh-CN"/>
              </w:rPr>
              <w:t>将</w:t>
            </w:r>
            <w:r>
              <w:rPr>
                <w:rFonts w:hint="eastAsia" w:ascii="仿宋" w:hAnsi="仿宋" w:eastAsia="仿宋" w:cs="仿宋"/>
                <w:color w:val="auto"/>
                <w:sz w:val="24"/>
                <w:szCs w:val="22"/>
                <w:highlight w:val="none"/>
              </w:rPr>
              <w:t>定为</w:t>
            </w:r>
            <w:r>
              <w:rPr>
                <w:rFonts w:hint="eastAsia" w:ascii="仿宋" w:hAnsi="仿宋" w:eastAsia="仿宋" w:cs="仿宋"/>
                <w:color w:val="auto"/>
                <w:sz w:val="24"/>
                <w:szCs w:val="22"/>
                <w:highlight w:val="none"/>
                <w:lang w:val="en-US" w:eastAsia="zh-CN"/>
              </w:rPr>
              <w:t>网络安全</w:t>
            </w:r>
            <w:r>
              <w:rPr>
                <w:rFonts w:hint="eastAsia" w:ascii="仿宋" w:hAnsi="仿宋" w:eastAsia="仿宋" w:cs="仿宋"/>
                <w:color w:val="auto"/>
                <w:sz w:val="24"/>
                <w:szCs w:val="22"/>
                <w:highlight w:val="none"/>
              </w:rPr>
              <w:t>等级保护3级系统</w:t>
            </w:r>
            <w:r>
              <w:rPr>
                <w:rFonts w:hint="eastAsia" w:ascii="仿宋" w:hAnsi="仿宋" w:eastAsia="仿宋" w:cs="仿宋"/>
                <w:color w:val="auto"/>
                <w:sz w:val="24"/>
                <w:szCs w:val="22"/>
                <w:highlight w:val="none"/>
                <w:lang w:eastAsia="zh-CN"/>
              </w:rPr>
              <w:t>，商用密码应用安全性评估按照</w:t>
            </w:r>
            <w:r>
              <w:rPr>
                <w:rFonts w:hint="eastAsia" w:ascii="仿宋" w:hAnsi="仿宋" w:eastAsia="仿宋" w:cs="仿宋"/>
                <w:color w:val="auto"/>
                <w:sz w:val="24"/>
                <w:szCs w:val="22"/>
                <w:highlight w:val="none"/>
                <w:lang w:val="en-US" w:eastAsia="zh-CN"/>
              </w:rPr>
              <w:t>3级系统要求开展。</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1.</w:t>
            </w:r>
            <w:r>
              <w:rPr>
                <w:rFonts w:hint="eastAsia" w:ascii="仿宋" w:hAnsi="仿宋" w:eastAsia="仿宋" w:cs="仿宋"/>
                <w:color w:val="auto"/>
                <w:sz w:val="24"/>
                <w:szCs w:val="22"/>
                <w:highlight w:val="none"/>
              </w:rPr>
              <w:t>配发P</w:t>
            </w:r>
            <w:r>
              <w:rPr>
                <w:rFonts w:hint="eastAsia" w:ascii="仿宋" w:hAnsi="仿宋" w:eastAsia="仿宋" w:cs="仿宋"/>
                <w:color w:val="auto"/>
                <w:sz w:val="24"/>
                <w:szCs w:val="22"/>
                <w:highlight w:val="none"/>
                <w:lang w:val="en-US" w:eastAsia="zh-CN"/>
              </w:rPr>
              <w:t>ad</w:t>
            </w:r>
            <w:r>
              <w:rPr>
                <w:rFonts w:hint="eastAsia" w:ascii="仿宋" w:hAnsi="仿宋" w:eastAsia="仿宋" w:cs="仿宋"/>
                <w:color w:val="auto"/>
                <w:sz w:val="24"/>
                <w:szCs w:val="22"/>
                <w:highlight w:val="none"/>
              </w:rPr>
              <w:t>设备</w:t>
            </w:r>
            <w:r>
              <w:rPr>
                <w:rFonts w:hint="eastAsia" w:ascii="仿宋" w:hAnsi="仿宋" w:eastAsia="仿宋" w:cs="仿宋"/>
                <w:color w:val="auto"/>
                <w:sz w:val="24"/>
                <w:szCs w:val="22"/>
                <w:highlight w:val="none"/>
                <w:lang w:val="en-US" w:eastAsia="zh-CN"/>
              </w:rPr>
              <w:t>通过</w:t>
            </w:r>
            <w:r>
              <w:rPr>
                <w:rFonts w:hint="eastAsia" w:ascii="仿宋" w:hAnsi="仿宋" w:eastAsia="仿宋" w:cs="仿宋"/>
                <w:color w:val="auto"/>
                <w:sz w:val="24"/>
                <w:szCs w:val="22"/>
                <w:highlight w:val="none"/>
              </w:rPr>
              <w:t>移动设备管理（MDM），防止信息泄露，保证行内工作信息安全。通过MDM平台，IT管理员能够对终端设备进行集中化、全生命周期的管控，具体包括：强制实施安全策略（如复杂密码、外设禁用、USB接口限制等）、远程监控设备状态、应用黑白名单限制（自定义禁止安装/使用违规应用）、以及在外设丢失或员工离职时设备锁定、远程擦除敏感信息，并支持设备的合规监测，包括设备破解监测、SIM卡变更监测、系统版本监测、存储空间监测、设备失联监测等保障设备的安全合规使用。</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bookmarkStart w:id="122" w:name="_Toc25610"/>
            <w:r>
              <w:rPr>
                <w:rFonts w:hint="eastAsia" w:ascii="仿宋" w:hAnsi="仿宋" w:eastAsia="仿宋" w:cs="仿宋"/>
                <w:color w:val="auto"/>
                <w:sz w:val="24"/>
                <w:szCs w:val="22"/>
                <w:highlight w:val="none"/>
                <w:lang w:val="en-US" w:eastAsia="zh-CN"/>
              </w:rPr>
              <w:t>2.</w:t>
            </w:r>
            <w:r>
              <w:rPr>
                <w:rFonts w:hint="eastAsia" w:ascii="仿宋" w:hAnsi="仿宋" w:eastAsia="仿宋" w:cs="仿宋"/>
                <w:color w:val="auto"/>
                <w:sz w:val="24"/>
                <w:szCs w:val="22"/>
                <w:highlight w:val="none"/>
              </w:rPr>
              <w:t>个人终端APP安全</w:t>
            </w:r>
            <w:bookmarkEnd w:id="122"/>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采用应用沙箱技术实现APP本身的数据加密、信息防泄漏、敏感行为操作审计、防截屏、全局水印等安全管控功能，并集成安全类认证、网关产品实现登录认证及数据全流程加密，保障工作信息在个人终端内的产生、传输、存储的全生命周期安全。</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3.</w:t>
            </w:r>
            <w:r>
              <w:rPr>
                <w:rFonts w:hint="eastAsia" w:ascii="仿宋" w:hAnsi="仿宋" w:eastAsia="仿宋" w:cs="仿宋"/>
                <w:color w:val="auto"/>
                <w:sz w:val="24"/>
                <w:szCs w:val="22"/>
                <w:highlight w:val="none"/>
              </w:rPr>
              <w:t>用户统一登录</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lang w:val="en-US" w:eastAsia="zh-CN"/>
              </w:rPr>
              <w:t>具备</w:t>
            </w:r>
            <w:r>
              <w:rPr>
                <w:rFonts w:hint="eastAsia" w:ascii="仿宋" w:hAnsi="仿宋" w:eastAsia="仿宋" w:cs="仿宋"/>
                <w:color w:val="auto"/>
                <w:sz w:val="24"/>
                <w:szCs w:val="22"/>
                <w:highlight w:val="none"/>
              </w:rPr>
              <w:t>单点登录身份认证</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多因素认证</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持续身份认证</w:t>
            </w:r>
            <w:r>
              <w:rPr>
                <w:rFonts w:hint="eastAsia" w:ascii="仿宋" w:hAnsi="仿宋" w:eastAsia="仿宋" w:cs="仿宋"/>
                <w:color w:val="auto"/>
                <w:sz w:val="24"/>
                <w:szCs w:val="22"/>
                <w:highlight w:val="none"/>
                <w:lang w:val="en-US" w:eastAsia="zh-CN"/>
              </w:rPr>
              <w:t>功能</w:t>
            </w:r>
            <w:r>
              <w:rPr>
                <w:rFonts w:hint="eastAsia" w:ascii="仿宋" w:hAnsi="仿宋" w:eastAsia="仿宋" w:cs="仿宋"/>
                <w:color w:val="auto"/>
                <w:sz w:val="24"/>
                <w:szCs w:val="22"/>
                <w:highlight w:val="none"/>
              </w:rPr>
              <w:t>。</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4.</w:t>
            </w:r>
            <w:r>
              <w:rPr>
                <w:rFonts w:hint="eastAsia" w:ascii="仿宋" w:hAnsi="仿宋" w:eastAsia="仿宋" w:cs="仿宋"/>
                <w:color w:val="auto"/>
                <w:sz w:val="24"/>
                <w:szCs w:val="22"/>
                <w:highlight w:val="none"/>
              </w:rPr>
              <w:t>密码安全</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lang w:val="en-US" w:eastAsia="zh-CN"/>
              </w:rPr>
              <w:t>系统</w:t>
            </w:r>
            <w:r>
              <w:rPr>
                <w:rFonts w:hint="eastAsia" w:ascii="仿宋" w:hAnsi="仿宋" w:eastAsia="仿宋" w:cs="仿宋"/>
                <w:color w:val="auto"/>
                <w:sz w:val="24"/>
                <w:szCs w:val="22"/>
                <w:highlight w:val="none"/>
              </w:rPr>
              <w:t>使用的密码算法、密码技术和密码产品应符合商用密码应用安全性评估</w:t>
            </w:r>
            <w:r>
              <w:rPr>
                <w:rFonts w:hint="eastAsia" w:ascii="仿宋" w:hAnsi="仿宋" w:eastAsia="仿宋" w:cs="仿宋"/>
                <w:color w:val="auto"/>
                <w:sz w:val="24"/>
                <w:szCs w:val="22"/>
                <w:highlight w:val="none"/>
                <w:lang w:eastAsia="zh-CN"/>
              </w:rPr>
              <w:t>对</w:t>
            </w:r>
            <w:r>
              <w:rPr>
                <w:rFonts w:hint="eastAsia" w:ascii="仿宋" w:hAnsi="仿宋" w:eastAsia="仿宋" w:cs="仿宋"/>
                <w:color w:val="auto"/>
                <w:sz w:val="24"/>
                <w:szCs w:val="22"/>
                <w:highlight w:val="none"/>
                <w:lang w:val="en-US" w:eastAsia="zh-CN"/>
              </w:rPr>
              <w:t>3级系统</w:t>
            </w:r>
            <w:r>
              <w:rPr>
                <w:rFonts w:hint="eastAsia" w:ascii="仿宋" w:hAnsi="仿宋" w:eastAsia="仿宋" w:cs="仿宋"/>
                <w:color w:val="auto"/>
                <w:sz w:val="24"/>
                <w:szCs w:val="22"/>
                <w:highlight w:val="none"/>
              </w:rPr>
              <w:t>要求</w:t>
            </w:r>
            <w:r>
              <w:rPr>
                <w:rFonts w:hint="eastAsia" w:ascii="仿宋" w:hAnsi="仿宋" w:eastAsia="仿宋" w:cs="仿宋"/>
                <w:color w:val="auto"/>
                <w:sz w:val="24"/>
                <w:szCs w:val="22"/>
                <w:highlight w:val="none"/>
                <w:lang w:eastAsia="zh-CN"/>
              </w:rPr>
              <w:t>开展，满足我行密码管理规范</w:t>
            </w:r>
            <w:r>
              <w:rPr>
                <w:rFonts w:hint="eastAsia" w:ascii="仿宋" w:hAnsi="仿宋" w:eastAsia="仿宋" w:cs="仿宋"/>
                <w:color w:val="auto"/>
                <w:sz w:val="24"/>
                <w:szCs w:val="22"/>
                <w:highlight w:val="none"/>
              </w:rPr>
              <w:t>。</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5.</w:t>
            </w:r>
            <w:r>
              <w:rPr>
                <w:rFonts w:hint="eastAsia" w:ascii="仿宋" w:hAnsi="仿宋" w:eastAsia="仿宋" w:cs="仿宋"/>
                <w:color w:val="auto"/>
                <w:sz w:val="24"/>
                <w:szCs w:val="22"/>
                <w:highlight w:val="none"/>
              </w:rPr>
              <w:t>APP加固</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在服务期内应提供不限次数的APP加固服务，满足防逆向</w:t>
            </w:r>
            <w:r>
              <w:rPr>
                <w:rFonts w:hint="eastAsia" w:ascii="仿宋" w:hAnsi="仿宋" w:eastAsia="仿宋" w:cs="仿宋"/>
                <w:color w:val="auto"/>
                <w:sz w:val="24"/>
                <w:szCs w:val="22"/>
                <w:highlight w:val="none"/>
                <w:lang w:eastAsia="zh-CN"/>
              </w:rPr>
              <w:t>、防篡改、防调试、防窃取</w:t>
            </w:r>
            <w:r>
              <w:rPr>
                <w:rFonts w:hint="eastAsia" w:ascii="仿宋" w:hAnsi="仿宋" w:eastAsia="仿宋" w:cs="仿宋"/>
                <w:color w:val="auto"/>
                <w:sz w:val="24"/>
                <w:szCs w:val="22"/>
                <w:highlight w:val="none"/>
                <w:lang w:val="en-US" w:eastAsia="zh-CN"/>
              </w:rPr>
              <w:t>等</w:t>
            </w:r>
            <w:r>
              <w:rPr>
                <w:rFonts w:hint="eastAsia" w:ascii="仿宋" w:hAnsi="仿宋" w:eastAsia="仿宋" w:cs="仿宋"/>
                <w:color w:val="auto"/>
                <w:sz w:val="24"/>
                <w:szCs w:val="22"/>
                <w:highlight w:val="none"/>
              </w:rPr>
              <w:t>安全加固要求:</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bookmarkStart w:id="123" w:name="_Toc10647"/>
            <w:r>
              <w:rPr>
                <w:rFonts w:hint="eastAsia" w:ascii="仿宋" w:hAnsi="仿宋" w:eastAsia="仿宋" w:cs="仿宋"/>
                <w:color w:val="auto"/>
                <w:sz w:val="24"/>
                <w:szCs w:val="22"/>
                <w:highlight w:val="none"/>
                <w:lang w:val="en-US" w:eastAsia="zh-CN"/>
              </w:rPr>
              <w:t>6.</w:t>
            </w:r>
            <w:r>
              <w:rPr>
                <w:rFonts w:hint="eastAsia" w:ascii="仿宋" w:hAnsi="仿宋" w:eastAsia="仿宋" w:cs="仿宋"/>
                <w:color w:val="auto"/>
                <w:sz w:val="24"/>
                <w:szCs w:val="22"/>
                <w:highlight w:val="none"/>
              </w:rPr>
              <w:t>网络安全</w:t>
            </w:r>
            <w:bookmarkEnd w:id="123"/>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采用零信任技术，解决过度信息、数据泄露、身份滥用及凭据窃取、设备安全状态不可知等问题。</w:t>
            </w:r>
            <w:r>
              <w:rPr>
                <w:rFonts w:hint="eastAsia" w:ascii="仿宋" w:hAnsi="仿宋" w:eastAsia="仿宋" w:cs="仿宋"/>
                <w:color w:val="auto"/>
                <w:sz w:val="24"/>
                <w:szCs w:val="22"/>
                <w:highlight w:val="none"/>
                <w:lang w:val="en-US" w:eastAsia="zh-CN"/>
              </w:rPr>
              <w:t>具备</w:t>
            </w:r>
            <w:r>
              <w:rPr>
                <w:rFonts w:hint="eastAsia" w:ascii="仿宋" w:hAnsi="仿宋" w:eastAsia="仿宋" w:cs="仿宋"/>
                <w:color w:val="auto"/>
                <w:sz w:val="24"/>
                <w:szCs w:val="22"/>
                <w:highlight w:val="none"/>
              </w:rPr>
              <w:t>动态访问控制</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应用和网络隐身</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细粒度访问控制。</w:t>
            </w:r>
            <w:bookmarkStart w:id="124" w:name="_Toc20208"/>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7.</w:t>
            </w:r>
            <w:r>
              <w:rPr>
                <w:rFonts w:hint="eastAsia" w:ascii="仿宋" w:hAnsi="仿宋" w:eastAsia="仿宋" w:cs="仿宋"/>
                <w:color w:val="auto"/>
                <w:sz w:val="24"/>
                <w:szCs w:val="22"/>
                <w:highlight w:val="none"/>
              </w:rPr>
              <w:t>个人</w:t>
            </w:r>
            <w:r>
              <w:rPr>
                <w:rFonts w:hint="eastAsia" w:ascii="仿宋" w:hAnsi="仿宋" w:eastAsia="仿宋" w:cs="仿宋"/>
                <w:color w:val="auto"/>
                <w:sz w:val="24"/>
                <w:szCs w:val="22"/>
                <w:highlight w:val="none"/>
                <w:lang w:val="en-US" w:eastAsia="zh-CN"/>
              </w:rPr>
              <w:t>互联网笔记本</w:t>
            </w:r>
            <w:r>
              <w:rPr>
                <w:rFonts w:hint="eastAsia" w:ascii="仿宋" w:hAnsi="仿宋" w:eastAsia="仿宋" w:cs="仿宋"/>
                <w:color w:val="auto"/>
                <w:sz w:val="24"/>
                <w:szCs w:val="22"/>
                <w:highlight w:val="none"/>
              </w:rPr>
              <w:t>安全</w:t>
            </w:r>
            <w:bookmarkEnd w:id="124"/>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应用沙箱技术实现</w:t>
            </w:r>
            <w:r>
              <w:rPr>
                <w:rFonts w:hint="eastAsia" w:ascii="仿宋" w:hAnsi="仿宋" w:eastAsia="仿宋" w:cs="仿宋"/>
                <w:color w:val="auto"/>
                <w:sz w:val="24"/>
                <w:szCs w:val="22"/>
                <w:highlight w:val="none"/>
                <w:lang w:val="en-US" w:eastAsia="zh-CN"/>
              </w:rPr>
              <w:t>沙箱内部</w:t>
            </w:r>
            <w:r>
              <w:rPr>
                <w:rFonts w:hint="eastAsia" w:ascii="仿宋" w:hAnsi="仿宋" w:eastAsia="仿宋" w:cs="仿宋"/>
                <w:color w:val="auto"/>
                <w:sz w:val="24"/>
                <w:szCs w:val="22"/>
                <w:highlight w:val="none"/>
              </w:rPr>
              <w:t>的数据加密、信息防泄漏、敏感行为操作审计、防截屏、全局水印等安全管控功能，并</w:t>
            </w:r>
            <w:r>
              <w:rPr>
                <w:rFonts w:hint="eastAsia" w:ascii="仿宋" w:hAnsi="仿宋" w:eastAsia="仿宋" w:cs="仿宋"/>
                <w:color w:val="auto"/>
                <w:sz w:val="24"/>
                <w:szCs w:val="22"/>
                <w:highlight w:val="none"/>
                <w:lang w:val="en-US" w:eastAsia="zh-CN"/>
              </w:rPr>
              <w:t>通过零信任及统一认证</w:t>
            </w:r>
            <w:r>
              <w:rPr>
                <w:rFonts w:hint="eastAsia" w:ascii="仿宋" w:hAnsi="仿宋" w:eastAsia="仿宋" w:cs="仿宋"/>
                <w:color w:val="auto"/>
                <w:sz w:val="24"/>
                <w:szCs w:val="22"/>
                <w:highlight w:val="none"/>
              </w:rPr>
              <w:t>实现</w:t>
            </w:r>
            <w:r>
              <w:rPr>
                <w:rFonts w:hint="eastAsia" w:ascii="仿宋" w:hAnsi="仿宋" w:eastAsia="仿宋" w:cs="仿宋"/>
                <w:color w:val="auto"/>
                <w:sz w:val="24"/>
                <w:szCs w:val="22"/>
                <w:highlight w:val="none"/>
                <w:lang w:val="en-US" w:eastAsia="zh-CN"/>
              </w:rPr>
              <w:t>个人互联网笔记本到后台服务的网络访及身份认证。</w:t>
            </w:r>
            <w:r>
              <w:rPr>
                <w:rFonts w:hint="eastAsia" w:ascii="仿宋" w:hAnsi="仿宋" w:eastAsia="仿宋" w:cs="仿宋"/>
                <w:color w:val="auto"/>
                <w:sz w:val="24"/>
                <w:szCs w:val="22"/>
                <w:highlight w:val="none"/>
              </w:rPr>
              <w:t>保障工作信息在个人终端内的产生、传输、存储的全生命周期安全。</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bookmarkStart w:id="125" w:name="_Toc28630"/>
            <w:r>
              <w:rPr>
                <w:rFonts w:hint="eastAsia" w:ascii="仿宋" w:hAnsi="仿宋" w:eastAsia="仿宋" w:cs="仿宋"/>
                <w:color w:val="auto"/>
                <w:sz w:val="24"/>
                <w:szCs w:val="22"/>
                <w:highlight w:val="none"/>
                <w:lang w:val="en-US" w:eastAsia="zh-CN"/>
              </w:rPr>
              <w:t>8.数据</w:t>
            </w:r>
            <w:r>
              <w:rPr>
                <w:rFonts w:hint="eastAsia" w:ascii="仿宋" w:hAnsi="仿宋" w:eastAsia="仿宋" w:cs="仿宋"/>
                <w:color w:val="auto"/>
                <w:sz w:val="24"/>
                <w:szCs w:val="22"/>
                <w:highlight w:val="none"/>
              </w:rPr>
              <w:t>安全</w:t>
            </w:r>
            <w:bookmarkEnd w:id="125"/>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平台应用</w:t>
            </w:r>
            <w:r>
              <w:rPr>
                <w:rFonts w:hint="eastAsia" w:ascii="仿宋" w:hAnsi="仿宋" w:eastAsia="仿宋" w:cs="仿宋"/>
                <w:color w:val="auto"/>
                <w:sz w:val="24"/>
                <w:szCs w:val="22"/>
                <w:highlight w:val="none"/>
                <w:lang w:val="en-US" w:eastAsia="zh-CN"/>
              </w:rPr>
              <w:t>通过</w:t>
            </w:r>
            <w:r>
              <w:rPr>
                <w:rFonts w:hint="eastAsia" w:ascii="仿宋" w:hAnsi="仿宋" w:eastAsia="仿宋" w:cs="仿宋"/>
                <w:color w:val="auto"/>
                <w:sz w:val="24"/>
                <w:szCs w:val="22"/>
                <w:highlight w:val="none"/>
              </w:rPr>
              <w:t>数据加密传输、数据加密存储、最小化权限管理、双因子认证</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lang w:val="en-US" w:eastAsia="zh-CN"/>
              </w:rPr>
              <w:t>安全管理配置</w:t>
            </w:r>
            <w:r>
              <w:rPr>
                <w:rFonts w:hint="eastAsia" w:ascii="仿宋" w:hAnsi="仿宋" w:eastAsia="仿宋" w:cs="仿宋"/>
                <w:color w:val="auto"/>
                <w:sz w:val="24"/>
                <w:szCs w:val="22"/>
                <w:highlight w:val="none"/>
              </w:rPr>
              <w:t>等安全管控能力</w:t>
            </w:r>
            <w:r>
              <w:rPr>
                <w:rFonts w:hint="eastAsia" w:ascii="仿宋" w:hAnsi="仿宋" w:eastAsia="仿宋" w:cs="仿宋"/>
                <w:color w:val="auto"/>
                <w:sz w:val="24"/>
                <w:szCs w:val="22"/>
                <w:highlight w:val="none"/>
                <w:lang w:val="en-US" w:eastAsia="zh-CN"/>
              </w:rPr>
              <w:t>保证平台</w:t>
            </w:r>
            <w:r>
              <w:rPr>
                <w:rFonts w:hint="eastAsia" w:ascii="仿宋" w:hAnsi="仿宋" w:eastAsia="仿宋" w:cs="仿宋"/>
                <w:color w:val="auto"/>
                <w:sz w:val="24"/>
                <w:szCs w:val="22"/>
                <w:highlight w:val="none"/>
              </w:rPr>
              <w:t>本身安全性。</w:t>
            </w:r>
            <w:r>
              <w:rPr>
                <w:rFonts w:hint="eastAsia" w:ascii="仿宋" w:hAnsi="仿宋" w:eastAsia="仿宋" w:cs="仿宋"/>
                <w:color w:val="auto"/>
                <w:sz w:val="24"/>
                <w:szCs w:val="22"/>
                <w:highlight w:val="none"/>
                <w:lang w:val="en-US" w:eastAsia="zh-CN"/>
              </w:rPr>
              <w:t>在数据采集、存储、使用、操作日志、安全实施、管控配置等方面保障安全。</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bookmarkStart w:id="126" w:name="_Toc16771"/>
            <w:r>
              <w:rPr>
                <w:rFonts w:hint="eastAsia" w:ascii="仿宋" w:hAnsi="仿宋" w:eastAsia="仿宋" w:cs="仿宋"/>
                <w:color w:val="auto"/>
                <w:sz w:val="24"/>
                <w:szCs w:val="22"/>
                <w:highlight w:val="none"/>
                <w:lang w:val="en-US" w:eastAsia="zh-CN"/>
              </w:rPr>
              <w:t>9.应用安全</w:t>
            </w:r>
            <w:bookmarkEnd w:id="126"/>
            <w:r>
              <w:rPr>
                <w:rFonts w:hint="eastAsia" w:ascii="仿宋" w:hAnsi="仿宋" w:eastAsia="仿宋" w:cs="仿宋"/>
                <w:color w:val="auto"/>
                <w:sz w:val="24"/>
                <w:szCs w:val="22"/>
                <w:highlight w:val="none"/>
                <w:lang w:val="en-US" w:eastAsia="zh-CN"/>
              </w:rPr>
              <w:t>。通过精细化权限管理满足等保三级要求：一是支持三员管理（系统、安全、审计管理员），明确岗位职责；二是支持组织管理员、分支管理员等角色配置，组织管理员覆盖全组织，分支管理员可定义子角色并设管理范围；三是遵循最小权限原则，限定各角色的组织分支、人员及功能管理范围，防止越权；四是支持权限纵向垂管，可对数据（如分支行）、功能分级分权，实现从总行到分支的层级权限设置。</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3</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可维护性</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1"/>
              <w:pageBreakBefore w:val="0"/>
              <w:numPr>
                <w:ilvl w:val="0"/>
                <w:numId w:val="5"/>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移动办公平台</w:t>
            </w:r>
            <w:r>
              <w:rPr>
                <w:rFonts w:hint="eastAsia" w:ascii="仿宋" w:hAnsi="仿宋" w:eastAsia="仿宋" w:cs="仿宋"/>
                <w:color w:val="auto"/>
                <w:sz w:val="24"/>
                <w:szCs w:val="22"/>
                <w:highlight w:val="none"/>
              </w:rPr>
              <w:t>支持可接入全新的自身不具备的技术能力、业务能力和集成能力等，保障平台强大的可扩展性。</w:t>
            </w:r>
          </w:p>
          <w:p>
            <w:pPr>
              <w:pStyle w:val="11"/>
              <w:pageBreakBefore w:val="0"/>
              <w:numPr>
                <w:ilvl w:val="0"/>
                <w:numId w:val="5"/>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移动办公</w:t>
            </w:r>
            <w:r>
              <w:rPr>
                <w:rFonts w:hint="eastAsia" w:ascii="仿宋" w:hAnsi="仿宋" w:eastAsia="仿宋" w:cs="仿宋"/>
                <w:color w:val="auto"/>
                <w:sz w:val="24"/>
                <w:szCs w:val="22"/>
                <w:highlight w:val="none"/>
              </w:rPr>
              <w:t>平台支持定制开发，可根据行内需求进行二次开发、UI定制、SDK集成、业务能力集成等，基于平台实现移动业务中台，可接入各类型应用，建设行内移动应用生态。</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4</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性能要求</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1"/>
              <w:pageBreakBefore w:val="0"/>
              <w:numPr>
                <w:ilvl w:val="0"/>
                <w:numId w:val="6"/>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lang w:eastAsia="zh-CN"/>
              </w:rPr>
            </w:pPr>
            <w:r>
              <w:rPr>
                <w:rFonts w:hint="eastAsia" w:ascii="仿宋" w:hAnsi="仿宋" w:eastAsia="仿宋" w:cs="仿宋"/>
                <w:color w:val="auto"/>
                <w:sz w:val="24"/>
                <w:szCs w:val="22"/>
                <w:highlight w:val="none"/>
                <w:lang w:val="en-US" w:eastAsia="zh-CN"/>
              </w:rPr>
              <w:t>移动终端场景</w:t>
            </w:r>
            <w:r>
              <w:rPr>
                <w:rFonts w:hint="eastAsia" w:ascii="仿宋" w:hAnsi="仿宋" w:eastAsia="仿宋" w:cs="仿宋"/>
                <w:color w:val="auto"/>
                <w:sz w:val="24"/>
                <w:szCs w:val="22"/>
                <w:highlight w:val="none"/>
                <w:lang w:eastAsia="zh-CN"/>
              </w:rPr>
              <w:t>性能指标均基于系统集成后（含移动办公 APP 及服务端、统一身份认证、</w:t>
            </w:r>
            <w:r>
              <w:rPr>
                <w:rFonts w:hint="eastAsia" w:ascii="仿宋" w:hAnsi="仿宋" w:eastAsia="仿宋" w:cs="仿宋"/>
                <w:color w:val="auto"/>
                <w:sz w:val="24"/>
                <w:szCs w:val="22"/>
                <w:highlight w:val="none"/>
                <w:lang w:val="en-US" w:eastAsia="zh-CN"/>
              </w:rPr>
              <w:t>零信任含沙箱</w:t>
            </w:r>
            <w:r>
              <w:rPr>
                <w:rFonts w:hint="eastAsia" w:ascii="仿宋" w:hAnsi="仿宋" w:eastAsia="仿宋" w:cs="仿宋"/>
                <w:color w:val="auto"/>
                <w:sz w:val="24"/>
                <w:szCs w:val="22"/>
                <w:highlight w:val="none"/>
                <w:lang w:eastAsia="zh-CN"/>
              </w:rPr>
              <w:t>及密码产品）的整体事务处理能力，非单个模块独立性能。</w:t>
            </w:r>
          </w:p>
          <w:p>
            <w:pPr>
              <w:pStyle w:val="11"/>
              <w:pageBreakBefore w:val="0"/>
              <w:numPr>
                <w:ilvl w:val="0"/>
                <w:numId w:val="6"/>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lang w:eastAsia="zh-CN"/>
              </w:rPr>
            </w:pPr>
            <w:r>
              <w:rPr>
                <w:rFonts w:hint="eastAsia" w:ascii="仿宋" w:hAnsi="仿宋" w:eastAsia="仿宋" w:cs="仿宋"/>
                <w:color w:val="auto"/>
                <w:sz w:val="24"/>
                <w:szCs w:val="22"/>
                <w:highlight w:val="none"/>
              </w:rPr>
              <w:t>满足最大注册用户数6000人、最大同时在线用户数6000人，首页、待办提醒、消息提醒、及时通讯、通知公告、通信录等平台功能的峰值并发用户1000人</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并能保证在高并发的情况下系统的稳定运行和性能不出现明显下滑</w:t>
            </w:r>
            <w:r>
              <w:rPr>
                <w:rFonts w:hint="eastAsia" w:ascii="仿宋" w:hAnsi="仿宋" w:eastAsia="仿宋" w:cs="仿宋"/>
                <w:color w:val="auto"/>
                <w:sz w:val="24"/>
                <w:szCs w:val="22"/>
                <w:highlight w:val="none"/>
                <w:lang w:eastAsia="zh-CN"/>
              </w:rPr>
              <w:t>。</w:t>
            </w:r>
          </w:p>
          <w:p>
            <w:pPr>
              <w:pStyle w:val="11"/>
              <w:pageBreakBefore w:val="0"/>
              <w:numPr>
                <w:ilvl w:val="0"/>
                <w:numId w:val="6"/>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支持负载均衡的设计，可以在并发访问量过大时，通过弹性增加应用服务器数量提高并发处理能力</w:t>
            </w:r>
            <w:r>
              <w:rPr>
                <w:rFonts w:hint="eastAsia" w:ascii="仿宋" w:hAnsi="仿宋" w:eastAsia="仿宋" w:cs="仿宋"/>
                <w:color w:val="auto"/>
                <w:sz w:val="24"/>
                <w:szCs w:val="22"/>
                <w:highlight w:val="none"/>
                <w:lang w:eastAsia="zh-CN"/>
              </w:rPr>
              <w:t>。</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3.</w:t>
            </w:r>
            <w:r>
              <w:rPr>
                <w:rFonts w:hint="eastAsia" w:ascii="仿宋" w:hAnsi="仿宋" w:eastAsia="仿宋" w:cs="仿宋"/>
                <w:color w:val="auto"/>
                <w:sz w:val="24"/>
                <w:szCs w:val="22"/>
                <w:highlight w:val="none"/>
              </w:rPr>
              <w:t>简单事务处理（包含各类信息录入、修改、查询业务、主要页面平均响应时间等）≤2s；</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4.</w:t>
            </w:r>
            <w:r>
              <w:rPr>
                <w:rFonts w:hint="eastAsia" w:ascii="仿宋" w:hAnsi="仿宋" w:eastAsia="仿宋" w:cs="仿宋"/>
                <w:color w:val="auto"/>
                <w:sz w:val="24"/>
                <w:szCs w:val="22"/>
                <w:highlight w:val="none"/>
              </w:rPr>
              <w:t>要求复杂事务处理≤5s；</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5.</w:t>
            </w:r>
            <w:r>
              <w:rPr>
                <w:rFonts w:hint="eastAsia" w:ascii="仿宋" w:hAnsi="仿宋" w:eastAsia="仿宋" w:cs="仿宋"/>
                <w:color w:val="auto"/>
                <w:sz w:val="24"/>
                <w:szCs w:val="22"/>
                <w:highlight w:val="none"/>
              </w:rPr>
              <w:t>要求各类固定统计报表形成时间：≤8s；</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6.</w:t>
            </w:r>
            <w:r>
              <w:rPr>
                <w:rFonts w:hint="eastAsia" w:ascii="仿宋" w:hAnsi="仿宋" w:eastAsia="仿宋" w:cs="仿宋"/>
                <w:color w:val="auto"/>
                <w:sz w:val="24"/>
                <w:szCs w:val="22"/>
                <w:highlight w:val="none"/>
              </w:rPr>
              <w:t>要求按照6000用户并发标准软硬件及网络带宽良好环境下并发操作进行衡量，数据调用平均响应时间小于3秒。</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7.</w:t>
            </w:r>
            <w:r>
              <w:rPr>
                <w:rFonts w:hint="eastAsia" w:ascii="仿宋" w:hAnsi="仿宋" w:eastAsia="仿宋" w:cs="仿宋"/>
                <w:color w:val="auto"/>
                <w:sz w:val="24"/>
                <w:szCs w:val="22"/>
                <w:highlight w:val="none"/>
              </w:rPr>
              <w:t>要求支持全年7*24小时的稳定运行。</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5</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安全测试及漏洞整改验证要求</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1.交付产品应完成出厂前安全测试（包括但不限于代码扫描、漏扫、渗透测试、内外部检查及审计、开源软件漏洞扫描等）；符合行内安全测试评估要求，及时整改行方各类安全问题，及时修复各类安全漏洞。</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2.应用安全测试</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（1）代码扫描</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乙方应配合我行，提供产品及客户化部分的源代码，开展代码扫描工作。</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（2）渗透测试</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乙方应配合我行，完成不同类型客户端的渗透测试。</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（3）交互式应用安全测试</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乙方应根据我行实际需求，配合我行完成交互式应用安全测试。</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在行方开展的基础环境漏扫及安全配置检查中，如基础环境升级涉及应用系统验证工作时，乙方应及时配合验证。</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6</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等级保护及密码评估要求</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符合并通过国家和金融行业安全等保</w:t>
            </w:r>
            <w:r>
              <w:rPr>
                <w:rFonts w:hint="eastAsia" w:ascii="仿宋" w:hAnsi="仿宋" w:eastAsia="仿宋" w:cs="仿宋"/>
                <w:color w:val="auto"/>
                <w:sz w:val="24"/>
                <w:szCs w:val="22"/>
                <w:highlight w:val="none"/>
                <w:lang w:val="en-US" w:eastAsia="zh-CN"/>
              </w:rPr>
              <w:t>三级</w:t>
            </w:r>
            <w:r>
              <w:rPr>
                <w:rFonts w:hint="eastAsia" w:ascii="仿宋" w:hAnsi="仿宋" w:eastAsia="仿宋" w:cs="仿宋"/>
                <w:color w:val="auto"/>
                <w:sz w:val="24"/>
                <w:szCs w:val="22"/>
                <w:highlight w:val="none"/>
              </w:rPr>
              <w:t>要求，遵从等保定级及测评工作要求，依据定级级别开展系统设计及开发，在等保测评中负责完成相应整改工作。</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承诺后续配合我行开展商用密码应用安全性评估</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lang w:val="en-US" w:eastAsia="zh-CN"/>
              </w:rPr>
              <w:t>三级</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，将测评问题纳入问题缺陷及时开展整改。</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7</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运行维护要求</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1.系统部署架构应满足对同城异地灾备的支持。应用服务器和数据库服务器支持分别部署到不同的服务器上；应用服务器在部署上可支持负载均衡方式、分组方式。应用程序具备并行运行、处理能力。</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2.具有系统容量和性能估算的模型和方法，根据业务需求并提供已实施的当前主版本系统所能支持的最大容量和关键性能参数，包括最大用户数与并发用户数、日处理量均值与峰值、处理响应时间均值与最大值以及相应的软硬件配置。</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3.列出软件包中涉及的服务器端所支持的操作系统、数据库、中间件及其版本。</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4.要求系统所采用的软硬件平台应具备开放性。阐述推荐的软硬件配置方案，包括硬件配置、操作系统、虚拟化平台、数据库、中间件、应用系统以及网络传输带宽要求，并给出推荐依据。</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5.如果系统运行需要使用独立的中间件、数据库软件，应优先使用商业软件，原则上不允许使用开源软件。</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6.软硬件产品及其版本，应符合行内软硬件基线要求，以项目实施中行内具体要求为准。</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7.阐述系统维护管理方案，要求系统能够提供运行指标监控、预警、报警、故障隔离和故障排除支持。简要说明可能导致故障的因素以及相应的冗余容错和故障恢复策略。</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8.要求系统具备完备的应用日志输出，并阐述具体的分级、分类情况，以及如何用于问题故障定位和排查，并满足监管对日志要求。</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9.请阐述系统对用户操作状态监控和系统运行状况监控的能力（如系统资源占用情况监控、系统业务响应时间监控、系统并发连接情况监控）。</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10.提供应用系统应急处理预案，包括但不限于应用故障，系统故障，数据库、中间件故障、服务器硬件故障等。</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11.系统运行维护中对采用开源软件，视同应用系统组件，须由应用系统厂商提供后续运维支持，如运维相关手册、漏洞修复、补丁更新等内容。</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8</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兼容性要求</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1.</w:t>
            </w:r>
            <w:r>
              <w:rPr>
                <w:rFonts w:hint="eastAsia" w:ascii="仿宋" w:hAnsi="仿宋" w:eastAsia="仿宋" w:cs="仿宋"/>
                <w:color w:val="auto"/>
                <w:sz w:val="24"/>
                <w:szCs w:val="22"/>
                <w:highlight w:val="none"/>
              </w:rPr>
              <w:t>终端兼容</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适配市面主流手机终端及PC终端，可兼容以下操作系统：</w:t>
            </w:r>
          </w:p>
          <w:p>
            <w:pPr>
              <w:pStyle w:val="11"/>
              <w:pageBreakBefore w:val="0"/>
              <w:numPr>
                <w:ilvl w:val="0"/>
                <w:numId w:val="7"/>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lang w:eastAsia="zh-CN"/>
              </w:rPr>
            </w:pPr>
            <w:r>
              <w:rPr>
                <w:rFonts w:hint="eastAsia" w:ascii="仿宋" w:hAnsi="仿宋" w:eastAsia="仿宋" w:cs="仿宋"/>
                <w:color w:val="auto"/>
                <w:sz w:val="24"/>
                <w:szCs w:val="22"/>
                <w:highlight w:val="none"/>
              </w:rPr>
              <w:t>HarmonyOS系统版本HarmonyOS NEXT</w:t>
            </w:r>
            <w:r>
              <w:rPr>
                <w:rFonts w:hint="eastAsia" w:ascii="仿宋" w:hAnsi="仿宋" w:eastAsia="仿宋" w:cs="仿宋"/>
                <w:color w:val="auto"/>
                <w:sz w:val="24"/>
                <w:szCs w:val="22"/>
                <w:highlight w:val="none"/>
                <w:lang w:eastAsia="zh-CN"/>
              </w:rPr>
              <w:t>；</w:t>
            </w:r>
          </w:p>
          <w:p>
            <w:pPr>
              <w:pStyle w:val="11"/>
              <w:pageBreakBefore w:val="0"/>
              <w:numPr>
                <w:ilvl w:val="0"/>
                <w:numId w:val="7"/>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Android</w:t>
            </w:r>
            <w:r>
              <w:rPr>
                <w:rFonts w:hint="eastAsia" w:ascii="仿宋" w:hAnsi="仿宋" w:eastAsia="仿宋" w:cs="仿宋"/>
                <w:color w:val="auto"/>
                <w:sz w:val="24"/>
                <w:szCs w:val="22"/>
                <w:highlight w:val="none"/>
              </w:rPr>
              <w:tab/>
            </w:r>
            <w:r>
              <w:rPr>
                <w:rFonts w:hint="eastAsia" w:ascii="仿宋" w:hAnsi="仿宋" w:eastAsia="仿宋" w:cs="仿宋"/>
                <w:color w:val="auto"/>
                <w:sz w:val="24"/>
                <w:szCs w:val="22"/>
                <w:highlight w:val="none"/>
              </w:rPr>
              <w:t>系统版本 9.0（API Level：28） 及以上，32位及64位操作系统</w:t>
            </w:r>
            <w:r>
              <w:rPr>
                <w:rFonts w:hint="eastAsia" w:ascii="仿宋" w:hAnsi="仿宋" w:eastAsia="仿宋" w:cs="仿宋"/>
                <w:color w:val="auto"/>
                <w:sz w:val="24"/>
                <w:szCs w:val="22"/>
                <w:highlight w:val="none"/>
                <w:lang w:eastAsia="zh-CN"/>
              </w:rPr>
              <w:t>；</w:t>
            </w:r>
          </w:p>
          <w:p>
            <w:pPr>
              <w:pStyle w:val="11"/>
              <w:pageBreakBefore w:val="0"/>
              <w:numPr>
                <w:ilvl w:val="0"/>
                <w:numId w:val="7"/>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Windows系统版本 Win10；</w:t>
            </w:r>
          </w:p>
          <w:p>
            <w:pPr>
              <w:pStyle w:val="11"/>
              <w:pageBreakBefore w:val="0"/>
              <w:numPr>
                <w:ilvl w:val="0"/>
                <w:numId w:val="7"/>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国产化操作系统版本麒麟V10 SP1及以上、统信UOS v20及以上。</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2</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服务端兼容</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（1）</w:t>
            </w:r>
            <w:r>
              <w:rPr>
                <w:rFonts w:hint="eastAsia" w:ascii="仿宋" w:hAnsi="仿宋" w:eastAsia="仿宋" w:cs="仿宋"/>
                <w:color w:val="auto"/>
                <w:sz w:val="24"/>
                <w:szCs w:val="22"/>
                <w:highlight w:val="none"/>
              </w:rPr>
              <w:t>平台服务端兼容符合国家安全可靠测评结果的主流国产服务器、国产中间件、国产数据库。</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lang w:val="en-US" w:eastAsia="zh-CN"/>
              </w:rPr>
              <w:t>2</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CPU：海光、兆芯、飞腾、鲲鹏</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lang w:val="en-US" w:eastAsia="zh-CN"/>
              </w:rPr>
              <w:t>3</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操作系统：麒麟V10 SP1及以上、统信UOS v20及以上</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lang w:eastAsia="zh-CN"/>
              </w:rPr>
            </w:pP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lang w:val="en-US" w:eastAsia="zh-CN"/>
              </w:rPr>
              <w:t>4</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数据库：GoldenDB V6及以上</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达梦v8及以上、</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lang w:val="en-US" w:eastAsia="zh-CN"/>
              </w:rPr>
              <w:t>5</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中间件：Tongweb8及以上</w:t>
            </w:r>
            <w:r>
              <w:rPr>
                <w:rFonts w:hint="eastAsia" w:ascii="仿宋" w:hAnsi="仿宋" w:eastAsia="仿宋" w:cs="仿宋"/>
                <w:color w:val="auto"/>
                <w:sz w:val="24"/>
                <w:szCs w:val="22"/>
                <w:highlight w:val="none"/>
                <w:lang w:eastAsia="zh-CN"/>
              </w:rPr>
              <w:t>。</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lang w:val="en-US" w:eastAsia="zh-CN"/>
              </w:rPr>
              <w:t>6</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如果系统运行需要使用独立的中间件、数据库软件，应优先使用商业软件，原则上不允许使用开源软件。</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w:t>
            </w:r>
            <w:r>
              <w:rPr>
                <w:rFonts w:hint="eastAsia" w:ascii="仿宋" w:hAnsi="仿宋" w:eastAsia="仿宋" w:cs="仿宋"/>
                <w:color w:val="auto"/>
                <w:sz w:val="24"/>
                <w:szCs w:val="22"/>
                <w:highlight w:val="none"/>
                <w:lang w:val="en-US" w:eastAsia="zh-CN"/>
              </w:rPr>
              <w:t>7</w:t>
            </w:r>
            <w:r>
              <w:rPr>
                <w:rFonts w:hint="eastAsia" w:ascii="仿宋" w:hAnsi="仿宋" w:eastAsia="仿宋" w:cs="仿宋"/>
                <w:color w:val="auto"/>
                <w:sz w:val="24"/>
                <w:szCs w:val="22"/>
                <w:highlight w:val="none"/>
              </w:rPr>
              <w:t>）应支持国产存储设备，如华为存储。</w:t>
            </w:r>
            <w:r>
              <w:rPr>
                <w:rFonts w:hint="eastAsia" w:ascii="仿宋" w:hAnsi="仿宋" w:eastAsia="仿宋" w:cs="仿宋"/>
                <w:color w:val="auto"/>
                <w:sz w:val="24"/>
                <w:szCs w:val="22"/>
                <w:highlight w:val="none"/>
                <w:lang w:val="en-US" w:eastAsia="zh-CN"/>
              </w:rPr>
              <w:t>说明</w:t>
            </w:r>
            <w:r>
              <w:rPr>
                <w:rFonts w:hint="eastAsia" w:ascii="仿宋" w:hAnsi="仿宋" w:eastAsia="仿宋" w:cs="仿宋"/>
                <w:color w:val="auto"/>
                <w:sz w:val="24"/>
                <w:szCs w:val="22"/>
                <w:highlight w:val="none"/>
              </w:rPr>
              <w:t>系统对存储环境的要求，以及对存储设备的支持情况。</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3.品牌兼容</w:t>
            </w:r>
          </w:p>
          <w:p>
            <w:pPr>
              <w:pStyle w:val="11"/>
              <w:pageBreakBefore w:val="0"/>
              <w:kinsoku/>
              <w:overflowPunct/>
              <w:topLinePunct w:val="0"/>
              <w:bidi w:val="0"/>
              <w:snapToGrid w:val="0"/>
              <w:spacing w:after="0" w:line="240" w:lineRule="auto"/>
              <w:ind w:left="0" w:leftChars="0"/>
              <w:jc w:val="left"/>
              <w:rPr>
                <w:rFonts w:hint="eastAsia" w:ascii="仿宋" w:hAnsi="仿宋" w:eastAsia="仿宋" w:cs="仿宋"/>
                <w:color w:val="auto"/>
                <w:sz w:val="24"/>
                <w:highlight w:val="none"/>
              </w:rPr>
            </w:pPr>
            <w:r>
              <w:rPr>
                <w:rFonts w:hint="eastAsia" w:ascii="仿宋" w:hAnsi="仿宋" w:eastAsia="仿宋" w:cs="仿宋"/>
                <w:color w:val="auto"/>
                <w:sz w:val="24"/>
                <w:szCs w:val="22"/>
                <w:highlight w:val="none"/>
              </w:rPr>
              <w:t>产品兼容市场主流华为、小米、OPPO、VIVO</w:t>
            </w:r>
            <w:r>
              <w:rPr>
                <w:rFonts w:hint="eastAsia" w:ascii="仿宋" w:hAnsi="仿宋" w:eastAsia="仿宋" w:cs="仿宋"/>
                <w:color w:val="auto"/>
                <w:sz w:val="24"/>
                <w:szCs w:val="22"/>
                <w:highlight w:val="none"/>
                <w:lang w:val="en-US" w:eastAsia="zh-CN"/>
              </w:rPr>
              <w:t>主要机</w:t>
            </w:r>
            <w:r>
              <w:rPr>
                <w:rFonts w:hint="eastAsia" w:ascii="仿宋" w:hAnsi="仿宋" w:eastAsia="仿宋" w:cs="仿宋"/>
                <w:color w:val="auto"/>
                <w:sz w:val="24"/>
                <w:szCs w:val="22"/>
                <w:highlight w:val="none"/>
              </w:rPr>
              <w:t>型。</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9</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功能适宜性</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2"/>
                <w:sz w:val="24"/>
                <w:szCs w:val="22"/>
                <w:highlight w:val="none"/>
                <w:lang w:val="en-US" w:eastAsia="zh-CN" w:bidi="ar-SA"/>
              </w:rPr>
            </w:pPr>
            <w:r>
              <w:rPr>
                <w:rFonts w:hint="eastAsia" w:ascii="仿宋" w:hAnsi="仿宋" w:eastAsia="仿宋" w:cs="仿宋"/>
                <w:color w:val="auto"/>
                <w:kern w:val="2"/>
                <w:sz w:val="24"/>
                <w:szCs w:val="22"/>
                <w:highlight w:val="none"/>
                <w:lang w:val="en-US" w:eastAsia="zh-CN" w:bidi="ar-SA"/>
              </w:rPr>
              <w:t>1.移动办公APP提供如首页、待办提醒、消息提醒、及时通讯、通知公告、通信录、应用中心等常用功能。</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2"/>
                <w:sz w:val="24"/>
                <w:szCs w:val="22"/>
                <w:highlight w:val="none"/>
                <w:lang w:val="en-US" w:eastAsia="zh-CN" w:bidi="ar-SA"/>
              </w:rPr>
            </w:pPr>
            <w:r>
              <w:rPr>
                <w:rFonts w:hint="eastAsia" w:ascii="仿宋" w:hAnsi="仿宋" w:eastAsia="仿宋" w:cs="仿宋"/>
                <w:color w:val="auto"/>
                <w:kern w:val="2"/>
                <w:sz w:val="24"/>
                <w:szCs w:val="22"/>
                <w:highlight w:val="none"/>
                <w:lang w:val="en-US" w:eastAsia="zh-CN" w:bidi="ar-SA"/>
              </w:rPr>
              <w:t>2.支持通过H5方式接入协同办公系统，实现公文流程的移动审批，后续可通过原始APP集成跳转、原生SDK、H5等方式接入其他办公系统，建设行内移动办公应用生态。</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highlight w:val="none"/>
              </w:rPr>
            </w:pPr>
            <w:r>
              <w:rPr>
                <w:rFonts w:hint="eastAsia" w:ascii="仿宋" w:hAnsi="仿宋" w:eastAsia="仿宋" w:cs="仿宋"/>
                <w:color w:val="auto"/>
                <w:kern w:val="2"/>
                <w:sz w:val="24"/>
                <w:szCs w:val="22"/>
                <w:highlight w:val="none"/>
                <w:lang w:val="en-US" w:eastAsia="zh-CN" w:bidi="ar-SA"/>
              </w:rPr>
              <w:t>3.及时通讯可通过在互联网DMZ区部署，实现行内用户在互联网侧的信息沟通如文字、图片、语音等功能需求。</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10</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易用性</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2"/>
                <w:sz w:val="24"/>
                <w:szCs w:val="22"/>
                <w:highlight w:val="none"/>
                <w:lang w:val="en-US" w:eastAsia="zh-CN" w:bidi="ar-SA"/>
              </w:rPr>
            </w:pPr>
            <w:r>
              <w:rPr>
                <w:rFonts w:hint="eastAsia" w:ascii="仿宋" w:hAnsi="仿宋" w:eastAsia="仿宋" w:cs="仿宋"/>
                <w:color w:val="auto"/>
                <w:kern w:val="2"/>
                <w:sz w:val="24"/>
                <w:szCs w:val="22"/>
                <w:highlight w:val="none"/>
                <w:lang w:val="en-US" w:eastAsia="zh-CN" w:bidi="ar-SA"/>
              </w:rPr>
              <w:t>1.通过界面优化设计，提升用户使用体验，降低学习成本，实现用户免培训操作。</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2"/>
                <w:sz w:val="24"/>
                <w:szCs w:val="22"/>
                <w:highlight w:val="none"/>
                <w:lang w:val="en-US" w:eastAsia="zh-CN" w:bidi="ar-SA"/>
              </w:rPr>
            </w:pPr>
            <w:r>
              <w:rPr>
                <w:rFonts w:hint="eastAsia" w:ascii="仿宋" w:hAnsi="仿宋" w:eastAsia="仿宋" w:cs="仿宋"/>
                <w:color w:val="auto"/>
                <w:kern w:val="2"/>
                <w:sz w:val="24"/>
                <w:szCs w:val="22"/>
                <w:highlight w:val="none"/>
                <w:lang w:val="en-US" w:eastAsia="zh-CN" w:bidi="ar-SA"/>
              </w:rPr>
              <w:t>2.界面相关功能中，提供相应的功能介绍，方便使用，便于指导用户操作。</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11</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可靠性</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2"/>
                <w:sz w:val="24"/>
                <w:szCs w:val="22"/>
                <w:highlight w:val="none"/>
                <w:lang w:val="en-US" w:eastAsia="zh-CN" w:bidi="ar-SA"/>
              </w:rPr>
            </w:pPr>
            <w:r>
              <w:rPr>
                <w:rFonts w:hint="eastAsia" w:ascii="仿宋" w:hAnsi="仿宋" w:eastAsia="仿宋" w:cs="仿宋"/>
                <w:color w:val="auto"/>
                <w:kern w:val="2"/>
                <w:sz w:val="24"/>
                <w:szCs w:val="22"/>
                <w:highlight w:val="none"/>
                <w:lang w:val="en-US" w:eastAsia="zh-CN" w:bidi="ar-SA"/>
              </w:rPr>
              <w:t>1.系统配置应满足高可用要求，采用集群化部署架构，避免单一故障点。</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2"/>
                <w:sz w:val="24"/>
                <w:szCs w:val="22"/>
                <w:highlight w:val="none"/>
                <w:lang w:val="en-US" w:eastAsia="zh-CN" w:bidi="ar-SA"/>
              </w:rPr>
            </w:pPr>
            <w:r>
              <w:rPr>
                <w:rFonts w:hint="eastAsia" w:ascii="仿宋" w:hAnsi="仿宋" w:eastAsia="仿宋" w:cs="仿宋"/>
                <w:color w:val="auto"/>
                <w:kern w:val="2"/>
                <w:sz w:val="24"/>
                <w:szCs w:val="22"/>
                <w:highlight w:val="none"/>
                <w:lang w:val="en-US" w:eastAsia="zh-CN" w:bidi="ar-SA"/>
              </w:rPr>
              <w:t>2.系统服务恢复时间满足我行办公系统故障恢复(RPO、RTO)要求。</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2"/>
                <w:sz w:val="24"/>
                <w:szCs w:val="22"/>
                <w:highlight w:val="none"/>
                <w:lang w:val="en-US" w:eastAsia="zh-CN" w:bidi="ar-SA"/>
              </w:rPr>
            </w:pPr>
            <w:r>
              <w:rPr>
                <w:rFonts w:hint="eastAsia" w:ascii="仿宋" w:hAnsi="仿宋" w:eastAsia="仿宋" w:cs="仿宋"/>
                <w:color w:val="auto"/>
                <w:kern w:val="2"/>
                <w:sz w:val="24"/>
                <w:szCs w:val="22"/>
                <w:highlight w:val="none"/>
                <w:lang w:val="en-US" w:eastAsia="zh-CN" w:bidi="ar-SA"/>
              </w:rPr>
              <w:t>3.系统应具有较高的可靠性和持续使用能力，保证全年7×24 小时稳定运行，具有较强的稳定性并发响应能力及足够的扩充能力，事务处理成功率为99.9%。</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2"/>
                <w:sz w:val="24"/>
                <w:szCs w:val="22"/>
                <w:highlight w:val="none"/>
                <w:lang w:val="en-US" w:eastAsia="zh-CN" w:bidi="ar-SA"/>
              </w:rPr>
            </w:pPr>
            <w:r>
              <w:rPr>
                <w:rFonts w:hint="eastAsia" w:ascii="仿宋" w:hAnsi="仿宋" w:eastAsia="仿宋" w:cs="仿宋"/>
                <w:color w:val="auto"/>
                <w:kern w:val="2"/>
                <w:sz w:val="24"/>
                <w:szCs w:val="22"/>
                <w:highlight w:val="none"/>
                <w:lang w:val="en-US" w:eastAsia="zh-CN" w:bidi="ar-SA"/>
              </w:rPr>
              <w:t>4.需要保证高可靠性，安全运行率需达到99.9%。</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12</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可移植性</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2"/>
                <w:sz w:val="24"/>
                <w:szCs w:val="22"/>
                <w:highlight w:val="none"/>
                <w:lang w:val="en-US" w:eastAsia="zh-CN" w:bidi="ar-SA"/>
              </w:rPr>
            </w:pPr>
            <w:r>
              <w:rPr>
                <w:rFonts w:hint="eastAsia" w:ascii="仿宋" w:hAnsi="仿宋" w:eastAsia="仿宋" w:cs="仿宋"/>
                <w:color w:val="auto"/>
                <w:kern w:val="2"/>
                <w:sz w:val="24"/>
                <w:szCs w:val="22"/>
                <w:highlight w:val="none"/>
                <w:lang w:val="en-US" w:eastAsia="zh-CN" w:bidi="ar-SA"/>
              </w:rPr>
              <w:t>支持在不用服务器架构环境中部署，并可满足未来平台迁移需求，支持C86、ARM架构环境下部署，并支持不同架构环境下的迁移操作。</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13</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集成对接</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2"/>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en-US" w:eastAsia="zh-CN"/>
              </w:rPr>
              <w:t>1.</w:t>
            </w:r>
            <w:r>
              <w:rPr>
                <w:rFonts w:hint="eastAsia" w:ascii="仿宋" w:hAnsi="仿宋" w:eastAsia="仿宋" w:cs="仿宋"/>
                <w:color w:val="auto"/>
                <w:kern w:val="0"/>
                <w:sz w:val="24"/>
                <w:highlight w:val="none"/>
              </w:rPr>
              <w:t>具备与行内现有的</w:t>
            </w:r>
            <w:r>
              <w:rPr>
                <w:rFonts w:hint="eastAsia" w:ascii="仿宋" w:hAnsi="仿宋" w:eastAsia="仿宋" w:cs="仿宋"/>
                <w:color w:val="auto"/>
                <w:kern w:val="0"/>
                <w:sz w:val="24"/>
                <w:highlight w:val="none"/>
                <w:lang w:val="en-US" w:eastAsia="zh-CN"/>
              </w:rPr>
              <w:t>短信银行、协同办公等系统对接能力</w:t>
            </w:r>
            <w:r>
              <w:rPr>
                <w:rFonts w:hint="eastAsia" w:ascii="仿宋" w:hAnsi="仿宋" w:eastAsia="仿宋" w:cs="仿宋"/>
                <w:color w:val="auto"/>
                <w:kern w:val="0"/>
                <w:sz w:val="24"/>
                <w:highlight w:val="none"/>
              </w:rPr>
              <w:t>，</w:t>
            </w:r>
            <w:r>
              <w:rPr>
                <w:rFonts w:hint="eastAsia" w:ascii="仿宋" w:hAnsi="仿宋" w:eastAsia="仿宋" w:cs="仿宋"/>
                <w:color w:val="auto"/>
                <w:kern w:val="0"/>
                <w:sz w:val="24"/>
                <w:highlight w:val="none"/>
                <w:lang w:val="en-US" w:eastAsia="zh-CN"/>
              </w:rPr>
              <w:t>可实现短信发送、组织架构信息同步、单点登录、H5接入等</w:t>
            </w:r>
            <w:r>
              <w:rPr>
                <w:rFonts w:hint="eastAsia" w:ascii="仿宋" w:hAnsi="仿宋" w:eastAsia="仿宋" w:cs="仿宋"/>
                <w:color w:val="auto"/>
                <w:kern w:val="0"/>
                <w:sz w:val="24"/>
                <w:highlight w:val="none"/>
              </w:rPr>
              <w:t>。</w:t>
            </w:r>
          </w:p>
          <w:p>
            <w:pPr>
              <w:pStyle w:val="12"/>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kern w:val="0"/>
                <w:sz w:val="24"/>
                <w:highlight w:val="none"/>
                <w:lang w:val="en-US" w:eastAsia="zh-CN"/>
              </w:rPr>
              <w:t>2.实现</w:t>
            </w:r>
            <w:r>
              <w:rPr>
                <w:rFonts w:hint="eastAsia" w:ascii="仿宋" w:hAnsi="仿宋" w:eastAsia="仿宋" w:cs="仿宋"/>
                <w:color w:val="auto"/>
                <w:sz w:val="24"/>
                <w:szCs w:val="22"/>
                <w:highlight w:val="none"/>
              </w:rPr>
              <w:t>移动办公APP及服务端</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lang w:val="en-US" w:eastAsia="zh-CN"/>
              </w:rPr>
              <w:t>零信任（含沙箱）、统一身份认证、密码产品的集成对接，实现用户多因子认证登录、及持续的身份验证。</w:t>
            </w:r>
          </w:p>
          <w:p>
            <w:pPr>
              <w:pStyle w:val="12"/>
              <w:pageBreakBefore w:val="0"/>
              <w:numPr>
                <w:ilvl w:val="0"/>
                <w:numId w:val="0"/>
              </w:numPr>
              <w:kinsoku/>
              <w:overflowPunct/>
              <w:topLinePunct w:val="0"/>
              <w:bidi w:val="0"/>
              <w:snapToGrid w:val="0"/>
              <w:spacing w:line="240" w:lineRule="auto"/>
              <w:ind w:left="0" w:left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kern w:val="0"/>
                <w:sz w:val="24"/>
                <w:highlight w:val="none"/>
                <w:lang w:val="en-US" w:eastAsia="zh-CN"/>
              </w:rPr>
              <w:t>3.统一身份认证需要提供身份管理、组合认证、配置与审计能力、单点登录的功能。</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14</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部署方式</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3"/>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highlight w:val="none"/>
                <w:lang w:val="en-US" w:eastAsia="zh-CN"/>
              </w:rPr>
              <w:t>生产环境部署需满足高可用原则，根据性能要求提供集群化部署；测试环境部署满足功能性测试，均提供永久授权；支持适配主流国产产品。提供所投产品的对国产化适配证明材料，包括但不限于与国产化CPU、操作系统、数据库、中间件的适配证明。</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15</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统一身份认证</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rPr>
            </w:pPr>
          </w:p>
        </w:tc>
        <w:tc>
          <w:tcPr>
            <w:tcW w:w="4383" w:type="dxa"/>
            <w:vAlign w:val="center"/>
          </w:tcPr>
          <w:p>
            <w:pPr>
              <w:pStyle w:val="13"/>
              <w:pageBreakBefore w:val="0"/>
              <w:numPr>
                <w:ilvl w:val="0"/>
                <w:numId w:val="8"/>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支持移动和PC端两种形态接入方式，系统能力需支持多种认证方式，包括但不限于</w:t>
            </w:r>
            <w:r>
              <w:rPr>
                <w:rFonts w:hint="eastAsia" w:ascii="仿宋" w:hAnsi="仿宋" w:eastAsia="仿宋" w:cs="仿宋"/>
                <w:color w:val="auto"/>
                <w:sz w:val="24"/>
                <w:highlight w:val="none"/>
              </w:rPr>
              <w:t>通过账号密码、短信验证码、数字证书安全令牌、指纹或人脸生物特征等多因子认证方式提升身份认证强度</w:t>
            </w:r>
            <w:r>
              <w:rPr>
                <w:rFonts w:hint="eastAsia" w:ascii="仿宋" w:hAnsi="仿宋" w:eastAsia="仿宋" w:cs="仿宋"/>
                <w:color w:val="auto"/>
                <w:kern w:val="0"/>
                <w:sz w:val="24"/>
                <w:highlight w:val="none"/>
              </w:rPr>
              <w:t>等，要求支持认证方式可灵活配置扩展。允许使用多种用户名登录(统一用户名/邮箱/手机号等)</w:t>
            </w:r>
            <w:r>
              <w:rPr>
                <w:rFonts w:hint="eastAsia" w:ascii="仿宋" w:hAnsi="仿宋" w:eastAsia="仿宋" w:cs="仿宋"/>
                <w:color w:val="auto"/>
                <w:kern w:val="0"/>
                <w:sz w:val="24"/>
                <w:highlight w:val="none"/>
              </w:rPr>
              <w:br w:type="textWrapping"/>
            </w:r>
            <w:r>
              <w:rPr>
                <w:rFonts w:hint="eastAsia" w:ascii="仿宋" w:hAnsi="仿宋" w:eastAsia="仿宋" w:cs="仿宋"/>
                <w:color w:val="auto"/>
                <w:kern w:val="0"/>
                <w:sz w:val="24"/>
                <w:highlight w:val="none"/>
              </w:rPr>
              <w:t>2、</w:t>
            </w:r>
            <w:r>
              <w:rPr>
                <w:rFonts w:hint="eastAsia" w:ascii="仿宋" w:hAnsi="仿宋" w:eastAsia="仿宋" w:cs="仿宋"/>
                <w:color w:val="auto"/>
                <w:kern w:val="0"/>
                <w:sz w:val="24"/>
                <w:highlight w:val="none"/>
                <w:lang w:val="en-US" w:eastAsia="zh-CN"/>
              </w:rPr>
              <w:t>提供</w:t>
            </w:r>
            <w:r>
              <w:rPr>
                <w:rFonts w:hint="eastAsia" w:ascii="仿宋" w:hAnsi="仿宋" w:eastAsia="仿宋" w:cs="仿宋"/>
                <w:color w:val="auto"/>
                <w:kern w:val="0"/>
                <w:sz w:val="24"/>
                <w:highlight w:val="none"/>
              </w:rPr>
              <w:t>通过</w:t>
            </w:r>
            <w:r>
              <w:rPr>
                <w:rFonts w:hint="eastAsia" w:ascii="仿宋" w:hAnsi="仿宋" w:eastAsia="仿宋" w:cs="仿宋"/>
                <w:color w:val="auto"/>
                <w:kern w:val="0"/>
                <w:sz w:val="24"/>
                <w:highlight w:val="none"/>
                <w:lang w:val="en-US" w:eastAsia="zh-CN"/>
              </w:rPr>
              <w:t>数字</w:t>
            </w:r>
            <w:r>
              <w:rPr>
                <w:rFonts w:hint="eastAsia" w:ascii="仿宋" w:hAnsi="仿宋" w:eastAsia="仿宋" w:cs="仿宋"/>
                <w:color w:val="auto"/>
                <w:kern w:val="0"/>
                <w:sz w:val="24"/>
                <w:highlight w:val="none"/>
              </w:rPr>
              <w:t>证书进行多因子认证</w:t>
            </w:r>
            <w:r>
              <w:rPr>
                <w:rFonts w:hint="eastAsia" w:ascii="仿宋" w:hAnsi="仿宋" w:eastAsia="仿宋" w:cs="仿宋"/>
                <w:color w:val="auto"/>
                <w:kern w:val="0"/>
                <w:sz w:val="24"/>
                <w:highlight w:val="none"/>
                <w:lang w:val="en-US" w:eastAsia="zh-CN"/>
              </w:rPr>
              <w:t>服务</w:t>
            </w:r>
            <w:r>
              <w:rPr>
                <w:rFonts w:hint="eastAsia" w:ascii="仿宋" w:hAnsi="仿宋" w:eastAsia="仿宋" w:cs="仿宋"/>
                <w:color w:val="auto"/>
                <w:kern w:val="0"/>
                <w:sz w:val="24"/>
                <w:highlight w:val="none"/>
              </w:rPr>
              <w:t>。</w:t>
            </w:r>
            <w:r>
              <w:rPr>
                <w:rFonts w:hint="eastAsia" w:ascii="仿宋" w:hAnsi="仿宋" w:eastAsia="仿宋" w:cs="仿宋"/>
                <w:color w:val="auto"/>
                <w:kern w:val="0"/>
                <w:sz w:val="24"/>
                <w:highlight w:val="none"/>
              </w:rPr>
              <w:br w:type="textWrapping"/>
            </w:r>
            <w:r>
              <w:rPr>
                <w:rFonts w:hint="eastAsia" w:ascii="仿宋" w:hAnsi="仿宋" w:eastAsia="仿宋" w:cs="仿宋"/>
                <w:color w:val="auto"/>
                <w:kern w:val="0"/>
                <w:sz w:val="24"/>
                <w:highlight w:val="none"/>
              </w:rPr>
              <w:t>3、口令信息应进行加密存储和加密传输等安全保护，应具备限定错误重试频率和账号锁定等防暴力破解能力。</w:t>
            </w:r>
            <w:r>
              <w:rPr>
                <w:rFonts w:hint="eastAsia" w:ascii="仿宋" w:hAnsi="仿宋" w:eastAsia="仿宋" w:cs="仿宋"/>
                <w:color w:val="auto"/>
                <w:kern w:val="0"/>
                <w:sz w:val="24"/>
                <w:highlight w:val="none"/>
              </w:rPr>
              <w:br w:type="textWrapping"/>
            </w:r>
            <w:r>
              <w:rPr>
                <w:rFonts w:hint="eastAsia" w:ascii="仿宋" w:hAnsi="仿宋" w:eastAsia="仿宋" w:cs="仿宋"/>
                <w:color w:val="auto"/>
                <w:kern w:val="0"/>
                <w:sz w:val="24"/>
                <w:highlight w:val="none"/>
              </w:rPr>
              <w:t>4、系统需提供应用单点登录服务能力，用户完成一次登录认证操作后，用户进行一次登录，即可访问所有授权的应用系统和资源，无需重复输入凭证，如再次访问同安全级别应用免二次认证。</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en-US" w:eastAsia="zh-CN"/>
              </w:rPr>
              <w:t>5、</w:t>
            </w:r>
            <w:r>
              <w:rPr>
                <w:rFonts w:hint="eastAsia" w:ascii="仿宋" w:hAnsi="仿宋" w:eastAsia="仿宋" w:cs="仿宋"/>
                <w:color w:val="auto"/>
                <w:kern w:val="0"/>
                <w:sz w:val="24"/>
                <w:highlight w:val="none"/>
              </w:rPr>
              <w:t>系统需支持预制弱密码库。系统需支持限制特殊类型弱密码（如临近键盘字符）。系统需支持基于用户属性的弱密码识别（如包含用户个人生日、账号名字段等）。</w:t>
            </w:r>
            <w:r>
              <w:rPr>
                <w:rFonts w:hint="eastAsia" w:ascii="仿宋" w:hAnsi="仿宋" w:eastAsia="仿宋" w:cs="仿宋"/>
                <w:color w:val="auto"/>
                <w:kern w:val="0"/>
                <w:sz w:val="24"/>
                <w:highlight w:val="none"/>
              </w:rPr>
              <w:br w:type="textWrapping"/>
            </w:r>
            <w:r>
              <w:rPr>
                <w:rFonts w:hint="eastAsia" w:ascii="仿宋" w:hAnsi="仿宋" w:eastAsia="仿宋" w:cs="仿宋"/>
                <w:color w:val="auto"/>
                <w:kern w:val="0"/>
                <w:sz w:val="24"/>
                <w:highlight w:val="none"/>
                <w:lang w:val="en-US" w:eastAsia="zh-CN"/>
              </w:rPr>
              <w:t>6、</w:t>
            </w:r>
            <w:r>
              <w:rPr>
                <w:rFonts w:hint="eastAsia" w:ascii="仿宋" w:hAnsi="仿宋" w:eastAsia="仿宋" w:cs="仿宋"/>
                <w:color w:val="auto"/>
                <w:kern w:val="0"/>
                <w:sz w:val="24"/>
                <w:highlight w:val="none"/>
              </w:rPr>
              <w:t>系统需支持指定机构数据同步到下游特定业务系统。</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en-US" w:eastAsia="zh-CN"/>
              </w:rPr>
              <w:t>7、</w:t>
            </w:r>
            <w:r>
              <w:rPr>
                <w:rFonts w:hint="eastAsia" w:ascii="仿宋" w:hAnsi="仿宋" w:eastAsia="仿宋" w:cs="仿宋"/>
                <w:color w:val="auto"/>
                <w:kern w:val="0"/>
                <w:sz w:val="24"/>
                <w:highlight w:val="none"/>
              </w:rPr>
              <w:t>系统需支持Oauth2.0、CAS、JWT、OIDC、Saml、LTPA 等标准协议。</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en-US" w:eastAsia="zh-CN"/>
              </w:rPr>
              <w:t>8、</w:t>
            </w:r>
            <w:r>
              <w:rPr>
                <w:rFonts w:hint="eastAsia" w:ascii="仿宋" w:hAnsi="仿宋" w:eastAsia="仿宋" w:cs="仿宋"/>
                <w:color w:val="auto"/>
                <w:kern w:val="0"/>
                <w:sz w:val="24"/>
                <w:highlight w:val="none"/>
              </w:rPr>
              <w:t>需具备对用户的创建、信息变更、禁用、启用、逻辑删除、离职等进行操作。用户创建成功后，可生成随机密码，并将该密码通过短信、邮件通知用户。</w:t>
            </w:r>
            <w:r>
              <w:rPr>
                <w:rFonts w:hint="eastAsia" w:ascii="仿宋" w:hAnsi="仿宋" w:eastAsia="仿宋" w:cs="仿宋"/>
                <w:color w:val="auto"/>
                <w:kern w:val="0"/>
                <w:sz w:val="24"/>
                <w:highlight w:val="none"/>
              </w:rPr>
              <w:br w:type="textWrapping"/>
            </w:r>
            <w:r>
              <w:rPr>
                <w:rFonts w:hint="eastAsia" w:ascii="仿宋" w:hAnsi="仿宋" w:eastAsia="仿宋" w:cs="仿宋"/>
                <w:color w:val="auto"/>
                <w:kern w:val="0"/>
                <w:sz w:val="24"/>
                <w:highlight w:val="none"/>
                <w:lang w:val="en-US" w:eastAsia="zh-CN"/>
              </w:rPr>
              <w:t>9</w:t>
            </w:r>
            <w:r>
              <w:rPr>
                <w:rFonts w:hint="eastAsia" w:ascii="仿宋" w:hAnsi="仿宋" w:eastAsia="仿宋" w:cs="仿宋"/>
                <w:color w:val="auto"/>
                <w:kern w:val="0"/>
                <w:sz w:val="24"/>
                <w:highlight w:val="none"/>
              </w:rPr>
              <w:t>、需具备组织机构信息的管理和同步，需具备机构内用户的兼职、调动、借调等业务场景。</w:t>
            </w:r>
            <w:r>
              <w:rPr>
                <w:rFonts w:hint="eastAsia" w:ascii="仿宋" w:hAnsi="仿宋" w:eastAsia="仿宋" w:cs="仿宋"/>
                <w:color w:val="auto"/>
                <w:kern w:val="0"/>
                <w:sz w:val="24"/>
                <w:highlight w:val="none"/>
              </w:rPr>
              <w:br w:type="textWrapping"/>
            </w:r>
            <w:r>
              <w:rPr>
                <w:rFonts w:hint="eastAsia" w:ascii="仿宋" w:hAnsi="仿宋" w:eastAsia="仿宋" w:cs="仿宋"/>
                <w:color w:val="auto"/>
                <w:kern w:val="0"/>
                <w:sz w:val="24"/>
                <w:highlight w:val="none"/>
                <w:lang w:val="en-US" w:eastAsia="zh-CN"/>
              </w:rPr>
              <w:t>10</w:t>
            </w:r>
            <w:r>
              <w:rPr>
                <w:rFonts w:hint="eastAsia" w:ascii="仿宋" w:hAnsi="仿宋" w:eastAsia="仿宋" w:cs="仿宋"/>
                <w:color w:val="auto"/>
                <w:kern w:val="0"/>
                <w:sz w:val="24"/>
                <w:highlight w:val="none"/>
              </w:rPr>
              <w:t>、需具备可视化基于条件策略身份供应机制，可按照用户类型、岗位、某种属性条件才触发同步机制，同步机制可在界面灵活编排，包括与、或等策略，可灵活组合，满足不同应用对身份供应的需求。允许多个用户共用一个账号，即支持公共账号管理。</w:t>
            </w:r>
            <w:r>
              <w:rPr>
                <w:rFonts w:hint="eastAsia" w:ascii="仿宋" w:hAnsi="仿宋" w:eastAsia="仿宋" w:cs="仿宋"/>
                <w:color w:val="auto"/>
                <w:kern w:val="0"/>
                <w:sz w:val="24"/>
                <w:highlight w:val="none"/>
              </w:rPr>
              <w:br w:type="textWrapping"/>
            </w:r>
            <w:r>
              <w:rPr>
                <w:rFonts w:hint="eastAsia" w:ascii="仿宋" w:hAnsi="仿宋" w:eastAsia="仿宋" w:cs="仿宋"/>
                <w:color w:val="auto"/>
                <w:kern w:val="0"/>
                <w:sz w:val="24"/>
                <w:highlight w:val="none"/>
                <w:lang w:val="en-US" w:eastAsia="zh-CN"/>
              </w:rPr>
              <w:t>11</w:t>
            </w:r>
            <w:r>
              <w:rPr>
                <w:rFonts w:hint="eastAsia" w:ascii="仿宋" w:hAnsi="仿宋" w:eastAsia="仿宋" w:cs="仿宋"/>
                <w:color w:val="auto"/>
                <w:kern w:val="0"/>
                <w:sz w:val="24"/>
                <w:highlight w:val="none"/>
              </w:rPr>
              <w:t>、需具备对不同业务分层级管理，可为每个业务应用配置独立管理账号，支撑其身份管理配置需求。</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highlight w:val="none"/>
                <w:lang w:val="en-US" w:eastAsia="zh-CN"/>
              </w:rPr>
            </w:pPr>
            <w:r>
              <w:rPr>
                <w:rFonts w:hint="eastAsia" w:ascii="仿宋" w:hAnsi="仿宋" w:eastAsia="仿宋" w:cs="仿宋"/>
                <w:color w:val="auto"/>
                <w:kern w:val="0"/>
                <w:sz w:val="24"/>
                <w:highlight w:val="none"/>
                <w:lang w:val="en-US" w:eastAsia="zh-CN"/>
              </w:rPr>
              <w:t>12、</w:t>
            </w:r>
            <w:r>
              <w:rPr>
                <w:rFonts w:hint="eastAsia" w:ascii="仿宋" w:hAnsi="仿宋" w:eastAsia="仿宋" w:cs="仿宋"/>
                <w:color w:val="auto"/>
                <w:kern w:val="0"/>
                <w:sz w:val="24"/>
                <w:highlight w:val="none"/>
              </w:rPr>
              <w:t>平台支持对业务系统风险安全级别的划分，可根据不同安全级别配置不同的认证方式。</w:t>
            </w:r>
            <w:r>
              <w:rPr>
                <w:rFonts w:hint="eastAsia" w:ascii="仿宋" w:hAnsi="仿宋" w:eastAsia="仿宋" w:cs="仿宋"/>
                <w:color w:val="auto"/>
                <w:kern w:val="0"/>
                <w:sz w:val="24"/>
                <w:highlight w:val="none"/>
              </w:rPr>
              <w:br w:type="textWrapping"/>
            </w:r>
            <w:r>
              <w:rPr>
                <w:rFonts w:hint="eastAsia" w:ascii="仿宋" w:hAnsi="仿宋" w:eastAsia="仿宋" w:cs="仿宋"/>
                <w:color w:val="auto"/>
                <w:kern w:val="0"/>
                <w:sz w:val="24"/>
                <w:highlight w:val="none"/>
              </w:rPr>
              <w:br w:type="textWrapping"/>
            </w:r>
            <w:r>
              <w:rPr>
                <w:rFonts w:hint="eastAsia" w:ascii="仿宋" w:hAnsi="仿宋" w:eastAsia="仿宋" w:cs="仿宋"/>
                <w:color w:val="auto"/>
                <w:kern w:val="0"/>
                <w:sz w:val="24"/>
                <w:highlight w:val="none"/>
              </w:rPr>
              <w:t>*</w:t>
            </w:r>
            <w:r>
              <w:rPr>
                <w:rFonts w:hint="eastAsia" w:ascii="仿宋" w:hAnsi="仿宋" w:eastAsia="仿宋" w:cs="仿宋"/>
                <w:color w:val="auto"/>
                <w:kern w:val="0"/>
                <w:sz w:val="24"/>
                <w:highlight w:val="none"/>
                <w:lang w:eastAsia="zh-CN"/>
              </w:rPr>
              <w:t>乙方</w:t>
            </w:r>
            <w:r>
              <w:rPr>
                <w:rFonts w:hint="eastAsia" w:ascii="仿宋" w:hAnsi="仿宋" w:eastAsia="仿宋" w:cs="仿宋"/>
                <w:color w:val="auto"/>
                <w:kern w:val="0"/>
                <w:sz w:val="24"/>
                <w:highlight w:val="none"/>
              </w:rPr>
              <w:t>须提供所投产品功能截图文件，截图中需清晰标注指标要求的功能点。</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16</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highlight w:val="none"/>
                <w:lang w:val="en-US" w:eastAsia="zh-CN"/>
              </w:rPr>
              <w:t>零信任产品（含沙箱）</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w:t>
            </w:r>
          </w:p>
        </w:tc>
        <w:tc>
          <w:tcPr>
            <w:tcW w:w="4383" w:type="dxa"/>
            <w:vAlign w:val="center"/>
          </w:tcPr>
          <w:p>
            <w:pPr>
              <w:pStyle w:val="12"/>
              <w:pageBreakBefore w:val="0"/>
              <w:numPr>
                <w:ilvl w:val="0"/>
                <w:numId w:val="9"/>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具有中华人民共和国公安部（下属具备资质的检测机构）颁发的含有“零信任”字样的《网络安全专用产品安全检测证书》。</w:t>
            </w:r>
          </w:p>
          <w:p>
            <w:pPr>
              <w:pStyle w:val="12"/>
              <w:pageBreakBefore w:val="0"/>
              <w:numPr>
                <w:ilvl w:val="0"/>
                <w:numId w:val="9"/>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提供国家网络与信息系统安全产品质量</w:t>
            </w:r>
            <w:r>
              <w:rPr>
                <w:rFonts w:hint="eastAsia" w:ascii="仿宋" w:hAnsi="仿宋" w:eastAsia="仿宋" w:cs="仿宋"/>
                <w:i w:val="0"/>
                <w:iCs w:val="0"/>
                <w:caps w:val="0"/>
                <w:strike w:val="0"/>
                <w:dstrike w:val="0"/>
                <w:color w:val="auto"/>
                <w:spacing w:val="0"/>
                <w:kern w:val="2"/>
                <w:sz w:val="24"/>
                <w:szCs w:val="22"/>
                <w:highlight w:val="none"/>
                <w:lang w:val="en-US" w:eastAsia="zh-CN" w:bidi="ar"/>
              </w:rPr>
              <w:t>检验检测</w:t>
            </w:r>
            <w:r>
              <w:rPr>
                <w:rFonts w:hint="eastAsia" w:ascii="仿宋" w:hAnsi="仿宋" w:eastAsia="仿宋" w:cs="仿宋"/>
                <w:i w:val="0"/>
                <w:iCs w:val="0"/>
                <w:caps w:val="0"/>
                <w:color w:val="auto"/>
                <w:spacing w:val="0"/>
                <w:kern w:val="2"/>
                <w:sz w:val="24"/>
                <w:szCs w:val="22"/>
                <w:highlight w:val="none"/>
                <w:lang w:val="en-US" w:eastAsia="zh-CN" w:bidi="ar"/>
              </w:rPr>
              <w:t>中心出具的产品《信息技术产品安全测试证书》。</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3、具备国家版权局颁发的含有“零信任”字样的《计算机软件著作权登记证书》。</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4、产品应提供国家密码管理局商用密码检测中心出具的含有“访问控制系统”字样，符合GM/T 0024标准或GM/T 0025标准要求，以及符合GM/T 0028《密码模块安全技术要求》第二级的《商用密码产品认证证书》。</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sz w:val="24"/>
                <w:szCs w:val="22"/>
                <w:highlight w:val="none"/>
                <w:lang w:val="en-US" w:eastAsia="zh-CN"/>
              </w:rPr>
              <w:t>5、</w:t>
            </w:r>
            <w:r>
              <w:rPr>
                <w:rFonts w:hint="eastAsia" w:ascii="仿宋" w:hAnsi="仿宋" w:eastAsia="仿宋" w:cs="仿宋"/>
                <w:sz w:val="24"/>
                <w:szCs w:val="22"/>
                <w:highlight w:val="none"/>
              </w:rPr>
              <w:t>沙箱准入策略：准入策略支持通过AND、OR的条件来嵌套配置准入条件及条件组。条件可配置项应包括但不限于：计算机名称、计算机MAC地址、计算机IP列表、域名称、计算机操作系统版本、计算机资产类型、计算机标签、系统安装的补丁、存在指定文件、运行进程、运行指定杀毒软件、运行任一杀毒软件、安装指定软件、零信任客户端版本、用户接入IP、用户接入国家、用户登录时间、用户接入城市、授信终端登录等。</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5.支持移动办公场景下的主流操作系统（含安卓、鸿蒙next、Windows、国产linux(麒麟、统信)等），需要同移动办公APP及统一身份认证进行集成对接，实现APP本身的数据加密、信息防泄漏、敏感行为操作审计、防截屏、禁止复制粘贴、全局水印等安全管控功能，实现多因子登录认证及数据全流程加密，保障工作信息在终端内的产生、传输、存储的全生命周期安全。</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6、可配置的增强认证涉及的异常场景包括但不限于：帐号首次登录、帐号在该终端首次登录、闲置帐号登录、弱密码登录、异常时间登录、非常用地点登录、异常地理位置等。</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7、支持设置授信终端绑定，支持配置绑定授信终端的可信网络区域（如境内、境外）、增强认证条件；并可限定用户可绑定的授信终端数量；支持配置一个账号绑定一个终端或绑定多个终端；支持用户自主绑定授信终端并设定不限于短信认证、令牌认证等。</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深信服、奇安信、指掌易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17</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移动设备管理平台</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p>
        </w:tc>
        <w:tc>
          <w:tcPr>
            <w:tcW w:w="4383" w:type="dxa"/>
            <w:vAlign w:val="center"/>
          </w:tcPr>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szCs w:val="22"/>
                <w:highlight w:val="none"/>
                <w:lang w:val="en-US" w:eastAsia="zh-CN"/>
              </w:rPr>
            </w:pPr>
            <w:r>
              <w:rPr>
                <w:rFonts w:hint="eastAsia" w:ascii="仿宋" w:hAnsi="仿宋" w:eastAsia="仿宋" w:cs="仿宋"/>
                <w:i w:val="0"/>
                <w:iCs w:val="0"/>
                <w:caps w:val="0"/>
                <w:color w:val="auto"/>
                <w:spacing w:val="0"/>
                <w:kern w:val="2"/>
                <w:sz w:val="24"/>
                <w:szCs w:val="22"/>
                <w:highlight w:val="none"/>
                <w:lang w:val="en-US" w:eastAsia="zh-CN" w:bidi="ar"/>
              </w:rPr>
              <w:t>能够对行内派发Pad终端设备进行集中化、全生命周期的管控，具体包括：强制实施安全策略（如复杂密码、外设禁用、USB接口限制等）、远程监控设备状态、应用黑白名单限制（自定义禁止安装/使用违规应用）、以及在外设丢失或员工离职时设备锁定、远程擦除敏感信息，并支持设备的合规监测，包括设备破解监测、SIM卡变更监测、系统版本监测、存储空间监测、设备失联监测等保障设备的安全合规使用。</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18</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保密自监管</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p>
        </w:tc>
        <w:tc>
          <w:tcPr>
            <w:tcW w:w="4383" w:type="dxa"/>
            <w:vAlign w:val="center"/>
          </w:tcPr>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产品需符合保密局技术标准（如已发布），对应用系统上传、导入、存储保密违规敏感数据时进行实时监测，支持数据采集与处理、组件管理与策略下发、智能分析与规则配置、事件处置与统计、数据接入与部署、符合安全保密产品要求。</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19</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密码产品</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p>
        </w:tc>
        <w:tc>
          <w:tcPr>
            <w:tcW w:w="4383" w:type="dxa"/>
            <w:vAlign w:val="center"/>
          </w:tcPr>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密码产品应具有《商用密码产品认证证书》，优先提供符合《密码模块安全技术要求》第二级要求的密码产品</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1.证书服务机构具有工信部颁发的《电子认证服务许可证》。</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2.移动办公平台所用HTTPS站点证书需使用通配符/多域名类型，且同时支持商用密码（国密）与国际密码双算法</w:t>
            </w:r>
          </w:p>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i w:val="0"/>
                <w:iCs w:val="0"/>
                <w:caps w:val="0"/>
                <w:color w:val="auto"/>
                <w:spacing w:val="0"/>
                <w:kern w:val="2"/>
                <w:sz w:val="24"/>
                <w:szCs w:val="22"/>
                <w:highlight w:val="none"/>
                <w:lang w:val="en-US" w:eastAsia="zh-CN" w:bidi="ar"/>
              </w:rPr>
            </w:pPr>
            <w:r>
              <w:rPr>
                <w:rFonts w:hint="eastAsia" w:ascii="仿宋" w:hAnsi="仿宋" w:eastAsia="仿宋" w:cs="仿宋"/>
                <w:i w:val="0"/>
                <w:iCs w:val="0"/>
                <w:caps w:val="0"/>
                <w:color w:val="auto"/>
                <w:spacing w:val="0"/>
                <w:kern w:val="2"/>
                <w:sz w:val="24"/>
                <w:szCs w:val="22"/>
                <w:highlight w:val="none"/>
                <w:lang w:val="en-US" w:eastAsia="zh-CN" w:bidi="ar"/>
              </w:rPr>
              <w:t>3.应使用工业和信息化部许可的CA机构数字证书签发产品及证书</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65"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20</w:t>
            </w:r>
          </w:p>
        </w:tc>
        <w:tc>
          <w:tcPr>
            <w:tcW w:w="1900"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产品集成要求</w:t>
            </w:r>
          </w:p>
        </w:tc>
        <w:tc>
          <w:tcPr>
            <w:tcW w:w="75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w:t>
            </w:r>
          </w:p>
        </w:tc>
        <w:tc>
          <w:tcPr>
            <w:tcW w:w="4383" w:type="dxa"/>
            <w:vAlign w:val="center"/>
          </w:tcPr>
          <w:p>
            <w:pPr>
              <w:pStyle w:val="13"/>
              <w:pageBreakBefore w:val="0"/>
              <w:numPr>
                <w:ilvl w:val="0"/>
                <w:numId w:val="0"/>
              </w:numPr>
              <w:kinsoku/>
              <w:overflowPunct/>
              <w:topLinePunct w:val="0"/>
              <w:bidi w:val="0"/>
              <w:snapToGrid w:val="0"/>
              <w:spacing w:line="240" w:lineRule="auto"/>
              <w:ind w:left="0" w:leftChars="0" w:right="0" w:rightChars="0" w:firstLine="0" w:firstLineChars="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szCs w:val="22"/>
                <w:highlight w:val="none"/>
                <w:lang w:val="en-US" w:eastAsia="zh-CN"/>
              </w:rPr>
              <w:t>若提供的应用产品、安全产品、密码产品无法满足等保、密评相关标准，或出现集成、兼容性适配性、以及产品质量问题，需无条件进行产品改造或产品替换直至满足要求。</w:t>
            </w:r>
          </w:p>
        </w:tc>
        <w:tc>
          <w:tcPr>
            <w:tcW w:w="1180" w:type="dxa"/>
            <w:vAlign w:val="center"/>
          </w:tcPr>
          <w:p>
            <w:pPr>
              <w:pStyle w:val="11"/>
              <w:pageBreakBefore w:val="0"/>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中软、中科软、泛微</w:t>
            </w:r>
          </w:p>
        </w:tc>
      </w:tr>
    </w:tbl>
    <w:p>
      <w:pPr>
        <w:pStyle w:val="18"/>
        <w:pageBreakBefore w:val="0"/>
        <w:kinsoku/>
        <w:overflowPunct/>
        <w:topLinePunct w:val="0"/>
        <w:bidi w:val="0"/>
        <w:adjustRightInd w:val="0"/>
        <w:spacing w:before="0" w:beforeLines="0" w:after="0" w:afterLines="0" w:line="560" w:lineRule="exact"/>
        <w:ind w:left="0" w:leftChars="0" w:firstLine="640" w:firstLineChars="200"/>
        <w:textAlignment w:val="baseline"/>
        <w:outlineLvl w:val="0"/>
        <w:rPr>
          <w:rFonts w:ascii="Times New Roman" w:hAnsi="黑体" w:eastAsia="黑体"/>
          <w:b w:val="0"/>
          <w:bCs w:val="0"/>
          <w:sz w:val="32"/>
          <w:highlight w:val="none"/>
        </w:rPr>
      </w:pPr>
      <w:bookmarkStart w:id="127" w:name="_Toc31058"/>
      <w:bookmarkStart w:id="128" w:name="_Toc13253"/>
      <w:bookmarkStart w:id="129" w:name="_Toc22237"/>
      <w:r>
        <w:rPr>
          <w:rFonts w:ascii="Times New Roman" w:hAnsi="黑体" w:eastAsia="黑体"/>
          <w:b w:val="0"/>
          <w:bCs w:val="0"/>
          <w:sz w:val="32"/>
          <w:highlight w:val="none"/>
        </w:rPr>
        <w:t>五、服务要求</w:t>
      </w:r>
      <w:bookmarkEnd w:id="127"/>
      <w:bookmarkEnd w:id="128"/>
      <w:bookmarkEnd w:id="129"/>
    </w:p>
    <w:p>
      <w:pPr>
        <w:pStyle w:val="7"/>
        <w:pageBreakBefore w:val="0"/>
        <w:widowControl w:val="0"/>
        <w:kinsoku/>
        <w:wordWrap/>
        <w:overflowPunct/>
        <w:topLinePunct w:val="0"/>
        <w:autoSpaceDE/>
        <w:autoSpaceDN/>
        <w:bidi w:val="0"/>
        <w:snapToGrid/>
        <w:spacing w:before="0" w:after="0" w:line="560" w:lineRule="exact"/>
        <w:ind w:left="0" w:leftChars="0" w:firstLine="643"/>
        <w:rPr>
          <w:rFonts w:hint="eastAsia" w:ascii="楷体" w:hAnsi="楷体" w:eastAsia="楷体" w:cs="楷体"/>
          <w:highlight w:val="none"/>
          <w:lang w:val="en-US" w:eastAsia="zh-CN"/>
        </w:rPr>
      </w:pPr>
      <w:r>
        <w:rPr>
          <w:rFonts w:hint="eastAsia" w:ascii="楷体" w:hAnsi="楷体" w:eastAsia="楷体" w:cs="楷体"/>
          <w:highlight w:val="none"/>
          <w:lang w:val="en-US" w:eastAsia="zh-CN"/>
        </w:rPr>
        <w:t>（一）移动办公平台-集成服务</w:t>
      </w:r>
    </w:p>
    <w:tbl>
      <w:tblPr>
        <w:tblStyle w:val="21"/>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1989"/>
        <w:gridCol w:w="726"/>
        <w:gridCol w:w="5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844" w:type="dxa"/>
            <w:shd w:val="clear" w:color="auto" w:fill="A4A4A4" w:themeFill="background1" w:themeFillShade="A5"/>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2"/>
                <w:szCs w:val="22"/>
                <w:highlight w:val="none"/>
              </w:rPr>
            </w:pPr>
            <w:r>
              <w:rPr>
                <w:rFonts w:hint="eastAsia" w:ascii="仿宋" w:hAnsi="仿宋" w:eastAsia="仿宋" w:cs="仿宋"/>
                <w:b/>
                <w:bCs/>
                <w:sz w:val="22"/>
                <w:szCs w:val="22"/>
                <w:highlight w:val="none"/>
              </w:rPr>
              <w:t>序号</w:t>
            </w:r>
          </w:p>
        </w:tc>
        <w:tc>
          <w:tcPr>
            <w:tcW w:w="1989" w:type="dxa"/>
            <w:shd w:val="clear" w:color="auto" w:fill="A4A4A4" w:themeFill="background1" w:themeFillShade="A5"/>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2"/>
                <w:szCs w:val="22"/>
                <w:highlight w:val="none"/>
              </w:rPr>
            </w:pPr>
            <w:r>
              <w:rPr>
                <w:rFonts w:hint="eastAsia" w:ascii="仿宋" w:hAnsi="仿宋" w:eastAsia="仿宋" w:cs="仿宋"/>
                <w:b/>
                <w:bCs/>
                <w:sz w:val="22"/>
                <w:szCs w:val="22"/>
                <w:highlight w:val="none"/>
              </w:rPr>
              <w:t>服务要求项目</w:t>
            </w:r>
          </w:p>
        </w:tc>
        <w:tc>
          <w:tcPr>
            <w:tcW w:w="726" w:type="dxa"/>
            <w:shd w:val="clear" w:color="auto" w:fill="A4A4A4" w:themeFill="background1" w:themeFillShade="A5"/>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2"/>
                <w:szCs w:val="22"/>
                <w:highlight w:val="none"/>
              </w:rPr>
            </w:pPr>
            <w:r>
              <w:rPr>
                <w:rFonts w:hint="eastAsia" w:ascii="仿宋" w:hAnsi="仿宋" w:eastAsia="仿宋" w:cs="仿宋"/>
                <w:b/>
                <w:bCs/>
                <w:sz w:val="22"/>
                <w:szCs w:val="22"/>
                <w:highlight w:val="none"/>
              </w:rPr>
              <w:t>重要性</w:t>
            </w:r>
          </w:p>
        </w:tc>
        <w:tc>
          <w:tcPr>
            <w:tcW w:w="5525" w:type="dxa"/>
            <w:shd w:val="clear" w:color="auto" w:fill="A4A4A4" w:themeFill="background1" w:themeFillShade="A5"/>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2"/>
                <w:szCs w:val="22"/>
                <w:highlight w:val="none"/>
              </w:rPr>
            </w:pPr>
            <w:r>
              <w:rPr>
                <w:rFonts w:hint="eastAsia" w:ascii="仿宋" w:hAnsi="仿宋" w:eastAsia="仿宋" w:cs="仿宋"/>
                <w:b/>
                <w:bCs/>
                <w:sz w:val="22"/>
                <w:szCs w:val="22"/>
                <w:highlight w:val="none"/>
              </w:rPr>
              <w:t>服务要求标准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44"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1</w:t>
            </w:r>
          </w:p>
        </w:tc>
        <w:tc>
          <w:tcPr>
            <w:tcW w:w="1989"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知识产权要求</w:t>
            </w:r>
          </w:p>
        </w:tc>
        <w:tc>
          <w:tcPr>
            <w:tcW w:w="72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w:t>
            </w:r>
          </w:p>
        </w:tc>
        <w:tc>
          <w:tcPr>
            <w:tcW w:w="5525" w:type="dxa"/>
            <w:vAlign w:val="center"/>
          </w:tcPr>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供应商须对产品拥有完全的知识产权；使用非自身产品的，必须有原厂商或授权经销商对该产品的授权，或者有原厂商对本项目的书面授权。（第三方授权有关信息应明确告知，包括被授权产品名称，授权方式，授权期限、授权费等）</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应确保甲方享有对核心产品软件系统拥有永久的、不可撤销的、不可转让的修改权、复制权及其他使用权，以及对客户化软件及核心产品软件系统中客户化部分的全部知识产权。为实现上述目的，供应商应向甲方提供承诺书（格式自拟并加盖公章），承诺包含此项目程序及全部源代码，包括但不限于：</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rPr>
              <w:t>1.提供客户化软件及核心产品软件</w:t>
            </w:r>
            <w:r>
              <w:rPr>
                <w:rFonts w:hint="eastAsia" w:ascii="仿宋" w:hAnsi="仿宋" w:eastAsia="仿宋" w:cs="仿宋"/>
                <w:sz w:val="22"/>
                <w:szCs w:val="22"/>
                <w:highlight w:val="none"/>
                <w:lang w:val="en-US" w:eastAsia="zh-CN"/>
              </w:rPr>
              <w:t>系统</w:t>
            </w:r>
            <w:r>
              <w:rPr>
                <w:rFonts w:hint="eastAsia" w:ascii="仿宋" w:hAnsi="仿宋" w:eastAsia="仿宋" w:cs="仿宋"/>
                <w:sz w:val="22"/>
                <w:szCs w:val="22"/>
                <w:highlight w:val="none"/>
              </w:rPr>
              <w:t>中客户化部分的目标程序及全部源代码；</w:t>
            </w:r>
            <w:r>
              <w:rPr>
                <w:rFonts w:hint="eastAsia" w:ascii="仿宋" w:hAnsi="仿宋" w:eastAsia="仿宋" w:cs="仿宋"/>
                <w:sz w:val="22"/>
                <w:szCs w:val="22"/>
                <w:highlight w:val="none"/>
                <w:lang w:val="en-US" w:eastAsia="zh-CN"/>
              </w:rPr>
              <w:t>提供核心产品软件的目标程序。</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highlight w:val="none"/>
                <w:lang w:val="en-US"/>
              </w:rPr>
            </w:pPr>
            <w:r>
              <w:rPr>
                <w:rFonts w:hint="eastAsia" w:ascii="仿宋" w:hAnsi="仿宋" w:eastAsia="仿宋" w:cs="仿宋"/>
                <w:sz w:val="22"/>
                <w:szCs w:val="22"/>
                <w:highlight w:val="none"/>
                <w:lang w:val="en-US" w:eastAsia="zh-CN"/>
              </w:rPr>
              <w:t>2.提供移动办公APP及服务端、统一身份认证产品目标程序及全部源代码（可签订保密协议）、开发接口及操作文档等资料;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44"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2</w:t>
            </w:r>
          </w:p>
        </w:tc>
        <w:tc>
          <w:tcPr>
            <w:tcW w:w="1989"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总体要求</w:t>
            </w:r>
          </w:p>
        </w:tc>
        <w:tc>
          <w:tcPr>
            <w:tcW w:w="72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2"/>
                <w:szCs w:val="22"/>
                <w:highlight w:val="none"/>
              </w:rPr>
            </w:pPr>
          </w:p>
        </w:tc>
        <w:tc>
          <w:tcPr>
            <w:tcW w:w="5525"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针对甲方业务特点阐述系统实施方法论，并结合方法论，描述完整、可行的系统实施方案，包括但不限于项目管理、需求确认、系统设计、系统开发、系统测试、系统切换、系统推广等方案，以及试运行策略。</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要求完成项目实施、测试及系统投产工作，并阐述系统的项目实施方案、测试方案、系统投产方案，对于其中甲方有模板要求的交付件，应使用要求的模板进行编写。</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阐述项目实施的组织架构（其中应包含甲方人员），并描述实施预期的时间进度表，提供具有明确里程碑的项目实施计划。</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要求提供初步的验收测试计划以及充分的验收标准，并提供系统集成测试和投产测试的测试方案、测试案例和测试工具。</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厂商在本项目实施过程中，须服从甲方项目管理机构的管理。</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要求厂商提供本项目中所有交付物清单（包括但不限于项目文档、产品技术文档、用户手册和系统管理手册）。</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阐述在本项目中，厂商对产品源代码和数据结构的开放策略及手段，并描述对项目实施过程中各种交付物（包括客户化源代码、客户化数据结构等）的知识产权方面的承诺。</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阐述核心源代码策略和建议。如，是否可以为甲方进行特别修改；特别修改的核心源代码的版本管理方法；核心源代码升级方案等。</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阐述系统故障应急预案，确保系统在突发状况后能够及时发现，补救，恢复。</w:t>
            </w:r>
          </w:p>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如有涉及第三方产品及服务，阐述相关产品及服务内容，报价及后期维护方式和费用。</w:t>
            </w:r>
          </w:p>
          <w:p>
            <w:pPr>
              <w:pStyle w:val="8"/>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在技术方案评审阶段，</w:t>
            </w:r>
            <w:r>
              <w:rPr>
                <w:rFonts w:hint="eastAsia" w:ascii="仿宋" w:hAnsi="仿宋" w:eastAsia="仿宋" w:cs="仿宋"/>
                <w:sz w:val="22"/>
                <w:szCs w:val="22"/>
                <w:highlight w:val="none"/>
                <w:lang w:val="en-US" w:eastAsia="zh-CN"/>
              </w:rPr>
              <w:t>按照我行要求设计、编写技术方案并通过评审</w:t>
            </w:r>
            <w:r>
              <w:rPr>
                <w:rFonts w:hint="eastAsia" w:ascii="仿宋" w:hAnsi="仿宋" w:eastAsia="仿宋" w:cs="仿宋"/>
                <w:sz w:val="22"/>
                <w:szCs w:val="22"/>
                <w:highlight w:val="none"/>
              </w:rPr>
              <w:t>，如涉及开源软件引入和使用的，应按照我行要求开展引入评审和使用备案后方可使用。提供后续对开源软件的维护及升级支持，纳入维保范围。</w:t>
            </w:r>
          </w:p>
          <w:p>
            <w:pPr>
              <w:pStyle w:val="8"/>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项目所涉及系统模块的新建及升级改造应遵循我行企业级架构原则进行系统设计，制定系统架构方案。包括但不限于按照我行联机、批量、消息等接口标准与行内系统进行交互；</w:t>
            </w:r>
            <w:r>
              <w:rPr>
                <w:rFonts w:hint="eastAsia" w:ascii="仿宋" w:hAnsi="仿宋" w:eastAsia="仿宋" w:cs="仿宋"/>
                <w:sz w:val="22"/>
                <w:szCs w:val="22"/>
                <w:highlight w:val="none"/>
                <w:lang w:val="en-US" w:eastAsia="zh-CN"/>
              </w:rPr>
              <w:t>支持</w:t>
            </w:r>
            <w:r>
              <w:rPr>
                <w:rFonts w:hint="eastAsia" w:ascii="仿宋" w:hAnsi="仿宋" w:eastAsia="仿宋" w:cs="仿宋"/>
                <w:sz w:val="22"/>
                <w:szCs w:val="22"/>
                <w:highlight w:val="none"/>
              </w:rPr>
              <w:t>内部应用实现单点登录功能；Web页面应基于chrome内核浏览器进行开发等。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44"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3</w:t>
            </w:r>
          </w:p>
        </w:tc>
        <w:tc>
          <w:tcPr>
            <w:tcW w:w="1989"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项目实施要求</w:t>
            </w:r>
          </w:p>
        </w:tc>
        <w:tc>
          <w:tcPr>
            <w:tcW w:w="72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2"/>
                <w:szCs w:val="22"/>
                <w:highlight w:val="none"/>
              </w:rPr>
            </w:pPr>
          </w:p>
        </w:tc>
        <w:tc>
          <w:tcPr>
            <w:tcW w:w="5525" w:type="dxa"/>
            <w:vAlign w:val="center"/>
          </w:tcPr>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以下列出了本项目实施过程中重要的实施任务，供应商应承诺完成所有实施任务，并遵守其中相关约定。相关要求参照项目工作说明书。</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30" w:name="_Toc231904909"/>
            <w:bookmarkStart w:id="131" w:name="_Toc57912814"/>
            <w:bookmarkStart w:id="132" w:name="_Toc464052526"/>
            <w:bookmarkStart w:id="133" w:name="_Toc187118670"/>
            <w:r>
              <w:rPr>
                <w:rFonts w:hint="eastAsia" w:ascii="仿宋" w:hAnsi="仿宋" w:eastAsia="仿宋" w:cs="仿宋"/>
                <w:sz w:val="22"/>
                <w:szCs w:val="22"/>
                <w:highlight w:val="none"/>
              </w:rPr>
              <w:t>（一）项目管理</w:t>
            </w:r>
            <w:bookmarkEnd w:id="130"/>
            <w:bookmarkEnd w:id="131"/>
            <w:bookmarkEnd w:id="132"/>
            <w:bookmarkEnd w:id="133"/>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负责制定项目主计划，并按照甲方的要求进行必要的调整。监督和控制项目进度。</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负责管理安排项目资源。</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负责管理分包商/供应商（如适用）在项目的各项任务执行、人力资源、相互工作配合与交付承诺。</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负责管理项目范围和需求变更，并协调变更要求的签署。</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负责实施项目配置和交付管理以及项目质量管理。</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负责项目问题管理和项目风险管理。</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负责与甲方进行沟通并按照要求进行工作报告。</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34" w:name="_Toc231904910"/>
            <w:bookmarkStart w:id="135" w:name="_Toc57912815"/>
            <w:bookmarkStart w:id="136" w:name="_Toc187118671"/>
            <w:bookmarkStart w:id="137" w:name="_Toc464052527"/>
            <w:r>
              <w:rPr>
                <w:rFonts w:hint="eastAsia" w:ascii="仿宋" w:hAnsi="仿宋" w:eastAsia="仿宋" w:cs="仿宋"/>
                <w:sz w:val="22"/>
                <w:szCs w:val="22"/>
                <w:highlight w:val="none"/>
              </w:rPr>
              <w:t>（二）需求分析</w:t>
            </w:r>
            <w:bookmarkEnd w:id="134"/>
            <w:bookmarkEnd w:id="135"/>
            <w:bookmarkEnd w:id="136"/>
            <w:bookmarkEnd w:id="137"/>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协调资源，组织需求分析、澄清工作。</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负责需求分析、澄清，编写需求规格说明书。</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负责编写非功能需求说明书。</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编写技术方案，包括是否新建系统、主牵头实施系统、配合实施系统、各系统实施功能、系统</w:t>
            </w:r>
            <w:r>
              <w:rPr>
                <w:rFonts w:hint="eastAsia" w:ascii="仿宋" w:hAnsi="仿宋" w:eastAsia="仿宋" w:cs="仿宋"/>
                <w:sz w:val="22"/>
                <w:szCs w:val="22"/>
                <w:highlight w:val="none"/>
                <w:lang w:val="en-US" w:eastAsia="zh-CN"/>
              </w:rPr>
              <w:t>集成、系统部署、基础设施需求</w:t>
            </w:r>
            <w:r>
              <w:rPr>
                <w:rFonts w:hint="eastAsia" w:ascii="仿宋" w:hAnsi="仿宋" w:eastAsia="仿宋" w:cs="仿宋"/>
                <w:sz w:val="22"/>
                <w:szCs w:val="22"/>
                <w:highlight w:val="none"/>
              </w:rPr>
              <w:t>、实施周期等</w:t>
            </w:r>
            <w:r>
              <w:rPr>
                <w:rFonts w:hint="eastAsia" w:ascii="仿宋" w:hAnsi="仿宋" w:eastAsia="仿宋" w:cs="仿宋"/>
                <w:sz w:val="22"/>
                <w:szCs w:val="22"/>
                <w:highlight w:val="none"/>
                <w:lang w:val="en-US" w:eastAsia="zh-CN"/>
              </w:rPr>
              <w:t>的</w:t>
            </w:r>
            <w:r>
              <w:rPr>
                <w:rFonts w:hint="eastAsia" w:ascii="仿宋" w:hAnsi="仿宋" w:eastAsia="仿宋" w:cs="仿宋"/>
                <w:sz w:val="22"/>
                <w:szCs w:val="22"/>
                <w:highlight w:val="none"/>
              </w:rPr>
              <w:t>技术方案。</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38" w:name="_Toc57912816"/>
            <w:bookmarkStart w:id="139" w:name="_Toc231904911"/>
            <w:bookmarkStart w:id="140" w:name="_Toc187118672"/>
            <w:bookmarkStart w:id="141" w:name="_Toc464052528"/>
            <w:r>
              <w:rPr>
                <w:rFonts w:hint="eastAsia" w:ascii="仿宋" w:hAnsi="仿宋" w:eastAsia="仿宋" w:cs="仿宋"/>
                <w:sz w:val="22"/>
                <w:szCs w:val="22"/>
                <w:highlight w:val="none"/>
              </w:rPr>
              <w:t>（三）设计</w:t>
            </w:r>
            <w:bookmarkEnd w:id="138"/>
            <w:bookmarkEnd w:id="139"/>
            <w:bookmarkEnd w:id="140"/>
            <w:bookmarkEnd w:id="141"/>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实施前提交技术方案，审核通过后再进行系统开发。</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提交生产环境、灾备环境和测试环境的资源部署方案。</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负责编写功能需求规格说明书。</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负责概要设计，形成《概要设计说明书》。</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负责详细设计，形成《详细设计说明书》（含数据库设计）。</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提供系统服务清单以及与其他系统服务间调用关系</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lang w:val="en-US" w:eastAsia="zh-CN"/>
              </w:rPr>
              <w:t>如涉及</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rPr>
              <w:t>。</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负责提供联机交易《接口规格说明书》</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lang w:val="en-US" w:eastAsia="zh-CN"/>
              </w:rPr>
              <w:t>如涉及</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rPr>
              <w:t>。</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提供应用系统部署架构，如涉及应用架构、数据架构、安全架构等IT架构调整，配合开展架构审核工作。</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负责制定项目软硬件、网络等技术架构方案，负责设计网络结构、设计硬件和主机系统结构、设计数据库结构、设计存储结构、设计备份和灾难恢复结构。</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42" w:name="_Toc57912817"/>
            <w:bookmarkStart w:id="143" w:name="_Toc231904912"/>
            <w:bookmarkStart w:id="144" w:name="_Toc464052529"/>
            <w:bookmarkStart w:id="145" w:name="_Toc187118673"/>
            <w:r>
              <w:rPr>
                <w:rFonts w:hint="eastAsia" w:ascii="仿宋" w:hAnsi="仿宋" w:eastAsia="仿宋" w:cs="仿宋"/>
                <w:sz w:val="22"/>
                <w:szCs w:val="22"/>
                <w:highlight w:val="none"/>
              </w:rPr>
              <w:t>（四）</w:t>
            </w:r>
            <w:bookmarkEnd w:id="142"/>
            <w:bookmarkEnd w:id="143"/>
            <w:bookmarkEnd w:id="144"/>
            <w:bookmarkEnd w:id="145"/>
            <w:r>
              <w:rPr>
                <w:rFonts w:hint="eastAsia" w:ascii="仿宋" w:hAnsi="仿宋" w:eastAsia="仿宋" w:cs="仿宋"/>
                <w:sz w:val="22"/>
                <w:szCs w:val="22"/>
                <w:highlight w:val="none"/>
              </w:rPr>
              <w:t>开发</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负责搭建系统开发环境。</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负责完成系统编码开发、系统内</w:t>
            </w:r>
            <w:r>
              <w:rPr>
                <w:rFonts w:hint="eastAsia" w:ascii="仿宋" w:hAnsi="仿宋" w:eastAsia="仿宋" w:cs="仿宋"/>
                <w:sz w:val="22"/>
                <w:szCs w:val="22"/>
                <w:highlight w:val="none"/>
                <w:lang w:val="en-US" w:eastAsia="zh-CN"/>
              </w:rPr>
              <w:t>集成</w:t>
            </w:r>
            <w:r>
              <w:rPr>
                <w:rFonts w:hint="eastAsia" w:ascii="仿宋" w:hAnsi="仿宋" w:eastAsia="仿宋" w:cs="仿宋"/>
                <w:sz w:val="22"/>
                <w:szCs w:val="22"/>
                <w:highlight w:val="none"/>
              </w:rPr>
              <w:t>测试。</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46" w:name="_Toc231904913"/>
            <w:bookmarkStart w:id="147" w:name="_Toc57912818"/>
            <w:bookmarkStart w:id="148" w:name="_Toc464052530"/>
            <w:bookmarkStart w:id="149" w:name="_Toc187118674"/>
            <w:r>
              <w:rPr>
                <w:rFonts w:hint="eastAsia" w:ascii="仿宋" w:hAnsi="仿宋" w:eastAsia="仿宋" w:cs="仿宋"/>
                <w:sz w:val="22"/>
                <w:szCs w:val="22"/>
                <w:highlight w:val="none"/>
              </w:rPr>
              <w:t>（五）</w:t>
            </w:r>
            <w:bookmarkEnd w:id="146"/>
            <w:bookmarkEnd w:id="147"/>
            <w:bookmarkEnd w:id="148"/>
            <w:bookmarkEnd w:id="149"/>
            <w:r>
              <w:rPr>
                <w:rFonts w:hint="eastAsia" w:ascii="仿宋" w:hAnsi="仿宋" w:eastAsia="仿宋" w:cs="仿宋"/>
                <w:sz w:val="22"/>
                <w:szCs w:val="22"/>
                <w:highlight w:val="none"/>
              </w:rPr>
              <w:t>测试</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负责制定测试方案、测试计划。</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w:t>
            </w:r>
            <w:r>
              <w:rPr>
                <w:rFonts w:hint="eastAsia" w:ascii="仿宋" w:hAnsi="仿宋" w:eastAsia="仿宋" w:cs="仿宋"/>
                <w:sz w:val="22"/>
                <w:szCs w:val="22"/>
                <w:highlight w:val="none"/>
                <w:lang w:val="en-US" w:eastAsia="zh-CN"/>
              </w:rPr>
              <w:t>系统间集成</w:t>
            </w:r>
            <w:r>
              <w:rPr>
                <w:rFonts w:hint="eastAsia" w:ascii="仿宋" w:hAnsi="仿宋" w:eastAsia="仿宋" w:cs="仿宋"/>
                <w:sz w:val="22"/>
                <w:szCs w:val="22"/>
                <w:highlight w:val="none"/>
              </w:rPr>
              <w:t>测试</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lang w:val="en-US" w:eastAsia="zh-CN"/>
              </w:rPr>
              <w:t>SIT</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rPr>
              <w:t>。</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负责在外部测试/联调环境不具备的情况下编写并提供必要的挡板模拟程序用于全流程测试。</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负责组织编写《</w:t>
            </w:r>
            <w:r>
              <w:rPr>
                <w:rFonts w:hint="eastAsia" w:ascii="仿宋" w:hAnsi="仿宋" w:eastAsia="仿宋" w:cs="仿宋"/>
                <w:sz w:val="22"/>
                <w:szCs w:val="22"/>
                <w:highlight w:val="none"/>
                <w:lang w:val="en-US" w:eastAsia="zh-CN"/>
              </w:rPr>
              <w:t>系统间集成</w:t>
            </w:r>
            <w:r>
              <w:rPr>
                <w:rFonts w:hint="eastAsia" w:ascii="仿宋" w:hAnsi="仿宋" w:eastAsia="仿宋" w:cs="仿宋"/>
                <w:sz w:val="22"/>
                <w:szCs w:val="22"/>
                <w:highlight w:val="none"/>
              </w:rPr>
              <w:t>测试案例》。</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负责执行</w:t>
            </w:r>
            <w:r>
              <w:rPr>
                <w:rFonts w:hint="eastAsia" w:ascii="仿宋" w:hAnsi="仿宋" w:eastAsia="仿宋" w:cs="仿宋"/>
                <w:sz w:val="22"/>
                <w:szCs w:val="22"/>
                <w:highlight w:val="none"/>
                <w:lang w:val="en-US" w:eastAsia="zh-CN"/>
              </w:rPr>
              <w:t>系统间集成</w:t>
            </w:r>
            <w:r>
              <w:rPr>
                <w:rFonts w:hint="eastAsia" w:ascii="仿宋" w:hAnsi="仿宋" w:eastAsia="仿宋" w:cs="仿宋"/>
                <w:sz w:val="22"/>
                <w:szCs w:val="22"/>
                <w:highlight w:val="none"/>
              </w:rPr>
              <w:t>测试整体过程管理，组织甲方IT系统根据《</w:t>
            </w:r>
            <w:r>
              <w:rPr>
                <w:rFonts w:hint="eastAsia" w:ascii="仿宋" w:hAnsi="仿宋" w:eastAsia="仿宋" w:cs="仿宋"/>
                <w:sz w:val="22"/>
                <w:szCs w:val="22"/>
                <w:highlight w:val="none"/>
                <w:lang w:val="en-US" w:eastAsia="zh-CN"/>
              </w:rPr>
              <w:t>系统间集成</w:t>
            </w:r>
            <w:r>
              <w:rPr>
                <w:rFonts w:hint="eastAsia" w:ascii="仿宋" w:hAnsi="仿宋" w:eastAsia="仿宋" w:cs="仿宋"/>
                <w:sz w:val="22"/>
                <w:szCs w:val="22"/>
                <w:highlight w:val="none"/>
              </w:rPr>
              <w:t>测试案例》执行测试，推进问题解决，修复系统测试缺陷，记录测试结果。</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负责完成移动办公平台及关联系统（具体系统由双方在实施过程中协商确定）在测试环境的应用版本部署，并完成系统的测试数据初始化，提出移动办公平台与关联系统的</w:t>
            </w:r>
            <w:r>
              <w:rPr>
                <w:rFonts w:hint="eastAsia" w:ascii="仿宋" w:hAnsi="仿宋" w:eastAsia="仿宋" w:cs="仿宋"/>
                <w:sz w:val="22"/>
                <w:szCs w:val="22"/>
                <w:highlight w:val="none"/>
                <w:lang w:val="en-US" w:eastAsia="zh-CN"/>
              </w:rPr>
              <w:t>系统间集成</w:t>
            </w:r>
            <w:r>
              <w:rPr>
                <w:rFonts w:hint="eastAsia" w:ascii="仿宋" w:hAnsi="仿宋" w:eastAsia="仿宋" w:cs="仿宋"/>
                <w:sz w:val="22"/>
                <w:szCs w:val="22"/>
                <w:highlight w:val="none"/>
              </w:rPr>
              <w:t>测试中对关联系统的数据需求。</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形成《</w:t>
            </w:r>
            <w:r>
              <w:rPr>
                <w:rFonts w:hint="eastAsia" w:ascii="仿宋" w:hAnsi="仿宋" w:eastAsia="仿宋" w:cs="仿宋"/>
                <w:sz w:val="22"/>
                <w:szCs w:val="22"/>
                <w:highlight w:val="none"/>
                <w:lang w:val="en-US" w:eastAsia="zh-CN"/>
              </w:rPr>
              <w:t>系统间集成</w:t>
            </w:r>
            <w:r>
              <w:rPr>
                <w:rFonts w:hint="eastAsia" w:ascii="仿宋" w:hAnsi="仿宋" w:eastAsia="仿宋" w:cs="仿宋"/>
                <w:sz w:val="22"/>
                <w:szCs w:val="22"/>
                <w:highlight w:val="none"/>
              </w:rPr>
              <w:t>测试报告》，含测试结论。</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负责移动办公平台</w:t>
            </w:r>
            <w:r>
              <w:rPr>
                <w:rFonts w:hint="eastAsia" w:ascii="仿宋" w:hAnsi="仿宋" w:eastAsia="仿宋" w:cs="仿宋"/>
                <w:sz w:val="22"/>
                <w:szCs w:val="22"/>
                <w:highlight w:val="none"/>
                <w:lang w:val="en-US" w:eastAsia="zh-CN"/>
              </w:rPr>
              <w:t>新建系统</w:t>
            </w:r>
            <w:r>
              <w:rPr>
                <w:rFonts w:hint="eastAsia" w:ascii="仿宋" w:hAnsi="仿宋" w:eastAsia="仿宋" w:cs="仿宋"/>
                <w:sz w:val="22"/>
                <w:szCs w:val="22"/>
                <w:highlight w:val="none"/>
              </w:rPr>
              <w:t>的代码安全扫描。</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负责移动办公平台</w:t>
            </w:r>
            <w:r>
              <w:rPr>
                <w:rFonts w:hint="eastAsia" w:ascii="仿宋" w:hAnsi="仿宋" w:eastAsia="仿宋" w:cs="仿宋"/>
                <w:sz w:val="22"/>
                <w:szCs w:val="22"/>
                <w:highlight w:val="none"/>
                <w:lang w:val="en-US" w:eastAsia="zh-CN"/>
              </w:rPr>
              <w:t>新建系统</w:t>
            </w:r>
            <w:r>
              <w:rPr>
                <w:rFonts w:hint="eastAsia" w:ascii="仿宋" w:hAnsi="仿宋" w:eastAsia="仿宋" w:cs="仿宋"/>
                <w:sz w:val="22"/>
                <w:szCs w:val="22"/>
                <w:highlight w:val="none"/>
              </w:rPr>
              <w:t>的应用渗透性测试。</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highlight w:val="none"/>
                <w:lang w:val="en-US" w:eastAsia="zh-CN"/>
              </w:rPr>
            </w:pPr>
            <w:r>
              <w:rPr>
                <w:rFonts w:hint="eastAsia" w:ascii="仿宋" w:hAnsi="仿宋" w:eastAsia="仿宋" w:cs="仿宋"/>
                <w:sz w:val="22"/>
                <w:szCs w:val="22"/>
                <w:highlight w:val="none"/>
              </w:rPr>
              <w:t>负责交付包含代码安全扫描和应用渗透性测试结果的移动办公平台</w:t>
            </w:r>
            <w:r>
              <w:rPr>
                <w:rFonts w:hint="eastAsia" w:ascii="仿宋" w:hAnsi="仿宋" w:eastAsia="仿宋" w:cs="仿宋"/>
                <w:sz w:val="22"/>
                <w:szCs w:val="22"/>
                <w:highlight w:val="none"/>
                <w:lang w:val="en-US" w:eastAsia="zh-CN"/>
              </w:rPr>
              <w:t>新建系统的</w:t>
            </w:r>
            <w:r>
              <w:rPr>
                <w:rFonts w:hint="eastAsia" w:ascii="仿宋" w:hAnsi="仿宋" w:eastAsia="仿宋" w:cs="仿宋"/>
                <w:sz w:val="22"/>
                <w:szCs w:val="22"/>
                <w:highlight w:val="none"/>
              </w:rPr>
              <w:t>《安全测试报告》，含测试结论。</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w:t>
            </w:r>
            <w:r>
              <w:rPr>
                <w:rFonts w:hint="eastAsia" w:ascii="仿宋" w:hAnsi="仿宋" w:eastAsia="仿宋" w:cs="仿宋"/>
                <w:sz w:val="22"/>
                <w:szCs w:val="22"/>
                <w:highlight w:val="none"/>
                <w:lang w:val="en-US" w:eastAsia="zh-CN"/>
              </w:rPr>
              <w:t>开展性能</w:t>
            </w:r>
            <w:r>
              <w:rPr>
                <w:rFonts w:hint="eastAsia" w:ascii="仿宋" w:hAnsi="仿宋" w:eastAsia="仿宋" w:cs="仿宋"/>
                <w:sz w:val="22"/>
                <w:szCs w:val="22"/>
                <w:highlight w:val="none"/>
              </w:rPr>
              <w:t>测试，</w:t>
            </w:r>
            <w:r>
              <w:rPr>
                <w:rFonts w:hint="eastAsia" w:ascii="仿宋" w:hAnsi="仿宋" w:eastAsia="仿宋" w:cs="仿宋"/>
                <w:sz w:val="22"/>
                <w:szCs w:val="22"/>
                <w:highlight w:val="none"/>
                <w:lang w:val="en-US" w:eastAsia="zh-CN"/>
              </w:rPr>
              <w:t>满足新建系统的性能需求</w:t>
            </w:r>
            <w:r>
              <w:rPr>
                <w:rFonts w:hint="eastAsia" w:ascii="仿宋" w:hAnsi="仿宋" w:eastAsia="仿宋" w:cs="仿宋"/>
                <w:sz w:val="22"/>
                <w:szCs w:val="22"/>
                <w:highlight w:val="none"/>
              </w:rPr>
              <w:t>。</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负责交付移动办公平台</w:t>
            </w:r>
            <w:r>
              <w:rPr>
                <w:rFonts w:hint="eastAsia" w:ascii="仿宋" w:hAnsi="仿宋" w:eastAsia="仿宋" w:cs="仿宋"/>
                <w:sz w:val="22"/>
                <w:szCs w:val="22"/>
                <w:highlight w:val="none"/>
                <w:lang w:val="en-US" w:eastAsia="zh-CN"/>
              </w:rPr>
              <w:t>新建系统的</w:t>
            </w:r>
            <w:r>
              <w:rPr>
                <w:rFonts w:hint="eastAsia" w:ascii="仿宋" w:hAnsi="仿宋" w:eastAsia="仿宋" w:cs="仿宋"/>
                <w:sz w:val="22"/>
                <w:szCs w:val="22"/>
                <w:highlight w:val="none"/>
              </w:rPr>
              <w:t>《</w:t>
            </w:r>
            <w:r>
              <w:rPr>
                <w:rFonts w:hint="eastAsia" w:ascii="仿宋" w:hAnsi="仿宋" w:eastAsia="仿宋" w:cs="仿宋"/>
                <w:sz w:val="22"/>
                <w:szCs w:val="22"/>
                <w:highlight w:val="none"/>
                <w:lang w:val="en-US" w:eastAsia="zh-CN"/>
              </w:rPr>
              <w:t>性能</w:t>
            </w:r>
            <w:r>
              <w:rPr>
                <w:rFonts w:hint="eastAsia" w:ascii="仿宋" w:hAnsi="仿宋" w:eastAsia="仿宋" w:cs="仿宋"/>
                <w:sz w:val="22"/>
                <w:szCs w:val="22"/>
                <w:highlight w:val="none"/>
              </w:rPr>
              <w:t>测试报告》，含测试结论。</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rPr>
              <w:t>在用户接收测试阶段配合甲方开展独立的</w:t>
            </w:r>
            <w:r>
              <w:rPr>
                <w:rFonts w:hint="eastAsia" w:ascii="仿宋" w:hAnsi="仿宋" w:eastAsia="仿宋" w:cs="仿宋"/>
                <w:sz w:val="22"/>
                <w:szCs w:val="22"/>
                <w:highlight w:val="none"/>
                <w:lang w:val="en-US" w:eastAsia="zh-CN"/>
              </w:rPr>
              <w:t>性能</w:t>
            </w:r>
            <w:r>
              <w:rPr>
                <w:rFonts w:hint="eastAsia" w:ascii="仿宋" w:hAnsi="仿宋" w:eastAsia="仿宋" w:cs="仿宋"/>
                <w:sz w:val="22"/>
                <w:szCs w:val="22"/>
                <w:highlight w:val="none"/>
              </w:rPr>
              <w:t>测试和安全测试的结果验证工作</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lang w:val="en-US" w:eastAsia="zh-CN"/>
              </w:rPr>
              <w:t>开源组件扫描并配合整改。</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提供覆盖移动办公平台业务需求范围的用户接收测试参考案例，协助甲方编写用户接收测试案例。</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支持用户接收测试，协助执行过程管理，推进问题解决，修复用户接收测试缺陷。</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50" w:name="_Toc57912819"/>
            <w:bookmarkStart w:id="151" w:name="_Toc464052531"/>
            <w:bookmarkStart w:id="152" w:name="_Toc231904914"/>
            <w:bookmarkStart w:id="153" w:name="_Toc187118675"/>
            <w:r>
              <w:rPr>
                <w:rFonts w:hint="eastAsia" w:ascii="仿宋" w:hAnsi="仿宋" w:eastAsia="仿宋" w:cs="仿宋"/>
                <w:sz w:val="22"/>
                <w:szCs w:val="22"/>
                <w:highlight w:val="none"/>
              </w:rPr>
              <w:t>（六）</w:t>
            </w:r>
            <w:bookmarkEnd w:id="150"/>
            <w:bookmarkEnd w:id="151"/>
            <w:bookmarkEnd w:id="152"/>
            <w:bookmarkEnd w:id="153"/>
            <w:r>
              <w:rPr>
                <w:rFonts w:hint="eastAsia" w:ascii="仿宋" w:hAnsi="仿宋" w:eastAsia="仿宋" w:cs="仿宋"/>
                <w:sz w:val="22"/>
                <w:szCs w:val="22"/>
                <w:highlight w:val="none"/>
              </w:rPr>
              <w:t>数据迁移（如涉及）</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54" w:name="_Toc231904915"/>
            <w:bookmarkStart w:id="155" w:name="_Toc464052532"/>
            <w:bookmarkStart w:id="156" w:name="_Toc187118676"/>
            <w:r>
              <w:rPr>
                <w:rFonts w:hint="eastAsia" w:ascii="仿宋" w:hAnsi="仿宋" w:eastAsia="仿宋" w:cs="仿宋"/>
                <w:sz w:val="22"/>
                <w:szCs w:val="22"/>
                <w:highlight w:val="none"/>
              </w:rPr>
              <w:t>负责制定数据迁移策略、数据迁移工作计划，组织及管理数据迁移整体工作。</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负责数据迁移范围、移动办公平台中间文件确定，形成移动办公平台数据迁移方案。</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负责组织数据迁移测试，完成移动办公平台数据迁移测试报告。</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负责制定演练、投产方案中数据迁移部分的内容，并参与执行移动办公平台部分内容。</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57" w:name="_Toc57912820"/>
            <w:r>
              <w:rPr>
                <w:rFonts w:hint="eastAsia" w:ascii="仿宋" w:hAnsi="仿宋" w:eastAsia="仿宋" w:cs="仿宋"/>
                <w:sz w:val="22"/>
                <w:szCs w:val="22"/>
                <w:highlight w:val="none"/>
              </w:rPr>
              <w:t>（七）</w:t>
            </w:r>
            <w:bookmarkEnd w:id="154"/>
            <w:bookmarkEnd w:id="155"/>
            <w:bookmarkEnd w:id="156"/>
            <w:bookmarkEnd w:id="157"/>
            <w:r>
              <w:rPr>
                <w:rFonts w:hint="eastAsia" w:ascii="仿宋" w:hAnsi="仿宋" w:eastAsia="仿宋" w:cs="仿宋"/>
                <w:sz w:val="22"/>
                <w:szCs w:val="22"/>
                <w:highlight w:val="none"/>
              </w:rPr>
              <w:t>业务培训</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提供讲师，</w:t>
            </w:r>
            <w:r>
              <w:rPr>
                <w:rFonts w:hint="eastAsia" w:ascii="仿宋" w:hAnsi="仿宋" w:eastAsia="仿宋" w:cs="仿宋"/>
                <w:sz w:val="22"/>
                <w:szCs w:val="22"/>
                <w:highlight w:val="none"/>
                <w:lang w:val="en-US" w:eastAsia="zh-CN"/>
              </w:rPr>
              <w:t>根据</w:t>
            </w:r>
            <w:r>
              <w:rPr>
                <w:rFonts w:hint="eastAsia" w:ascii="仿宋" w:hAnsi="仿宋" w:eastAsia="仿宋" w:cs="仿宋"/>
                <w:sz w:val="22"/>
                <w:szCs w:val="22"/>
                <w:highlight w:val="none"/>
              </w:rPr>
              <w:t>甲方</w:t>
            </w:r>
            <w:r>
              <w:rPr>
                <w:rFonts w:hint="eastAsia" w:ascii="仿宋" w:hAnsi="仿宋" w:eastAsia="仿宋" w:cs="仿宋"/>
                <w:sz w:val="22"/>
                <w:szCs w:val="22"/>
                <w:highlight w:val="none"/>
                <w:lang w:val="en-US" w:eastAsia="zh-CN"/>
              </w:rPr>
              <w:t>要求开展现场</w:t>
            </w:r>
            <w:r>
              <w:rPr>
                <w:rFonts w:hint="eastAsia" w:ascii="仿宋" w:hAnsi="仿宋" w:eastAsia="仿宋" w:cs="仿宋"/>
                <w:sz w:val="22"/>
                <w:szCs w:val="22"/>
                <w:highlight w:val="none"/>
              </w:rPr>
              <w:t>培训，提供培训讲义。</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协助制定培训计划与培训方案并组织培训。</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提供《用户操作手册》。</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58" w:name="_Toc187118677"/>
            <w:bookmarkStart w:id="159" w:name="_Toc57912821"/>
            <w:bookmarkStart w:id="160" w:name="_Toc464052533"/>
            <w:bookmarkStart w:id="161" w:name="_Toc231904916"/>
            <w:r>
              <w:rPr>
                <w:rFonts w:hint="eastAsia" w:ascii="仿宋" w:hAnsi="仿宋" w:eastAsia="仿宋" w:cs="仿宋"/>
                <w:sz w:val="22"/>
                <w:szCs w:val="22"/>
                <w:highlight w:val="none"/>
              </w:rPr>
              <w:t>（八）</w:t>
            </w:r>
            <w:bookmarkEnd w:id="158"/>
            <w:bookmarkEnd w:id="159"/>
            <w:bookmarkEnd w:id="160"/>
            <w:bookmarkEnd w:id="161"/>
            <w:r>
              <w:rPr>
                <w:rFonts w:hint="eastAsia" w:ascii="仿宋" w:hAnsi="仿宋" w:eastAsia="仿宋" w:cs="仿宋"/>
                <w:sz w:val="22"/>
                <w:szCs w:val="22"/>
                <w:highlight w:val="none"/>
              </w:rPr>
              <w:t>技术培训</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负责制定技术培训方案，含培训计划、培训方式和培训内容，培训总时长不少于</w:t>
            </w:r>
            <w:r>
              <w:rPr>
                <w:rFonts w:hint="eastAsia" w:ascii="仿宋" w:hAnsi="仿宋" w:eastAsia="仿宋" w:cs="仿宋"/>
                <w:sz w:val="22"/>
                <w:szCs w:val="22"/>
                <w:highlight w:val="none"/>
                <w:lang w:val="en-US" w:eastAsia="zh-CN"/>
              </w:rPr>
              <w:t>4</w:t>
            </w:r>
            <w:r>
              <w:rPr>
                <w:rFonts w:hint="eastAsia" w:ascii="仿宋" w:hAnsi="仿宋" w:eastAsia="仿宋" w:cs="仿宋"/>
                <w:sz w:val="22"/>
                <w:szCs w:val="22"/>
                <w:highlight w:val="none"/>
              </w:rPr>
              <w:t>0小时。</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lang w:val="en-US" w:eastAsia="zh-CN"/>
              </w:rPr>
              <w:t>根据甲方要求开展现场或视频</w:t>
            </w:r>
            <w:r>
              <w:rPr>
                <w:rFonts w:hint="eastAsia" w:ascii="仿宋" w:hAnsi="仿宋" w:eastAsia="仿宋" w:cs="仿宋"/>
                <w:sz w:val="22"/>
                <w:szCs w:val="22"/>
                <w:highlight w:val="none"/>
              </w:rPr>
              <w:t>培训，并提供培训讲义。</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62" w:name="_Toc57912823"/>
            <w:bookmarkStart w:id="163" w:name="_Toc464052536"/>
            <w:bookmarkStart w:id="164" w:name="第三方测试要求"/>
            <w:bookmarkStart w:id="165" w:name="_Toc57912822"/>
            <w:bookmarkStart w:id="166" w:name="_Toc187118679"/>
            <w:bookmarkStart w:id="167" w:name="_Toc231904918"/>
            <w:bookmarkStart w:id="168" w:name="_Toc464052535"/>
            <w:r>
              <w:rPr>
                <w:rFonts w:hint="eastAsia" w:ascii="仿宋" w:hAnsi="仿宋" w:eastAsia="仿宋" w:cs="仿宋"/>
                <w:sz w:val="22"/>
                <w:szCs w:val="22"/>
                <w:highlight w:val="none"/>
              </w:rPr>
              <w:t>（九）</w:t>
            </w:r>
            <w:bookmarkEnd w:id="162"/>
            <w:bookmarkEnd w:id="163"/>
            <w:r>
              <w:rPr>
                <w:rFonts w:hint="eastAsia" w:ascii="仿宋" w:hAnsi="仿宋" w:eastAsia="仿宋" w:cs="仿宋"/>
                <w:sz w:val="22"/>
                <w:szCs w:val="22"/>
                <w:highlight w:val="none"/>
              </w:rPr>
              <w:t>投产演练（如涉及）</w:t>
            </w:r>
          </w:p>
          <w:bookmarkEnd w:id="164"/>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制定演练方法及流程，制定《演练方案》含基础环境差异评估、数据迁移方案、投产演练步骤、应急方案步骤等，以及演练阶段人员组织架构、角色及分工等。</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编制《演练环境情况统计表》，完成应用部署。</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技术支持演练。</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如实记录和解决投产演练中发现的问题，编制《演练问题清单》。</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修复演练过程中缺陷。</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根据演练情况修订投产相关文档。</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完成投产方案、投产步骤、运行管理模式、网络部署验证。</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编写《演练报告》、《灾难演练和恢复预案》。</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编制《应急预案》。</w:t>
            </w:r>
          </w:p>
          <w:p>
            <w:pPr>
              <w:pStyle w:val="11"/>
              <w:pageBreakBefore w:val="0"/>
              <w:widowControl/>
              <w:numPr>
                <w:ilvl w:val="0"/>
                <w:numId w:val="1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系统投产</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负责制定投产方案及技术应急方案；</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负责完成系统投产的准备工作。</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负责配合数据迁移（如涉及）。</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配合系统投产。</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编写《系统投产报告》。</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编制上线交付件：《运维手册》（含《用户清单和手册》、《日志存储备份清理方案》等日常运维的必要件）、《日志报错代码表》、《监控手册》</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rPr>
              <w:t>《灾难演练和恢复预案》</w:t>
            </w:r>
            <w:r>
              <w:rPr>
                <w:rFonts w:hint="eastAsia" w:ascii="仿宋" w:hAnsi="仿宋" w:eastAsia="仿宋" w:cs="仿宋"/>
                <w:sz w:val="22"/>
                <w:szCs w:val="22"/>
                <w:highlight w:val="none"/>
                <w:lang w:eastAsia="zh-CN"/>
              </w:rPr>
              <w:t>、</w:t>
            </w:r>
            <w:r>
              <w:rPr>
                <w:rFonts w:hint="eastAsia" w:ascii="仿宋" w:hAnsi="仿宋" w:eastAsia="仿宋" w:cs="仿宋"/>
                <w:sz w:val="22"/>
                <w:szCs w:val="22"/>
                <w:highlight w:val="none"/>
              </w:rPr>
              <w:t>《应急预案》。</w:t>
            </w:r>
            <w:bookmarkEnd w:id="165"/>
            <w:bookmarkEnd w:id="166"/>
            <w:bookmarkEnd w:id="167"/>
            <w:bookmark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44"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4</w:t>
            </w:r>
          </w:p>
        </w:tc>
        <w:tc>
          <w:tcPr>
            <w:tcW w:w="1989"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应用维护服务要求</w:t>
            </w:r>
          </w:p>
        </w:tc>
        <w:tc>
          <w:tcPr>
            <w:tcW w:w="72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2"/>
                <w:szCs w:val="22"/>
                <w:highlight w:val="none"/>
              </w:rPr>
            </w:pPr>
          </w:p>
        </w:tc>
        <w:tc>
          <w:tcPr>
            <w:tcW w:w="5525" w:type="dxa"/>
            <w:vAlign w:val="center"/>
          </w:tcPr>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系统全部功能上线，通过验收后，进入2年维保期。期间持续开展系统缺陷修复、安全漏洞修复工作、开源软件及组件升级与维护、协助开展系统使用培训、业务培训、技术支持和现场指导服务等；维保期满提供工作总结报告。</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协助完成运维监控、技术运维、业务运维。</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协助开展系统使用培训和现场指导服务等。</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协助完成网络、服务器、应用系统、机房设备变更实施，协助进行故障处理。</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配合应急演练、安全检查及其整改。</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提供7*24应急响应服务和在线技术支持服务，处理客户服务需求。</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提供远程运维服务。</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评估与受理甲方的需求和系统的改进建议。</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系统定期升级，修复可能存在的软件漏洞与缺陷，保障平台运行的稳定性与安全性。</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故障处理服务，针对因应用故障而影响用户访问的情况，应根据甲方要求在规定时间前往客户现场处理问题。</w:t>
            </w:r>
          </w:p>
          <w:p>
            <w:pPr>
              <w:pStyle w:val="11"/>
              <w:pageBreakBefore w:val="0"/>
              <w:widowControl/>
              <w:numPr>
                <w:ilvl w:val="255"/>
                <w:numId w:val="0"/>
              </w:numPr>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完成甲方交办的其他工作。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44"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5</w:t>
            </w:r>
          </w:p>
        </w:tc>
        <w:tc>
          <w:tcPr>
            <w:tcW w:w="1989"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培训及知识转移要求</w:t>
            </w:r>
          </w:p>
        </w:tc>
        <w:tc>
          <w:tcPr>
            <w:tcW w:w="726"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2"/>
                <w:szCs w:val="22"/>
                <w:highlight w:val="none"/>
              </w:rPr>
            </w:pPr>
          </w:p>
        </w:tc>
        <w:tc>
          <w:tcPr>
            <w:tcW w:w="5525" w:type="dxa"/>
            <w:vAlign w:val="center"/>
          </w:tcPr>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lang w:val="zh-CN"/>
              </w:rPr>
            </w:pPr>
            <w:bookmarkStart w:id="169" w:name="_Toc464052539"/>
            <w:bookmarkStart w:id="170" w:name="_Toc57912827"/>
            <w:r>
              <w:rPr>
                <w:rFonts w:hint="eastAsia" w:ascii="仿宋" w:hAnsi="仿宋" w:eastAsia="仿宋" w:cs="仿宋"/>
                <w:sz w:val="22"/>
                <w:szCs w:val="22"/>
                <w:highlight w:val="none"/>
              </w:rPr>
              <w:t>供应商须</w:t>
            </w:r>
            <w:r>
              <w:rPr>
                <w:rFonts w:hint="eastAsia" w:ascii="仿宋" w:hAnsi="仿宋" w:eastAsia="仿宋" w:cs="仿宋"/>
                <w:sz w:val="22"/>
                <w:szCs w:val="22"/>
                <w:highlight w:val="none"/>
                <w:lang w:val="zh-CN"/>
              </w:rPr>
              <w:t>根据系统功能、业务流程、制度规范等设计有针对性的系统培训方案（包括业务和技术两方面），提高用户对新系统的接受度和使用熟练度。</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lang w:val="zh-CN"/>
              </w:rPr>
            </w:pPr>
            <w:r>
              <w:rPr>
                <w:rFonts w:hint="eastAsia" w:ascii="仿宋" w:hAnsi="仿宋" w:eastAsia="仿宋" w:cs="仿宋"/>
                <w:sz w:val="22"/>
                <w:szCs w:val="22"/>
                <w:highlight w:val="none"/>
                <w:lang w:val="zh-CN"/>
              </w:rPr>
              <w:t>（一）培训对象</w:t>
            </w:r>
            <w:bookmarkEnd w:id="169"/>
            <w:bookmarkEnd w:id="170"/>
            <w:r>
              <w:rPr>
                <w:rFonts w:hint="eastAsia" w:ascii="仿宋" w:hAnsi="仿宋" w:eastAsia="仿宋" w:cs="仿宋"/>
                <w:sz w:val="22"/>
                <w:szCs w:val="22"/>
                <w:highlight w:val="none"/>
                <w:lang w:val="zh-CN"/>
              </w:rPr>
              <w:t>：培训对象包括甲方的</w:t>
            </w:r>
            <w:r>
              <w:rPr>
                <w:rFonts w:hint="eastAsia" w:ascii="仿宋" w:hAnsi="仿宋" w:eastAsia="仿宋" w:cs="仿宋"/>
                <w:sz w:val="22"/>
                <w:szCs w:val="22"/>
                <w:highlight w:val="none"/>
              </w:rPr>
              <w:t>业务人员、</w:t>
            </w:r>
            <w:r>
              <w:rPr>
                <w:rFonts w:hint="eastAsia" w:ascii="仿宋" w:hAnsi="仿宋" w:eastAsia="仿宋" w:cs="仿宋"/>
                <w:sz w:val="22"/>
                <w:szCs w:val="22"/>
                <w:highlight w:val="none"/>
                <w:lang w:val="zh-CN"/>
              </w:rPr>
              <w:t>开发人员、系统运行维护管理人员，以及其他相关人员。</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lang w:val="zh-CN"/>
              </w:rPr>
            </w:pPr>
            <w:bookmarkStart w:id="171" w:name="_Toc57912828"/>
            <w:bookmarkStart w:id="172" w:name="_Toc464052540"/>
            <w:r>
              <w:rPr>
                <w:rFonts w:hint="eastAsia" w:ascii="仿宋" w:hAnsi="仿宋" w:eastAsia="仿宋" w:cs="仿宋"/>
                <w:sz w:val="22"/>
                <w:szCs w:val="22"/>
                <w:highlight w:val="none"/>
                <w:lang w:val="zh-CN"/>
              </w:rPr>
              <w:t>（二）培训目标</w:t>
            </w:r>
            <w:bookmarkEnd w:id="171"/>
            <w:bookmarkEnd w:id="172"/>
            <w:r>
              <w:rPr>
                <w:rFonts w:hint="eastAsia" w:ascii="仿宋" w:hAnsi="仿宋" w:eastAsia="仿宋" w:cs="仿宋"/>
                <w:sz w:val="22"/>
                <w:szCs w:val="22"/>
                <w:highlight w:val="none"/>
                <w:lang w:val="zh-CN"/>
              </w:rPr>
              <w:t>：通过培训，应使上述人员掌握系统提供的内容和功能。</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lang w:val="zh-CN"/>
              </w:rPr>
            </w:pPr>
            <w:bookmarkStart w:id="173" w:name="_Toc57912829"/>
            <w:bookmarkStart w:id="174" w:name="_Toc464052541"/>
            <w:r>
              <w:rPr>
                <w:rFonts w:hint="eastAsia" w:ascii="仿宋" w:hAnsi="仿宋" w:eastAsia="仿宋" w:cs="仿宋"/>
                <w:sz w:val="22"/>
                <w:szCs w:val="22"/>
                <w:highlight w:val="none"/>
                <w:lang w:val="zh-CN"/>
              </w:rPr>
              <w:t>（三）培训内容</w:t>
            </w:r>
            <w:bookmarkEnd w:id="173"/>
            <w:bookmarkEnd w:id="174"/>
            <w:r>
              <w:rPr>
                <w:rFonts w:hint="eastAsia" w:ascii="仿宋" w:hAnsi="仿宋" w:eastAsia="仿宋" w:cs="仿宋"/>
                <w:sz w:val="22"/>
                <w:szCs w:val="22"/>
                <w:highlight w:val="none"/>
                <w:lang w:val="zh-CN"/>
              </w:rPr>
              <w:t>：供应商应具有知识和技术转移的意愿，并阐述详细的实际措施，以对项目实施阶段的参与者及项目最终的使用和运维团队进行全面、有效的知识转移。供应商需向甲方提供系统在配置、开发、安装、使用、监控和维护、</w:t>
            </w:r>
            <w:r>
              <w:rPr>
                <w:rFonts w:hint="eastAsia" w:ascii="仿宋" w:hAnsi="仿宋" w:eastAsia="仿宋" w:cs="仿宋"/>
                <w:sz w:val="22"/>
                <w:szCs w:val="22"/>
                <w:highlight w:val="none"/>
              </w:rPr>
              <w:t>业务管理</w:t>
            </w:r>
            <w:r>
              <w:rPr>
                <w:rFonts w:hint="eastAsia" w:ascii="仿宋" w:hAnsi="仿宋" w:eastAsia="仿宋" w:cs="仿宋"/>
                <w:sz w:val="22"/>
                <w:szCs w:val="22"/>
                <w:highlight w:val="none"/>
                <w:lang w:val="zh-CN"/>
              </w:rPr>
              <w:t>等方面的培训。服务清单包括培训内容、授课方式、培训对象、时间计划安排和培训反馈处理等，对项目实施阶段的参与者及项目最终的使用和运维团队进行全面、有效的知识转移，确保甲方形成一支熟悉系统运用和维护的专家队伍。</w:t>
            </w:r>
          </w:p>
          <w:p>
            <w:pPr>
              <w:pStyle w:val="11"/>
              <w:pageBreakBefore w:val="0"/>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bookmarkStart w:id="175" w:name="_Toc57912830"/>
            <w:bookmarkStart w:id="176" w:name="_Toc464052542"/>
            <w:r>
              <w:rPr>
                <w:rFonts w:hint="eastAsia" w:ascii="仿宋" w:hAnsi="仿宋" w:eastAsia="仿宋" w:cs="仿宋"/>
                <w:sz w:val="22"/>
                <w:szCs w:val="22"/>
                <w:highlight w:val="none"/>
                <w:lang w:val="zh-CN"/>
              </w:rPr>
              <w:t>（四）培训材料</w:t>
            </w:r>
            <w:bookmarkEnd w:id="175"/>
            <w:bookmarkEnd w:id="176"/>
            <w:r>
              <w:rPr>
                <w:rFonts w:hint="eastAsia" w:ascii="仿宋" w:hAnsi="仿宋" w:eastAsia="仿宋" w:cs="仿宋"/>
                <w:sz w:val="22"/>
                <w:szCs w:val="22"/>
                <w:highlight w:val="none"/>
                <w:lang w:val="zh-CN"/>
              </w:rPr>
              <w:t>：供应商为所有被培训人员提供完备的文字资料（书面及电子版）和讲义（书面及电子版）等相关用品。</w:t>
            </w:r>
          </w:p>
        </w:tc>
      </w:tr>
    </w:tbl>
    <w:p>
      <w:pPr>
        <w:pStyle w:val="7"/>
        <w:pageBreakBefore w:val="0"/>
        <w:widowControl w:val="0"/>
        <w:kinsoku/>
        <w:wordWrap/>
        <w:overflowPunct/>
        <w:topLinePunct w:val="0"/>
        <w:autoSpaceDE/>
        <w:autoSpaceDN/>
        <w:bidi w:val="0"/>
        <w:snapToGrid/>
        <w:spacing w:before="0" w:after="0" w:line="560" w:lineRule="exact"/>
        <w:ind w:left="0" w:leftChars="0" w:firstLine="643"/>
        <w:rPr>
          <w:rFonts w:hint="default" w:ascii="楷体" w:hAnsi="楷体" w:eastAsia="楷体" w:cs="楷体"/>
          <w:highlight w:val="none"/>
          <w:lang w:val="en-US" w:eastAsia="zh-CN"/>
        </w:rPr>
      </w:pPr>
      <w:r>
        <w:rPr>
          <w:rFonts w:hint="eastAsia" w:ascii="楷体" w:hAnsi="楷体" w:eastAsia="楷体" w:cs="楷体"/>
          <w:highlight w:val="none"/>
          <w:lang w:val="en-US" w:eastAsia="zh-CN"/>
        </w:rPr>
        <w:t>（二）移动办公平台-产品服务</w:t>
      </w:r>
    </w:p>
    <w:tbl>
      <w:tblPr>
        <w:tblStyle w:val="21"/>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1776"/>
        <w:gridCol w:w="756"/>
        <w:gridCol w:w="5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888" w:type="dxa"/>
            <w:shd w:val="clear" w:color="auto" w:fill="A4A4A4" w:themeFill="background1" w:themeFillShade="A5"/>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4"/>
                <w:szCs w:val="22"/>
                <w:highlight w:val="none"/>
                <w:lang w:val="zh-CN"/>
              </w:rPr>
            </w:pPr>
            <w:r>
              <w:rPr>
                <w:rFonts w:hint="eastAsia" w:ascii="仿宋" w:hAnsi="仿宋" w:eastAsia="仿宋" w:cs="仿宋"/>
                <w:b/>
                <w:bCs/>
                <w:sz w:val="24"/>
                <w:szCs w:val="22"/>
                <w:highlight w:val="none"/>
                <w:lang w:val="zh-CN"/>
              </w:rPr>
              <w:t>序号</w:t>
            </w:r>
          </w:p>
        </w:tc>
        <w:tc>
          <w:tcPr>
            <w:tcW w:w="1776" w:type="dxa"/>
            <w:shd w:val="clear" w:color="auto" w:fill="A4A4A4" w:themeFill="background1" w:themeFillShade="A5"/>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4"/>
                <w:szCs w:val="22"/>
                <w:highlight w:val="none"/>
                <w:lang w:val="zh-CN"/>
              </w:rPr>
            </w:pPr>
            <w:r>
              <w:rPr>
                <w:rFonts w:hint="eastAsia" w:ascii="仿宋" w:hAnsi="仿宋" w:eastAsia="仿宋" w:cs="仿宋"/>
                <w:b/>
                <w:bCs/>
                <w:sz w:val="24"/>
                <w:szCs w:val="22"/>
                <w:highlight w:val="none"/>
                <w:lang w:val="zh-CN"/>
              </w:rPr>
              <w:t>服务要求项目</w:t>
            </w:r>
          </w:p>
        </w:tc>
        <w:tc>
          <w:tcPr>
            <w:tcW w:w="756" w:type="dxa"/>
            <w:shd w:val="clear" w:color="auto" w:fill="A4A4A4" w:themeFill="background1" w:themeFillShade="A5"/>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4"/>
                <w:szCs w:val="22"/>
                <w:highlight w:val="none"/>
                <w:lang w:val="zh-CN"/>
              </w:rPr>
            </w:pPr>
            <w:r>
              <w:rPr>
                <w:rFonts w:hint="eastAsia" w:ascii="仿宋" w:hAnsi="仿宋" w:eastAsia="仿宋" w:cs="仿宋"/>
                <w:b/>
                <w:bCs/>
                <w:sz w:val="24"/>
                <w:szCs w:val="22"/>
                <w:highlight w:val="none"/>
                <w:lang w:val="zh-CN"/>
              </w:rPr>
              <w:t>重要性</w:t>
            </w:r>
          </w:p>
        </w:tc>
        <w:tc>
          <w:tcPr>
            <w:tcW w:w="5664" w:type="dxa"/>
            <w:shd w:val="clear" w:color="auto" w:fill="A4A4A4" w:themeFill="background1" w:themeFillShade="A5"/>
            <w:vAlign w:val="center"/>
          </w:tcPr>
          <w:p>
            <w:pPr>
              <w:keepNext/>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4"/>
                <w:szCs w:val="22"/>
                <w:highlight w:val="none"/>
                <w:lang w:val="zh-CN"/>
              </w:rPr>
            </w:pPr>
            <w:r>
              <w:rPr>
                <w:rFonts w:hint="eastAsia" w:ascii="仿宋" w:hAnsi="仿宋" w:eastAsia="仿宋" w:cs="仿宋"/>
                <w:b/>
                <w:bCs/>
                <w:sz w:val="24"/>
                <w:szCs w:val="22"/>
                <w:highlight w:val="none"/>
                <w:lang w:val="zh-CN"/>
              </w:rPr>
              <w:t>服务要求标准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1</w:t>
            </w:r>
          </w:p>
        </w:tc>
        <w:tc>
          <w:tcPr>
            <w:tcW w:w="1776"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原厂维保服务</w:t>
            </w:r>
          </w:p>
        </w:tc>
        <w:tc>
          <w:tcPr>
            <w:tcW w:w="756"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sz w:val="22"/>
                <w:szCs w:val="22"/>
                <w:highlight w:val="none"/>
              </w:rPr>
            </w:pPr>
          </w:p>
        </w:tc>
        <w:tc>
          <w:tcPr>
            <w:tcW w:w="5664"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1.技术服务内容：</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（1）解决所提供的投标货物和软件系统出现的所有问题；</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（2）提供系统完善和产品升级服务（包括bug修复、漏洞修复、现有版本内升级、新版本升级等）；</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（3）根据系统运行情况进行系统性能评估与调优；</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2.服务时间要求：每周7×24小时电话等远程技术服务。</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3.响应时间要求：接到用户故障报告后30分钟内。</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4.到达现场时间要求（如远程未解决故障）：2小时。</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5.排除系统故障时间要求：4小时。</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6.技术服务组织方式与联系要求：</w:t>
            </w:r>
            <w:r>
              <w:rPr>
                <w:rFonts w:hint="eastAsia" w:ascii="仿宋" w:hAnsi="仿宋" w:eastAsia="仿宋" w:cs="仿宋"/>
                <w:sz w:val="22"/>
                <w:szCs w:val="22"/>
                <w:highlight w:val="none"/>
                <w:lang w:eastAsia="zh-CN"/>
              </w:rPr>
              <w:t>乙方</w:t>
            </w:r>
            <w:r>
              <w:rPr>
                <w:rFonts w:hint="eastAsia" w:ascii="仿宋" w:hAnsi="仿宋" w:eastAsia="仿宋" w:cs="仿宋"/>
                <w:sz w:val="22"/>
                <w:szCs w:val="22"/>
                <w:highlight w:val="none"/>
              </w:rPr>
              <w:t>需成立相应的项目技术支持服务组，需提供每人至少两种联系方式（保证7×24小时能找到相应的技术人员或领导），如有特殊原因更换人员，需征得</w:t>
            </w:r>
            <w:r>
              <w:rPr>
                <w:rFonts w:hint="eastAsia" w:ascii="仿宋" w:hAnsi="仿宋" w:eastAsia="仿宋" w:cs="仿宋"/>
                <w:sz w:val="22"/>
                <w:szCs w:val="22"/>
                <w:highlight w:val="none"/>
                <w:lang w:eastAsia="zh-CN"/>
              </w:rPr>
              <w:t>甲方</w:t>
            </w:r>
            <w:r>
              <w:rPr>
                <w:rFonts w:hint="eastAsia" w:ascii="仿宋" w:hAnsi="仿宋" w:eastAsia="仿宋" w:cs="仿宋"/>
                <w:sz w:val="22"/>
                <w:szCs w:val="22"/>
                <w:highlight w:val="none"/>
              </w:rPr>
              <w:t>同意。</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trike w:val="0"/>
                <w:dstrike w:val="0"/>
                <w:sz w:val="22"/>
                <w:szCs w:val="22"/>
                <w:highlight w:val="none"/>
              </w:rPr>
              <w:t>7.当投标货物发生非人为因素造成的严重故障时，</w:t>
            </w:r>
            <w:r>
              <w:rPr>
                <w:rFonts w:hint="eastAsia" w:ascii="仿宋" w:hAnsi="仿宋" w:eastAsia="仿宋" w:cs="仿宋"/>
                <w:strike w:val="0"/>
                <w:dstrike w:val="0"/>
                <w:sz w:val="22"/>
                <w:szCs w:val="22"/>
                <w:highlight w:val="none"/>
                <w:lang w:eastAsia="zh-CN"/>
              </w:rPr>
              <w:t>乙方</w:t>
            </w:r>
            <w:r>
              <w:rPr>
                <w:rFonts w:hint="eastAsia" w:ascii="仿宋" w:hAnsi="仿宋" w:eastAsia="仿宋" w:cs="仿宋"/>
                <w:strike w:val="0"/>
                <w:dstrike w:val="0"/>
                <w:sz w:val="22"/>
                <w:szCs w:val="22"/>
                <w:highlight w:val="none"/>
              </w:rPr>
              <w:t>应当免费在七日内将补充或者更换的货物运抵</w:t>
            </w:r>
            <w:r>
              <w:rPr>
                <w:rFonts w:hint="eastAsia" w:ascii="仿宋" w:hAnsi="仿宋" w:eastAsia="仿宋" w:cs="仿宋"/>
                <w:strike w:val="0"/>
                <w:dstrike w:val="0"/>
                <w:sz w:val="22"/>
                <w:szCs w:val="22"/>
                <w:highlight w:val="none"/>
                <w:lang w:eastAsia="zh-CN"/>
              </w:rPr>
              <w:t>甲方</w:t>
            </w:r>
            <w:r>
              <w:rPr>
                <w:rFonts w:hint="eastAsia" w:ascii="仿宋" w:hAnsi="仿宋" w:eastAsia="仿宋" w:cs="仿宋"/>
                <w:strike w:val="0"/>
                <w:dstrike w:val="0"/>
                <w:sz w:val="22"/>
                <w:szCs w:val="22"/>
                <w:highlight w:val="none"/>
              </w:rPr>
              <w:t>指定地点，由此产生的一切相关费用由</w:t>
            </w:r>
            <w:r>
              <w:rPr>
                <w:rFonts w:hint="eastAsia" w:ascii="仿宋" w:hAnsi="仿宋" w:eastAsia="仿宋" w:cs="仿宋"/>
                <w:strike w:val="0"/>
                <w:dstrike w:val="0"/>
                <w:sz w:val="22"/>
                <w:szCs w:val="22"/>
                <w:highlight w:val="none"/>
                <w:lang w:eastAsia="zh-CN"/>
              </w:rPr>
              <w:t>乙方</w:t>
            </w:r>
            <w:r>
              <w:rPr>
                <w:rFonts w:hint="eastAsia" w:ascii="仿宋" w:hAnsi="仿宋" w:eastAsia="仿宋" w:cs="仿宋"/>
                <w:strike w:val="0"/>
                <w:dstrike w:val="0"/>
                <w:sz w:val="22"/>
                <w:szCs w:val="22"/>
                <w:highlight w:val="none"/>
              </w:rPr>
              <w:t>负担</w:t>
            </w:r>
            <w:r>
              <w:rPr>
                <w:rFonts w:hint="eastAsia" w:ascii="仿宋" w:hAnsi="仿宋" w:eastAsia="仿宋" w:cs="仿宋"/>
                <w:sz w:val="22"/>
                <w:szCs w:val="22"/>
                <w:highlight w:val="none"/>
              </w:rPr>
              <w:t>。</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8.</w:t>
            </w:r>
            <w:r>
              <w:rPr>
                <w:rFonts w:hint="eastAsia" w:ascii="仿宋" w:hAnsi="仿宋" w:eastAsia="仿宋" w:cs="仿宋"/>
                <w:sz w:val="22"/>
                <w:szCs w:val="22"/>
                <w:highlight w:val="none"/>
                <w:lang w:eastAsia="zh-CN"/>
              </w:rPr>
              <w:t>乙方</w:t>
            </w:r>
            <w:r>
              <w:rPr>
                <w:rFonts w:hint="eastAsia" w:ascii="仿宋" w:hAnsi="仿宋" w:eastAsia="仿宋" w:cs="仿宋"/>
                <w:sz w:val="22"/>
                <w:szCs w:val="22"/>
                <w:highlight w:val="none"/>
              </w:rPr>
              <w:t>必须为维修和技术支持所未能解决的问题和故障提供正式的升级方案。</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9.在软件维保期内，</w:t>
            </w:r>
            <w:r>
              <w:rPr>
                <w:rFonts w:hint="eastAsia" w:ascii="仿宋" w:hAnsi="仿宋" w:eastAsia="仿宋" w:cs="仿宋"/>
                <w:sz w:val="22"/>
                <w:szCs w:val="22"/>
                <w:highlight w:val="none"/>
                <w:lang w:eastAsia="zh-CN"/>
              </w:rPr>
              <w:t>乙方</w:t>
            </w:r>
            <w:r>
              <w:rPr>
                <w:rFonts w:hint="eastAsia" w:ascii="仿宋" w:hAnsi="仿宋" w:eastAsia="仿宋" w:cs="仿宋"/>
                <w:sz w:val="22"/>
                <w:szCs w:val="22"/>
                <w:highlight w:val="none"/>
              </w:rPr>
              <w:t>有责任解决所提供的投标货物和软件系统的任何问题，在软件维保期满后，当需要时，</w:t>
            </w:r>
            <w:r>
              <w:rPr>
                <w:rFonts w:hint="eastAsia" w:ascii="仿宋" w:hAnsi="仿宋" w:eastAsia="仿宋" w:cs="仿宋"/>
                <w:sz w:val="22"/>
                <w:szCs w:val="22"/>
                <w:highlight w:val="none"/>
                <w:lang w:eastAsia="zh-CN"/>
              </w:rPr>
              <w:t>乙方</w:t>
            </w:r>
            <w:r>
              <w:rPr>
                <w:rFonts w:hint="eastAsia" w:ascii="仿宋" w:hAnsi="仿宋" w:eastAsia="仿宋" w:cs="仿宋"/>
                <w:sz w:val="22"/>
                <w:szCs w:val="22"/>
                <w:highlight w:val="none"/>
              </w:rPr>
              <w:t>仍须对因投标货物本身的固有缺陷和瑕疵承担责任。</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10.故障共享：中标人应向</w:t>
            </w:r>
            <w:r>
              <w:rPr>
                <w:rFonts w:hint="eastAsia" w:ascii="仿宋" w:hAnsi="仿宋" w:eastAsia="仿宋" w:cs="仿宋"/>
                <w:sz w:val="22"/>
                <w:szCs w:val="22"/>
                <w:highlight w:val="none"/>
                <w:lang w:eastAsia="zh-CN"/>
              </w:rPr>
              <w:t>甲方</w:t>
            </w:r>
            <w:r>
              <w:rPr>
                <w:rFonts w:hint="eastAsia" w:ascii="仿宋" w:hAnsi="仿宋" w:eastAsia="仿宋" w:cs="仿宋"/>
                <w:sz w:val="22"/>
                <w:szCs w:val="22"/>
                <w:highlight w:val="none"/>
              </w:rPr>
              <w:t>无偿提供系统所用软件的故障实例分析和故障解决共享，并形成定期通报制度。</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11.服务期内提供现场季度巡检服务。</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12.后续每年原厂维保服务费用不超过产品费用的1</w:t>
            </w:r>
            <w:r>
              <w:rPr>
                <w:rFonts w:hint="eastAsia" w:ascii="仿宋" w:hAnsi="仿宋" w:eastAsia="仿宋" w:cs="仿宋"/>
                <w:sz w:val="22"/>
                <w:szCs w:val="22"/>
                <w:highlight w:val="none"/>
                <w:lang w:val="en-US" w:eastAsia="zh-CN"/>
              </w:rPr>
              <w:t>0</w:t>
            </w:r>
            <w:r>
              <w:rPr>
                <w:rFonts w:hint="eastAsia" w:ascii="仿宋" w:hAnsi="仿宋" w:eastAsia="仿宋" w:cs="仿宋"/>
                <w:sz w:val="22"/>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2</w:t>
            </w:r>
          </w:p>
        </w:tc>
        <w:tc>
          <w:tcPr>
            <w:tcW w:w="1776"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实施服务</w:t>
            </w:r>
          </w:p>
        </w:tc>
        <w:tc>
          <w:tcPr>
            <w:tcW w:w="756"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sz w:val="22"/>
                <w:szCs w:val="22"/>
                <w:highlight w:val="none"/>
              </w:rPr>
            </w:pPr>
          </w:p>
        </w:tc>
        <w:tc>
          <w:tcPr>
            <w:tcW w:w="5664"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1.安装实施服务</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（1）移动办公平台部署设计方案。</w:t>
            </w:r>
            <w:r>
              <w:rPr>
                <w:rFonts w:hint="eastAsia" w:ascii="仿宋" w:hAnsi="仿宋" w:eastAsia="仿宋" w:cs="仿宋"/>
                <w:sz w:val="22"/>
                <w:szCs w:val="22"/>
                <w:highlight w:val="none"/>
                <w:lang w:val="en-US" w:eastAsia="zh-CN"/>
              </w:rPr>
              <w:t>乙方</w:t>
            </w:r>
            <w:r>
              <w:rPr>
                <w:rFonts w:hint="eastAsia" w:ascii="仿宋" w:hAnsi="仿宋" w:eastAsia="仿宋" w:cs="仿宋"/>
                <w:sz w:val="22"/>
                <w:szCs w:val="22"/>
                <w:highlight w:val="none"/>
              </w:rPr>
              <w:t>安排</w:t>
            </w:r>
            <w:r>
              <w:rPr>
                <w:rFonts w:hint="eastAsia" w:ascii="仿宋" w:hAnsi="仿宋" w:eastAsia="仿宋" w:cs="仿宋"/>
                <w:sz w:val="22"/>
                <w:szCs w:val="22"/>
                <w:highlight w:val="none"/>
                <w:lang w:val="en-US" w:eastAsia="zh-CN"/>
              </w:rPr>
              <w:t>原厂</w:t>
            </w:r>
            <w:r>
              <w:rPr>
                <w:rFonts w:hint="eastAsia" w:ascii="仿宋" w:hAnsi="仿宋" w:eastAsia="仿宋" w:cs="仿宋"/>
                <w:sz w:val="22"/>
                <w:szCs w:val="22"/>
                <w:highlight w:val="none"/>
              </w:rPr>
              <w:t>工程师现场开展移动办公平台产品部署相关的需求对接、前期规划，根据</w:t>
            </w:r>
            <w:r>
              <w:rPr>
                <w:rFonts w:hint="eastAsia" w:ascii="仿宋" w:hAnsi="仿宋" w:eastAsia="仿宋" w:cs="仿宋"/>
                <w:sz w:val="22"/>
                <w:szCs w:val="22"/>
                <w:highlight w:val="none"/>
                <w:lang w:eastAsia="zh-CN"/>
              </w:rPr>
              <w:t>甲方</w:t>
            </w:r>
            <w:r>
              <w:rPr>
                <w:rFonts w:hint="eastAsia" w:ascii="仿宋" w:hAnsi="仿宋" w:eastAsia="仿宋" w:cs="仿宋"/>
                <w:sz w:val="22"/>
                <w:szCs w:val="22"/>
                <w:highlight w:val="none"/>
              </w:rPr>
              <w:t>需求制定部署设计方案、手册。包括移动办公平台及相关软件在服务器上的部署。</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（2）部署及投产。</w:t>
            </w:r>
            <w:r>
              <w:rPr>
                <w:rFonts w:hint="eastAsia" w:ascii="仿宋" w:hAnsi="仿宋" w:eastAsia="仿宋" w:cs="仿宋"/>
                <w:sz w:val="22"/>
                <w:szCs w:val="22"/>
                <w:highlight w:val="none"/>
                <w:lang w:eastAsia="zh-CN"/>
              </w:rPr>
              <w:t>乙方</w:t>
            </w:r>
            <w:r>
              <w:rPr>
                <w:rFonts w:hint="eastAsia" w:ascii="仿宋" w:hAnsi="仿宋" w:eastAsia="仿宋" w:cs="仿宋"/>
                <w:sz w:val="22"/>
                <w:szCs w:val="22"/>
                <w:highlight w:val="none"/>
              </w:rPr>
              <w:t>按照部署设计方案制定实施计划，安排</w:t>
            </w:r>
            <w:r>
              <w:rPr>
                <w:rFonts w:hint="eastAsia" w:ascii="仿宋" w:hAnsi="仿宋" w:eastAsia="仿宋" w:cs="仿宋"/>
                <w:sz w:val="22"/>
                <w:szCs w:val="22"/>
                <w:highlight w:val="none"/>
                <w:lang w:val="en-US" w:eastAsia="zh-CN"/>
              </w:rPr>
              <w:t>原厂</w:t>
            </w:r>
            <w:r>
              <w:rPr>
                <w:rFonts w:hint="eastAsia" w:ascii="仿宋" w:hAnsi="仿宋" w:eastAsia="仿宋" w:cs="仿宋"/>
                <w:sz w:val="22"/>
                <w:szCs w:val="22"/>
                <w:highlight w:val="none"/>
              </w:rPr>
              <w:t>工程师现场开展实施部署、功能测试、验收等服务。现场配合</w:t>
            </w:r>
            <w:r>
              <w:rPr>
                <w:rFonts w:hint="eastAsia" w:ascii="仿宋" w:hAnsi="仿宋" w:eastAsia="仿宋" w:cs="仿宋"/>
                <w:sz w:val="22"/>
                <w:szCs w:val="22"/>
                <w:highlight w:val="none"/>
                <w:lang w:eastAsia="zh-CN"/>
              </w:rPr>
              <w:t>甲方</w:t>
            </w:r>
            <w:r>
              <w:rPr>
                <w:rFonts w:hint="eastAsia" w:ascii="仿宋" w:hAnsi="仿宋" w:eastAsia="仿宋" w:cs="仿宋"/>
                <w:sz w:val="22"/>
                <w:szCs w:val="22"/>
                <w:highlight w:val="none"/>
              </w:rPr>
              <w:t>完成应用安装、测试、投产工作。应用系统投产后，</w:t>
            </w:r>
            <w:r>
              <w:rPr>
                <w:rFonts w:hint="eastAsia" w:ascii="仿宋" w:hAnsi="仿宋" w:eastAsia="仿宋" w:cs="仿宋"/>
                <w:sz w:val="22"/>
                <w:szCs w:val="22"/>
                <w:highlight w:val="none"/>
                <w:lang w:val="en-US" w:eastAsia="zh-CN"/>
              </w:rPr>
              <w:t>乙方</w:t>
            </w:r>
            <w:r>
              <w:rPr>
                <w:rFonts w:hint="eastAsia" w:ascii="仿宋" w:hAnsi="仿宋" w:eastAsia="仿宋" w:cs="仿宋"/>
                <w:sz w:val="22"/>
                <w:szCs w:val="22"/>
                <w:highlight w:val="none"/>
              </w:rPr>
              <w:t>保证有不少于1名</w:t>
            </w:r>
            <w:r>
              <w:rPr>
                <w:rFonts w:hint="eastAsia" w:ascii="仿宋" w:hAnsi="仿宋" w:eastAsia="仿宋" w:cs="仿宋"/>
                <w:sz w:val="22"/>
                <w:szCs w:val="22"/>
                <w:highlight w:val="none"/>
                <w:lang w:val="en-US" w:eastAsia="zh-CN"/>
              </w:rPr>
              <w:t>原厂</w:t>
            </w:r>
            <w:r>
              <w:rPr>
                <w:rFonts w:hint="eastAsia" w:ascii="仿宋" w:hAnsi="仿宋" w:eastAsia="仿宋" w:cs="仿宋"/>
                <w:sz w:val="22"/>
                <w:szCs w:val="22"/>
                <w:highlight w:val="none"/>
              </w:rPr>
              <w:t>工程师按需现场协助</w:t>
            </w:r>
            <w:r>
              <w:rPr>
                <w:rFonts w:hint="eastAsia" w:ascii="仿宋" w:hAnsi="仿宋" w:eastAsia="仿宋" w:cs="仿宋"/>
                <w:sz w:val="22"/>
                <w:szCs w:val="22"/>
                <w:highlight w:val="none"/>
                <w:lang w:eastAsia="zh-CN"/>
              </w:rPr>
              <w:t>甲方</w:t>
            </w:r>
            <w:r>
              <w:rPr>
                <w:rFonts w:hint="eastAsia" w:ascii="仿宋" w:hAnsi="仿宋" w:eastAsia="仿宋" w:cs="仿宋"/>
                <w:sz w:val="22"/>
                <w:szCs w:val="22"/>
                <w:highlight w:val="none"/>
              </w:rPr>
              <w:t>随时解决问题，投产后的维保期内保证每个季度安排原厂工程师开展不少于1次现场服务及巡检。</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（3）技术转移及文档移交。包含但不限于移动办公平台软件</w:t>
            </w:r>
            <w:r>
              <w:rPr>
                <w:rFonts w:hint="eastAsia" w:ascii="仿宋" w:hAnsi="仿宋" w:eastAsia="仿宋" w:cs="仿宋"/>
                <w:strike w:val="0"/>
                <w:sz w:val="22"/>
                <w:szCs w:val="22"/>
                <w:highlight w:val="none"/>
              </w:rPr>
              <w:t>、运维、监控工具</w:t>
            </w:r>
            <w:r>
              <w:rPr>
                <w:rFonts w:hint="eastAsia" w:ascii="仿宋" w:hAnsi="仿宋" w:eastAsia="仿宋" w:cs="仿宋"/>
                <w:sz w:val="22"/>
                <w:szCs w:val="22"/>
                <w:highlight w:val="none"/>
              </w:rPr>
              <w:t>的使用说明文档的移交。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3</w:t>
            </w:r>
          </w:p>
        </w:tc>
        <w:tc>
          <w:tcPr>
            <w:tcW w:w="1776"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lang w:val="en-US" w:eastAsia="zh-CN"/>
              </w:rPr>
              <w:t>运维</w:t>
            </w:r>
            <w:r>
              <w:rPr>
                <w:rFonts w:hint="eastAsia" w:ascii="仿宋" w:hAnsi="仿宋" w:eastAsia="仿宋" w:cs="仿宋"/>
                <w:sz w:val="22"/>
                <w:szCs w:val="22"/>
                <w:highlight w:val="none"/>
              </w:rPr>
              <w:t>培训</w:t>
            </w:r>
          </w:p>
        </w:tc>
        <w:tc>
          <w:tcPr>
            <w:tcW w:w="756"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center"/>
              <w:rPr>
                <w:rFonts w:hint="eastAsia" w:ascii="仿宋" w:hAnsi="仿宋" w:eastAsia="仿宋" w:cs="仿宋"/>
                <w:sz w:val="22"/>
                <w:szCs w:val="22"/>
                <w:highlight w:val="none"/>
              </w:rPr>
            </w:pPr>
          </w:p>
        </w:tc>
        <w:tc>
          <w:tcPr>
            <w:tcW w:w="5664" w:type="dxa"/>
            <w:vAlign w:val="center"/>
          </w:tcPr>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1.编制培训计划、培训手册和相关材料。培训材料包括但不限于架构设计规范、安装配置工艺、安全配置基线规范、高可用测试报告、日常维护手册、巡检手册、推荐监控项及阈值、备份方式和建议策略、日志清理策略、应急场景预案、版本补丁信息、往期漏洞台账、已知问题清单、安装配置信息台账等。</w:t>
            </w:r>
          </w:p>
          <w:p>
            <w:pPr>
              <w:pStyle w:val="11"/>
              <w:keepNext/>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2"/>
                <w:szCs w:val="22"/>
                <w:highlight w:val="none"/>
              </w:rPr>
            </w:pPr>
            <w:r>
              <w:rPr>
                <w:rFonts w:hint="eastAsia" w:ascii="仿宋" w:hAnsi="仿宋" w:eastAsia="仿宋" w:cs="仿宋"/>
                <w:sz w:val="22"/>
                <w:szCs w:val="22"/>
                <w:highlight w:val="none"/>
              </w:rPr>
              <w:t>2.培训</w:t>
            </w:r>
            <w:r>
              <w:rPr>
                <w:rFonts w:hint="eastAsia" w:ascii="仿宋" w:hAnsi="仿宋" w:eastAsia="仿宋" w:cs="仿宋"/>
                <w:sz w:val="22"/>
                <w:szCs w:val="22"/>
                <w:highlight w:val="none"/>
                <w:lang w:eastAsia="zh-CN"/>
              </w:rPr>
              <w:t>甲方</w:t>
            </w:r>
            <w:r>
              <w:rPr>
                <w:rFonts w:hint="eastAsia" w:ascii="仿宋" w:hAnsi="仿宋" w:eastAsia="仿宋" w:cs="仿宋"/>
                <w:sz w:val="22"/>
                <w:szCs w:val="22"/>
                <w:highlight w:val="none"/>
              </w:rPr>
              <w:t>运维人员常规安装配置、服务启停、日常巡检等操作；使得</w:t>
            </w:r>
            <w:r>
              <w:rPr>
                <w:rFonts w:hint="eastAsia" w:ascii="仿宋" w:hAnsi="仿宋" w:eastAsia="仿宋" w:cs="仿宋"/>
                <w:sz w:val="22"/>
                <w:szCs w:val="22"/>
                <w:highlight w:val="none"/>
                <w:lang w:eastAsia="zh-CN"/>
              </w:rPr>
              <w:t>甲方</w:t>
            </w:r>
            <w:r>
              <w:rPr>
                <w:rFonts w:hint="eastAsia" w:ascii="仿宋" w:hAnsi="仿宋" w:eastAsia="仿宋" w:cs="仿宋"/>
                <w:sz w:val="22"/>
                <w:szCs w:val="22"/>
                <w:highlight w:val="none"/>
              </w:rPr>
              <w:t>运维人员具备独立开展安装配置、服务启停、日常巡检等常规工作的能力。</w:t>
            </w:r>
          </w:p>
        </w:tc>
      </w:tr>
    </w:tbl>
    <w:p>
      <w:pPr>
        <w:pStyle w:val="18"/>
        <w:pageBreakBefore w:val="0"/>
        <w:kinsoku/>
        <w:overflowPunct/>
        <w:topLinePunct w:val="0"/>
        <w:bidi w:val="0"/>
        <w:adjustRightInd w:val="0"/>
        <w:spacing w:before="0" w:beforeLines="0" w:after="0" w:afterLines="0" w:line="560" w:lineRule="exact"/>
        <w:ind w:left="0" w:leftChars="0" w:firstLine="640" w:firstLineChars="200"/>
        <w:textAlignment w:val="baseline"/>
        <w:outlineLvl w:val="0"/>
        <w:rPr>
          <w:rFonts w:ascii="Times New Roman" w:hAnsi="Times New Roman" w:eastAsia="黑体"/>
          <w:b w:val="0"/>
          <w:bCs w:val="0"/>
          <w:sz w:val="32"/>
          <w:highlight w:val="none"/>
        </w:rPr>
      </w:pPr>
      <w:bookmarkStart w:id="177" w:name="_Toc26244"/>
      <w:bookmarkStart w:id="178" w:name="_Toc4648"/>
      <w:bookmarkStart w:id="179" w:name="_Toc29694"/>
      <w:bookmarkStart w:id="180" w:name="_Toc9316"/>
      <w:r>
        <w:rPr>
          <w:rFonts w:ascii="Times New Roman" w:hAnsi="黑体" w:eastAsia="黑体"/>
          <w:b w:val="0"/>
          <w:bCs w:val="0"/>
          <w:sz w:val="32"/>
          <w:highlight w:val="none"/>
        </w:rPr>
        <w:t>六、项目团队要求</w:t>
      </w:r>
      <w:bookmarkEnd w:id="177"/>
      <w:bookmarkEnd w:id="178"/>
      <w:bookmarkEnd w:id="179"/>
      <w:bookmarkEnd w:id="180"/>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在中国境内需拥有稳定的专业化开发队伍。</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需针对本项目成立专门的开发团队和服务团队，派遣有经验、负责任的项目经理和开发工程师参与本项目工作。其中驻场开发团队的资质要求：</w:t>
      </w:r>
    </w:p>
    <w:tbl>
      <w:tblPr>
        <w:tblStyle w:val="21"/>
        <w:tblW w:w="9559" w:type="dxa"/>
        <w:jc w:val="center"/>
        <w:tblLayout w:type="autofit"/>
        <w:tblCellMar>
          <w:top w:w="0" w:type="dxa"/>
          <w:left w:w="108" w:type="dxa"/>
          <w:bottom w:w="0" w:type="dxa"/>
          <w:right w:w="108" w:type="dxa"/>
        </w:tblCellMar>
      </w:tblPr>
      <w:tblGrid>
        <w:gridCol w:w="3127"/>
        <w:gridCol w:w="3216"/>
        <w:gridCol w:w="3216"/>
      </w:tblGrid>
      <w:tr>
        <w:tblPrEx>
          <w:tblCellMar>
            <w:top w:w="0" w:type="dxa"/>
            <w:left w:w="108" w:type="dxa"/>
            <w:bottom w:w="0" w:type="dxa"/>
            <w:right w:w="108" w:type="dxa"/>
          </w:tblCellMar>
        </w:tblPrEx>
        <w:trPr>
          <w:trHeight w:val="0" w:hRule="atLeast"/>
          <w:tblHeader/>
          <w:jc w:val="center"/>
        </w:trPr>
        <w:tc>
          <w:tcPr>
            <w:tcW w:w="3127" w:type="dxa"/>
            <w:tcBorders>
              <w:top w:val="single" w:color="000000" w:sz="4" w:space="0"/>
              <w:left w:val="single" w:color="000000" w:sz="4" w:space="0"/>
              <w:bottom w:val="single" w:color="000000" w:sz="4" w:space="0"/>
              <w:right w:val="single" w:color="000000" w:sz="4" w:space="0"/>
            </w:tcBorders>
            <w:shd w:val="clear" w:color="auto" w:fill="A4A4A4" w:themeFill="background1" w:themeFillShade="A5"/>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4"/>
                <w:szCs w:val="22"/>
                <w:highlight w:val="none"/>
              </w:rPr>
            </w:pPr>
            <w:r>
              <w:rPr>
                <w:rFonts w:hint="eastAsia" w:ascii="仿宋" w:hAnsi="仿宋" w:eastAsia="仿宋" w:cs="仿宋"/>
                <w:b/>
                <w:bCs/>
                <w:sz w:val="24"/>
                <w:szCs w:val="22"/>
                <w:highlight w:val="none"/>
              </w:rPr>
              <w:t>岗位名称</w:t>
            </w:r>
          </w:p>
        </w:tc>
        <w:tc>
          <w:tcPr>
            <w:tcW w:w="3216" w:type="dxa"/>
            <w:tcBorders>
              <w:top w:val="single" w:color="000000" w:sz="4" w:space="0"/>
              <w:left w:val="single" w:color="000000" w:sz="4" w:space="0"/>
              <w:bottom w:val="single" w:color="000000" w:sz="4" w:space="0"/>
              <w:right w:val="single" w:color="000000" w:sz="4" w:space="0"/>
            </w:tcBorders>
            <w:shd w:val="clear" w:color="auto" w:fill="A4A4A4" w:themeFill="background1" w:themeFillShade="A5"/>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4"/>
                <w:szCs w:val="22"/>
                <w:highlight w:val="none"/>
              </w:rPr>
            </w:pPr>
            <w:r>
              <w:rPr>
                <w:rFonts w:hint="eastAsia" w:ascii="仿宋" w:hAnsi="仿宋" w:eastAsia="仿宋" w:cs="仿宋"/>
                <w:b/>
                <w:bCs/>
                <w:sz w:val="24"/>
                <w:szCs w:val="22"/>
                <w:highlight w:val="none"/>
              </w:rPr>
              <w:t>工作内容</w:t>
            </w:r>
          </w:p>
        </w:tc>
        <w:tc>
          <w:tcPr>
            <w:tcW w:w="3216" w:type="dxa"/>
            <w:tcBorders>
              <w:top w:val="single" w:color="000000" w:sz="4" w:space="0"/>
              <w:left w:val="single" w:color="000000" w:sz="4" w:space="0"/>
              <w:bottom w:val="single" w:color="000000" w:sz="4" w:space="0"/>
              <w:right w:val="single" w:color="000000" w:sz="4" w:space="0"/>
            </w:tcBorders>
            <w:shd w:val="clear" w:color="auto" w:fill="A4A4A4" w:themeFill="background1" w:themeFillShade="A5"/>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4"/>
                <w:szCs w:val="22"/>
                <w:highlight w:val="none"/>
              </w:rPr>
            </w:pPr>
            <w:r>
              <w:rPr>
                <w:rFonts w:hint="eastAsia" w:ascii="仿宋" w:hAnsi="仿宋" w:eastAsia="仿宋" w:cs="仿宋"/>
                <w:b/>
                <w:bCs/>
                <w:sz w:val="24"/>
                <w:szCs w:val="22"/>
                <w:highlight w:val="none"/>
              </w:rPr>
              <w:t>资质和经验要求</w:t>
            </w:r>
          </w:p>
        </w:tc>
      </w:tr>
      <w:tr>
        <w:tblPrEx>
          <w:tblCellMar>
            <w:top w:w="0" w:type="dxa"/>
            <w:left w:w="108" w:type="dxa"/>
            <w:bottom w:w="0" w:type="dxa"/>
            <w:right w:w="108" w:type="dxa"/>
          </w:tblCellMar>
        </w:tblPrEx>
        <w:trPr>
          <w:trHeight w:val="0" w:hRule="atLeast"/>
          <w:jc w:val="center"/>
        </w:trPr>
        <w:tc>
          <w:tcPr>
            <w:tcW w:w="3127"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项目经理（1人高级）</w:t>
            </w:r>
          </w:p>
        </w:tc>
        <w:tc>
          <w:tcPr>
            <w:tcW w:w="3216" w:type="dxa"/>
            <w:tcBorders>
              <w:top w:val="single" w:color="000000" w:sz="4" w:space="0"/>
              <w:left w:val="single" w:color="000000" w:sz="4" w:space="0"/>
              <w:bottom w:val="single" w:color="000000" w:sz="4" w:space="0"/>
              <w:right w:val="single" w:color="000000" w:sz="4" w:space="0"/>
            </w:tcBorders>
            <w:vAlign w:val="center"/>
          </w:tcPr>
          <w:p>
            <w:pPr>
              <w:pStyle w:val="11"/>
              <w:pageBreakBefore w:val="0"/>
              <w:widowControl/>
              <w:kinsoku/>
              <w:overflowPunct/>
              <w:topLinePunct w:val="0"/>
              <w:bidi w:val="0"/>
              <w:snapToGrid w:val="0"/>
              <w:spacing w:after="0" w:line="240" w:lineRule="auto"/>
              <w:ind w:left="0" w:leftChars="0"/>
              <w:jc w:val="left"/>
              <w:rPr>
                <w:rFonts w:hint="eastAsia" w:ascii="仿宋" w:hAnsi="仿宋" w:eastAsia="仿宋" w:cs="仿宋"/>
                <w:sz w:val="24"/>
                <w:highlight w:val="none"/>
              </w:rPr>
            </w:pPr>
            <w:r>
              <w:rPr>
                <w:rFonts w:hint="eastAsia" w:ascii="仿宋" w:hAnsi="仿宋" w:eastAsia="仿宋" w:cs="仿宋"/>
                <w:sz w:val="24"/>
                <w:szCs w:val="22"/>
                <w:highlight w:val="none"/>
              </w:rPr>
              <w:t>负责项目的整体控制和协调，保证工程的进度、质量、保密；负责项目合作协议的签订、合同签订以及工程总体验收；负责制定项目详细进度计划，并监督执行；定期核查项目基线，保障项目保质保量按期执行任务的顺利完成。</w:t>
            </w:r>
          </w:p>
        </w:tc>
        <w:tc>
          <w:tcPr>
            <w:tcW w:w="3216" w:type="dxa"/>
            <w:tcBorders>
              <w:top w:val="single" w:color="000000" w:sz="4" w:space="0"/>
              <w:left w:val="single" w:color="000000" w:sz="4" w:space="0"/>
              <w:bottom w:val="single" w:color="000000" w:sz="4" w:space="0"/>
              <w:right w:val="single" w:color="000000" w:sz="4" w:space="0"/>
            </w:tcBorders>
            <w:vAlign w:val="center"/>
          </w:tcPr>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b w:val="0"/>
                <w:bCs w:val="0"/>
                <w:sz w:val="24"/>
                <w:szCs w:val="22"/>
                <w:highlight w:val="none"/>
                <w:lang w:val="en-US" w:eastAsia="zh-CN"/>
              </w:rPr>
            </w:pPr>
            <w:r>
              <w:rPr>
                <w:rFonts w:hint="eastAsia" w:ascii="仿宋" w:hAnsi="仿宋" w:eastAsia="仿宋" w:cs="仿宋"/>
                <w:b w:val="0"/>
                <w:bCs w:val="0"/>
                <w:sz w:val="24"/>
                <w:szCs w:val="22"/>
                <w:highlight w:val="none"/>
              </w:rPr>
              <w:t>1.</w:t>
            </w:r>
            <w:r>
              <w:rPr>
                <w:rFonts w:hint="eastAsia" w:ascii="仿宋" w:hAnsi="仿宋" w:eastAsia="仿宋" w:cs="仿宋"/>
                <w:b w:val="0"/>
                <w:bCs w:val="0"/>
                <w:sz w:val="24"/>
                <w:highlight w:val="none"/>
              </w:rPr>
              <w:t xml:space="preserve"> </w:t>
            </w:r>
            <w:r>
              <w:rPr>
                <w:rFonts w:hint="eastAsia" w:ascii="仿宋" w:hAnsi="仿宋" w:eastAsia="仿宋" w:cs="仿宋"/>
                <w:b w:val="0"/>
                <w:bCs w:val="0"/>
                <w:sz w:val="24"/>
                <w:szCs w:val="22"/>
                <w:highlight w:val="none"/>
              </w:rPr>
              <w:t>需本科及以上学历，要求具有10年（含）以上信息行业从业经验；</w:t>
            </w:r>
            <w:r>
              <w:rPr>
                <w:rFonts w:hint="eastAsia" w:ascii="仿宋" w:hAnsi="仿宋" w:eastAsia="仿宋" w:cs="仿宋"/>
                <w:b w:val="0"/>
                <w:bCs w:val="0"/>
                <w:sz w:val="24"/>
                <w:szCs w:val="22"/>
                <w:highlight w:val="none"/>
                <w:lang w:val="en-US" w:eastAsia="zh-CN"/>
              </w:rPr>
              <w:t>2个及以上移动办公项目（100万以上）全程管理实施经验；</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2.</w:t>
            </w:r>
            <w:r>
              <w:rPr>
                <w:rFonts w:hint="eastAsia" w:ascii="仿宋" w:hAnsi="仿宋" w:eastAsia="仿宋" w:cs="仿宋"/>
                <w:sz w:val="24"/>
                <w:highlight w:val="none"/>
              </w:rPr>
              <w:t xml:space="preserve"> </w:t>
            </w:r>
            <w:r>
              <w:rPr>
                <w:rFonts w:hint="eastAsia" w:ascii="仿宋" w:hAnsi="仿宋" w:eastAsia="仿宋" w:cs="仿宋"/>
                <w:sz w:val="24"/>
                <w:szCs w:val="22"/>
                <w:highlight w:val="none"/>
              </w:rPr>
              <w:t>全权对参与本项目的人员进行统一管理和调配，还需要负责与项目组保持联系，及时沟通；</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3.持有工业和信息化部或者人力资源和社会保障部（厅/局）颁发的信息系统项目管理师（高级）证书或者PMP项目经理资格认证（高级）证书；</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4.具有较强的沟通和协调工作能力。</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lang w:val="en-US" w:eastAsia="zh-CN"/>
              </w:rPr>
            </w:pPr>
            <w:r>
              <w:rPr>
                <w:rFonts w:hint="eastAsia" w:ascii="仿宋" w:hAnsi="仿宋" w:eastAsia="仿宋" w:cs="仿宋"/>
                <w:sz w:val="24"/>
                <w:szCs w:val="22"/>
                <w:highlight w:val="none"/>
                <w:lang w:val="en-US" w:eastAsia="zh-CN"/>
              </w:rPr>
              <w:t>5.熟悉等保、密评相关测评要求，熟悉零信任、统一身份认证等安全技术。</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highlight w:val="none"/>
              </w:rPr>
            </w:pPr>
            <w:r>
              <w:rPr>
                <w:rFonts w:hint="eastAsia" w:ascii="仿宋" w:hAnsi="仿宋" w:eastAsia="仿宋" w:cs="仿宋"/>
                <w:sz w:val="24"/>
                <w:szCs w:val="22"/>
                <w:highlight w:val="none"/>
              </w:rPr>
              <w:t>5.项目经理在合同执行期间，必须驻场服务，需按</w:t>
            </w:r>
            <w:r>
              <w:rPr>
                <w:rFonts w:hint="eastAsia" w:ascii="仿宋" w:hAnsi="仿宋" w:eastAsia="仿宋" w:cs="仿宋"/>
                <w:sz w:val="24"/>
                <w:szCs w:val="22"/>
                <w:highlight w:val="none"/>
                <w:lang w:eastAsia="zh-CN"/>
              </w:rPr>
              <w:t>甲方</w:t>
            </w:r>
            <w:r>
              <w:rPr>
                <w:rFonts w:hint="eastAsia" w:ascii="仿宋" w:hAnsi="仿宋" w:eastAsia="仿宋" w:cs="仿宋"/>
                <w:sz w:val="24"/>
                <w:szCs w:val="22"/>
                <w:highlight w:val="none"/>
              </w:rPr>
              <w:t>要求的工作时间按时打卡上班，在工作期间遵守</w:t>
            </w:r>
            <w:r>
              <w:rPr>
                <w:rFonts w:hint="eastAsia" w:ascii="仿宋" w:hAnsi="仿宋" w:eastAsia="仿宋" w:cs="仿宋"/>
                <w:sz w:val="24"/>
                <w:szCs w:val="22"/>
                <w:highlight w:val="none"/>
                <w:lang w:eastAsia="zh-CN"/>
              </w:rPr>
              <w:t>甲方</w:t>
            </w:r>
            <w:r>
              <w:rPr>
                <w:rFonts w:hint="eastAsia" w:ascii="仿宋" w:hAnsi="仿宋" w:eastAsia="仿宋" w:cs="仿宋"/>
                <w:sz w:val="24"/>
                <w:szCs w:val="22"/>
                <w:highlight w:val="none"/>
              </w:rPr>
              <w:t>外包管理规范。</w:t>
            </w:r>
          </w:p>
        </w:tc>
      </w:tr>
      <w:tr>
        <w:tblPrEx>
          <w:tblCellMar>
            <w:top w:w="0" w:type="dxa"/>
            <w:left w:w="108" w:type="dxa"/>
            <w:bottom w:w="0" w:type="dxa"/>
            <w:right w:w="108" w:type="dxa"/>
          </w:tblCellMar>
        </w:tblPrEx>
        <w:trPr>
          <w:trHeight w:val="0" w:hRule="atLeast"/>
          <w:jc w:val="center"/>
        </w:trPr>
        <w:tc>
          <w:tcPr>
            <w:tcW w:w="3127"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实施服务团队（4名中级）</w:t>
            </w:r>
          </w:p>
        </w:tc>
        <w:tc>
          <w:tcPr>
            <w:tcW w:w="3216" w:type="dxa"/>
            <w:tcBorders>
              <w:top w:val="single" w:color="000000" w:sz="4" w:space="0"/>
              <w:left w:val="single" w:color="000000" w:sz="4" w:space="0"/>
              <w:bottom w:val="single" w:color="000000" w:sz="4" w:space="0"/>
              <w:right w:val="single" w:color="000000" w:sz="4" w:space="0"/>
            </w:tcBorders>
            <w:vAlign w:val="center"/>
          </w:tcPr>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负责整个项目基础环境部署、开发、测试、软件部署、安装、调试、联调，产品试运行及项目验收、业务分析支持等现场工作，在保证安全实施的过程中及时处理项目实施过程中所遇到的各种问题，核对真实性，提出建议，检验修复情况。</w:t>
            </w:r>
          </w:p>
        </w:tc>
        <w:tc>
          <w:tcPr>
            <w:tcW w:w="3216" w:type="dxa"/>
            <w:tcBorders>
              <w:top w:val="single" w:color="000000" w:sz="4" w:space="0"/>
              <w:left w:val="single" w:color="000000" w:sz="4" w:space="0"/>
              <w:bottom w:val="single" w:color="000000" w:sz="4" w:space="0"/>
              <w:right w:val="single" w:color="000000" w:sz="4" w:space="0"/>
            </w:tcBorders>
            <w:vAlign w:val="center"/>
          </w:tcPr>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1.具备本科及以上学历，3年以上工作经验；</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2.实施服务团队人员中需要配备不同角色人员，保障项目按需平稳交付。主要包括如下：</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1）1名应用系统分析师：需具备系统架构师（高级）相关资质，熟练掌握需求调研、业务流程梳理、系统功能设计与可行性分析，能精准转化业务需求为技术方案，支撑项目高效落地。</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2）1名应用安全架构师：需熟悉应用系统安全架构设计，具备CISP（注册信息安全专业人员）认证资质，能落地应用系统安全防护相关工作。</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3）1名国产化基础环境工程师：需具备国产化数据库及中间件认证资质，精通国产化主流数据库与中间件的架构设计、性能优化、部署运维及安全防护，高效解决复杂数据库与中间件问题，保障系统稳定运行与数据安全。</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highlight w:val="none"/>
              </w:rPr>
            </w:pPr>
            <w:r>
              <w:rPr>
                <w:rFonts w:hint="eastAsia" w:ascii="仿宋" w:hAnsi="仿宋" w:eastAsia="仿宋" w:cs="仿宋"/>
                <w:sz w:val="24"/>
                <w:szCs w:val="22"/>
                <w:highlight w:val="none"/>
              </w:rPr>
              <w:t>4）1名网络</w:t>
            </w:r>
            <w:r>
              <w:rPr>
                <w:rFonts w:hint="eastAsia" w:ascii="仿宋" w:hAnsi="仿宋" w:eastAsia="仿宋" w:cs="仿宋"/>
                <w:sz w:val="24"/>
                <w:szCs w:val="22"/>
                <w:highlight w:val="none"/>
                <w:lang w:val="en-US" w:eastAsia="zh-CN"/>
              </w:rPr>
              <w:t>安全</w:t>
            </w:r>
            <w:r>
              <w:rPr>
                <w:rFonts w:hint="eastAsia" w:ascii="仿宋" w:hAnsi="仿宋" w:eastAsia="仿宋" w:cs="仿宋"/>
                <w:sz w:val="24"/>
                <w:szCs w:val="22"/>
                <w:highlight w:val="none"/>
              </w:rPr>
              <w:t>工程师：需持有HCIE、H3CIE（网络厂商认证专家）或同等级原厂服务认证，具备移动办公平台网络与安全环境搭建、等保合规适配能力，熟练开展故障排查与安全防护，保障网络稳定可靠。</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3.实施服务团队熟悉移动办公系统部署工作，并拥有能独立完成技术要求的技术能力，可独立对应用作出必要调整；</w:t>
            </w:r>
          </w:p>
          <w:p>
            <w:pPr>
              <w:pStyle w:val="12"/>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highlight w:val="none"/>
              </w:rPr>
            </w:pPr>
            <w:r>
              <w:rPr>
                <w:rFonts w:hint="eastAsia" w:ascii="仿宋" w:hAnsi="仿宋" w:eastAsia="仿宋" w:cs="仿宋"/>
                <w:sz w:val="24"/>
                <w:szCs w:val="22"/>
                <w:highlight w:val="none"/>
              </w:rPr>
              <w:t>4. 实施期间，项目实施团队必须驻场服务，驻场期间需按</w:t>
            </w:r>
            <w:r>
              <w:rPr>
                <w:rFonts w:hint="eastAsia" w:ascii="仿宋" w:hAnsi="仿宋" w:eastAsia="仿宋" w:cs="仿宋"/>
                <w:sz w:val="24"/>
                <w:szCs w:val="22"/>
                <w:highlight w:val="none"/>
                <w:lang w:eastAsia="zh-CN"/>
              </w:rPr>
              <w:t>甲方</w:t>
            </w:r>
            <w:r>
              <w:rPr>
                <w:rFonts w:hint="eastAsia" w:ascii="仿宋" w:hAnsi="仿宋" w:eastAsia="仿宋" w:cs="仿宋"/>
                <w:sz w:val="24"/>
                <w:szCs w:val="22"/>
                <w:highlight w:val="none"/>
              </w:rPr>
              <w:t>要求的工作时间按时打卡上班，在工作期间遵守</w:t>
            </w:r>
            <w:r>
              <w:rPr>
                <w:rFonts w:hint="eastAsia" w:ascii="仿宋" w:hAnsi="仿宋" w:eastAsia="仿宋" w:cs="仿宋"/>
                <w:sz w:val="24"/>
                <w:szCs w:val="22"/>
                <w:highlight w:val="none"/>
                <w:lang w:eastAsia="zh-CN"/>
              </w:rPr>
              <w:t>甲方</w:t>
            </w:r>
            <w:r>
              <w:rPr>
                <w:rFonts w:hint="eastAsia" w:ascii="仿宋" w:hAnsi="仿宋" w:eastAsia="仿宋" w:cs="仿宋"/>
                <w:sz w:val="24"/>
                <w:szCs w:val="22"/>
                <w:highlight w:val="none"/>
              </w:rPr>
              <w:t>外包管理规范。</w:t>
            </w:r>
          </w:p>
        </w:tc>
      </w:tr>
      <w:tr>
        <w:tblPrEx>
          <w:tblCellMar>
            <w:top w:w="0" w:type="dxa"/>
            <w:left w:w="108" w:type="dxa"/>
            <w:bottom w:w="0" w:type="dxa"/>
            <w:right w:w="108" w:type="dxa"/>
          </w:tblCellMar>
        </w:tblPrEx>
        <w:trPr>
          <w:trHeight w:val="0" w:hRule="atLeast"/>
          <w:jc w:val="center"/>
        </w:trPr>
        <w:tc>
          <w:tcPr>
            <w:tcW w:w="3127"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原厂开发团队（</w:t>
            </w:r>
            <w:r>
              <w:rPr>
                <w:rFonts w:hint="eastAsia" w:ascii="仿宋" w:hAnsi="仿宋" w:eastAsia="仿宋" w:cs="仿宋"/>
                <w:sz w:val="24"/>
                <w:szCs w:val="22"/>
                <w:highlight w:val="none"/>
                <w:lang w:val="en-US" w:eastAsia="zh-CN"/>
              </w:rPr>
              <w:t>5</w:t>
            </w:r>
            <w:r>
              <w:rPr>
                <w:rFonts w:hint="eastAsia" w:ascii="仿宋" w:hAnsi="仿宋" w:eastAsia="仿宋" w:cs="仿宋"/>
                <w:sz w:val="24"/>
                <w:szCs w:val="22"/>
                <w:highlight w:val="none"/>
              </w:rPr>
              <w:t>名）</w:t>
            </w:r>
          </w:p>
        </w:tc>
        <w:tc>
          <w:tcPr>
            <w:tcW w:w="3216" w:type="dxa"/>
            <w:tcBorders>
              <w:top w:val="single" w:color="000000" w:sz="4" w:space="0"/>
              <w:left w:val="single" w:color="000000" w:sz="4" w:space="0"/>
              <w:bottom w:val="single" w:color="000000" w:sz="4" w:space="0"/>
              <w:right w:val="single" w:color="000000" w:sz="4" w:space="0"/>
            </w:tcBorders>
            <w:vAlign w:val="center"/>
          </w:tcPr>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负责整个项目开发、测试、软件部署、安装、调试、联调，产品试运行及项目验收、业务分析支持等现场工作，在保证安全实施的过程中及时处理项目实施过程中所遇到的各种问题，核对真实性，提出建议，检验修复情况。</w:t>
            </w:r>
          </w:p>
        </w:tc>
        <w:tc>
          <w:tcPr>
            <w:tcW w:w="3216" w:type="dxa"/>
            <w:tcBorders>
              <w:top w:val="single" w:color="000000" w:sz="4" w:space="0"/>
              <w:left w:val="single" w:color="000000" w:sz="4" w:space="0"/>
              <w:bottom w:val="single" w:color="000000" w:sz="4" w:space="0"/>
              <w:right w:val="single" w:color="000000" w:sz="4" w:space="0"/>
            </w:tcBorders>
            <w:vAlign w:val="center"/>
          </w:tcPr>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b/>
                <w:bCs/>
                <w:sz w:val="24"/>
                <w:szCs w:val="22"/>
                <w:highlight w:val="none"/>
              </w:rPr>
            </w:pPr>
            <w:r>
              <w:rPr>
                <w:rFonts w:hint="eastAsia" w:ascii="仿宋" w:hAnsi="仿宋" w:eastAsia="仿宋" w:cs="仿宋"/>
                <w:b/>
                <w:bCs/>
                <w:sz w:val="24"/>
                <w:szCs w:val="22"/>
                <w:highlight w:val="none"/>
              </w:rPr>
              <w:t>1.具备本科及以上学历，3年以上工作经验；</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2.熟练掌握移动办公平台架构、业务处理逻辑，可以较好理解业务需求，具有3年以上移动办公平台项目开发测试实施工作经验；</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3.熟悉统一身份认证系统，并拥有能独立完成技术要求的技术能力，可独立对应用作出接口对接和必要调整，具有3年以上统一身份认证平台项目开发测试实施工作经验；</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highlight w:val="none"/>
              </w:rPr>
            </w:pPr>
            <w:r>
              <w:rPr>
                <w:rFonts w:hint="eastAsia" w:ascii="仿宋" w:hAnsi="仿宋" w:eastAsia="仿宋" w:cs="仿宋"/>
                <w:sz w:val="24"/>
                <w:szCs w:val="22"/>
                <w:highlight w:val="none"/>
              </w:rPr>
              <w:t>3.熟悉</w:t>
            </w:r>
            <w:r>
              <w:rPr>
                <w:rFonts w:hint="eastAsia" w:ascii="仿宋" w:hAnsi="仿宋" w:eastAsia="仿宋" w:cs="仿宋"/>
                <w:sz w:val="24"/>
                <w:szCs w:val="22"/>
                <w:highlight w:val="none"/>
                <w:lang w:val="en-US" w:eastAsia="zh-CN"/>
              </w:rPr>
              <w:t>密码产品</w:t>
            </w:r>
            <w:r>
              <w:rPr>
                <w:rFonts w:hint="eastAsia" w:ascii="仿宋" w:hAnsi="仿宋" w:eastAsia="仿宋" w:cs="仿宋"/>
                <w:sz w:val="24"/>
                <w:szCs w:val="22"/>
                <w:highlight w:val="none"/>
              </w:rPr>
              <w:t>，并拥有能独立完成技术要求的技术能力，可独立对应用作出接口对接和必要调整，具有3年以上</w:t>
            </w:r>
            <w:r>
              <w:rPr>
                <w:rFonts w:hint="eastAsia" w:ascii="仿宋" w:hAnsi="仿宋" w:eastAsia="仿宋" w:cs="仿宋"/>
                <w:sz w:val="24"/>
                <w:szCs w:val="22"/>
                <w:highlight w:val="none"/>
                <w:lang w:val="en-US" w:eastAsia="zh-CN"/>
              </w:rPr>
              <w:t>商用密码</w:t>
            </w:r>
            <w:r>
              <w:rPr>
                <w:rFonts w:hint="eastAsia" w:ascii="仿宋" w:hAnsi="仿宋" w:eastAsia="仿宋" w:cs="仿宋"/>
                <w:sz w:val="24"/>
                <w:szCs w:val="22"/>
                <w:highlight w:val="none"/>
              </w:rPr>
              <w:t>项目开发测试实施工作经验；</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highlight w:val="none"/>
              </w:rPr>
            </w:pPr>
            <w:r>
              <w:rPr>
                <w:rFonts w:hint="eastAsia" w:ascii="仿宋" w:hAnsi="仿宋" w:eastAsia="仿宋" w:cs="仿宋"/>
                <w:sz w:val="24"/>
                <w:szCs w:val="22"/>
                <w:highlight w:val="none"/>
              </w:rPr>
              <w:t>4.项目通过验收前，提供驻场人员服务，需按我行要求的工作时间按时打卡上班，在工作期间遵守我行外包管理规范。</w:t>
            </w:r>
          </w:p>
        </w:tc>
      </w:tr>
      <w:tr>
        <w:tblPrEx>
          <w:tblCellMar>
            <w:top w:w="0" w:type="dxa"/>
            <w:left w:w="108" w:type="dxa"/>
            <w:bottom w:w="0" w:type="dxa"/>
            <w:right w:w="108" w:type="dxa"/>
          </w:tblCellMar>
        </w:tblPrEx>
        <w:trPr>
          <w:trHeight w:val="0" w:hRule="atLeast"/>
          <w:jc w:val="center"/>
        </w:trPr>
        <w:tc>
          <w:tcPr>
            <w:tcW w:w="3127" w:type="dxa"/>
            <w:tcBorders>
              <w:top w:val="single" w:color="000000" w:sz="4" w:space="0"/>
              <w:left w:val="single" w:color="000000" w:sz="4" w:space="0"/>
              <w:bottom w:val="single" w:color="000000" w:sz="4" w:space="0"/>
              <w:right w:val="single" w:color="000000" w:sz="4" w:space="0"/>
            </w:tcBorders>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驻场开发及二级运维技术人员（1名中级及以上）</w:t>
            </w:r>
          </w:p>
        </w:tc>
        <w:tc>
          <w:tcPr>
            <w:tcW w:w="3216" w:type="dxa"/>
            <w:tcBorders>
              <w:top w:val="single" w:color="000000" w:sz="4" w:space="0"/>
              <w:left w:val="single" w:color="000000" w:sz="4" w:space="0"/>
              <w:bottom w:val="single" w:color="000000" w:sz="4" w:space="0"/>
              <w:right w:val="single" w:color="000000" w:sz="4" w:space="0"/>
            </w:tcBorders>
            <w:vAlign w:val="center"/>
          </w:tcPr>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项目验收后，负责整个项目开发、测试、软件部署、安装、调试、联调，产品试运行及项目验收、业务分析支持等现场工作，在保证安全实施的过程中及时处理项目实施过程中所遇到的各种问题，核对真实性，提出建议，检验修复情况。</w:t>
            </w:r>
          </w:p>
        </w:tc>
        <w:tc>
          <w:tcPr>
            <w:tcW w:w="3216" w:type="dxa"/>
            <w:tcBorders>
              <w:top w:val="single" w:color="000000" w:sz="4" w:space="0"/>
              <w:left w:val="single" w:color="000000" w:sz="4" w:space="0"/>
              <w:bottom w:val="single" w:color="000000" w:sz="4" w:space="0"/>
              <w:right w:val="single" w:color="000000" w:sz="4" w:space="0"/>
            </w:tcBorders>
            <w:vAlign w:val="center"/>
          </w:tcPr>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b/>
                <w:bCs/>
                <w:sz w:val="24"/>
                <w:szCs w:val="22"/>
                <w:highlight w:val="none"/>
              </w:rPr>
            </w:pPr>
            <w:r>
              <w:rPr>
                <w:rFonts w:hint="eastAsia" w:ascii="仿宋" w:hAnsi="仿宋" w:eastAsia="仿宋" w:cs="仿宋"/>
                <w:b/>
                <w:bCs/>
                <w:sz w:val="24"/>
                <w:szCs w:val="22"/>
                <w:highlight w:val="none"/>
              </w:rPr>
              <w:t>1.具备本科及以上学历，3年以上工作经验；</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2.熟练掌握移动办公平台架构、业务处理逻辑，可以较好理解业务需求；</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3.熟悉统一身份认证系统，并拥有能独立完成技术要求的技术能力，可独立对应用作出接口对接和必要调整；</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4.具有移动办公平台开发测试实施工作经验1年以上工作经验；</w:t>
            </w:r>
          </w:p>
          <w:p>
            <w:pPr>
              <w:pStyle w:val="11"/>
              <w:pageBreakBefore w:val="0"/>
              <w:widowControl/>
              <w:kinsoku/>
              <w:overflowPunct/>
              <w:topLinePunct w:val="0"/>
              <w:bidi w:val="0"/>
              <w:snapToGrid w:val="0"/>
              <w:spacing w:after="0"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5.项目通过验收后，提供2年的驻场人员服务，需按我行要求的工作时间按时打卡上班，在工作期间遵守我行外包管理规范。</w:t>
            </w:r>
          </w:p>
        </w:tc>
      </w:tr>
    </w:tbl>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以上人员须提供工作职责、人员简历、身份证复印件、学历证明复印件、人员相关认证资质复印件、近六个月内任意一个月的社保证明并加盖乙方公章，其中团队中关键核心岗位人员，如项目经理，关键技术人员不得外包。</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1.同意甲方根据测试需求及项目计划对项目组人员分批面试并引入。对于面试不合格的人员，乙方承诺在3个自然日内提供补充人员直至符合标准。</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2.乙方承诺可按照实际项目要求提供充足的高、中、初级开发人员，至少能提供2倍（含）以上候选人供甲方进行选择。</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3.承诺面试候选人应为投标文件中人员列表上的人员或优于人员列表的人员。</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4.承诺已进入项目组的任何人员不得随意更换。如确实需要更换人员须经过甲方审核通过后方可换人。同时要求新换人员必须通过行方的审核，且由公司保证人员更换期间工作的连续性。</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5.入场后，供应商提供人员需签署安全保密承诺书，承诺已进入项目组的任何人员不得随意更换。如确实需要更换人员须经过甲方审核通过后方可换人。同时要求新换人员必须通过行方的审核，且由公司保证人员更换期间工作的连续性。如供应商提供的技术支持小组人员态度与能力不符合项目要求，甲方有权提出更换人员，供应商必须在10个工作日内解决，并对此而延误的项目工期负责。</w:t>
      </w:r>
    </w:p>
    <w:p>
      <w:pPr>
        <w:pStyle w:val="18"/>
        <w:pageBreakBefore w:val="0"/>
        <w:kinsoku/>
        <w:overflowPunct/>
        <w:topLinePunct w:val="0"/>
        <w:bidi w:val="0"/>
        <w:adjustRightInd w:val="0"/>
        <w:spacing w:before="0" w:beforeLines="0" w:after="0" w:afterLines="0" w:line="560" w:lineRule="exact"/>
        <w:ind w:left="0" w:leftChars="0" w:firstLine="640" w:firstLineChars="200"/>
        <w:textAlignment w:val="baseline"/>
        <w:outlineLvl w:val="0"/>
        <w:rPr>
          <w:rFonts w:ascii="Times New Roman" w:hAnsi="Times New Roman" w:eastAsia="黑体"/>
          <w:b w:val="0"/>
          <w:bCs w:val="0"/>
          <w:sz w:val="32"/>
          <w:highlight w:val="none"/>
        </w:rPr>
      </w:pPr>
      <w:bookmarkStart w:id="181" w:name="_Toc17354"/>
      <w:bookmarkStart w:id="182" w:name="_Toc8495"/>
      <w:bookmarkStart w:id="183" w:name="_Toc20336"/>
      <w:r>
        <w:rPr>
          <w:rFonts w:ascii="Times New Roman" w:hAnsi="黑体" w:eastAsia="黑体"/>
          <w:b w:val="0"/>
          <w:bCs w:val="0"/>
          <w:sz w:val="32"/>
          <w:highlight w:val="none"/>
        </w:rPr>
        <w:t>七、安全要求</w:t>
      </w:r>
      <w:bookmarkEnd w:id="181"/>
      <w:bookmarkEnd w:id="182"/>
      <w:bookmarkEnd w:id="183"/>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1、在法律合规方面，应有效规避服务过程中给我行带来的法律风险。</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2、在信息保密方面，公司应有效规避因服务人员导致的银行信息（如业务数据和商务信息等）泄漏风险。</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3、在生产安全方面，公司应严格规避因人员操作不当，导致的银行系统出现安全性和稳定性风险事件。</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4、在安全审计方面，公司应确保针对银行设备的相关操作留有纸质或视频记录。</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5、保密/知识产权要求（如有）供应商对项目实施中涉及到的相关数据、资料、文档等具有保密的义务，并应按照相应保密规定执行。本项目所形成的数据成果归甲方所有。未经甲方同意，供应商不得以商业目的使用该资料或者开发和生产其他产品。</w:t>
      </w:r>
    </w:p>
    <w:p>
      <w:pPr>
        <w:pStyle w:val="18"/>
        <w:pageBreakBefore w:val="0"/>
        <w:kinsoku/>
        <w:overflowPunct/>
        <w:topLinePunct w:val="0"/>
        <w:bidi w:val="0"/>
        <w:adjustRightInd w:val="0"/>
        <w:spacing w:before="0" w:beforeLines="0" w:after="0" w:afterLines="0" w:line="560" w:lineRule="exact"/>
        <w:ind w:left="0" w:leftChars="0" w:firstLine="640" w:firstLineChars="200"/>
        <w:textAlignment w:val="baseline"/>
        <w:outlineLvl w:val="0"/>
        <w:rPr>
          <w:rFonts w:ascii="Times New Roman" w:hAnsi="Times New Roman" w:eastAsia="黑体"/>
          <w:b w:val="0"/>
          <w:bCs w:val="0"/>
          <w:sz w:val="32"/>
          <w:highlight w:val="none"/>
        </w:rPr>
      </w:pPr>
      <w:bookmarkStart w:id="184" w:name="_Toc22161"/>
      <w:bookmarkStart w:id="185" w:name="_Toc3847"/>
      <w:bookmarkStart w:id="186" w:name="_Toc3686"/>
      <w:r>
        <w:rPr>
          <w:rFonts w:ascii="Times New Roman" w:hAnsi="黑体" w:eastAsia="黑体"/>
          <w:b w:val="0"/>
          <w:bCs w:val="0"/>
          <w:sz w:val="32"/>
          <w:highlight w:val="none"/>
        </w:rPr>
        <w:t>八、交付或实施时间、地点</w:t>
      </w:r>
      <w:bookmarkEnd w:id="184"/>
      <w:bookmarkEnd w:id="185"/>
      <w:bookmarkEnd w:id="186"/>
    </w:p>
    <w:p>
      <w:pPr>
        <w:keepNext w:val="0"/>
        <w:keepLines w:val="0"/>
        <w:pageBreakBefore w:val="0"/>
        <w:widowControl w:val="0"/>
        <w:kinsoku/>
        <w:wordWrap/>
        <w:overflowPunct/>
        <w:topLinePunct w:val="0"/>
        <w:autoSpaceDE/>
        <w:autoSpaceDN/>
        <w:bidi w:val="0"/>
        <w:adjustRightInd w:val="0"/>
        <w:snapToGrid/>
        <w:spacing w:line="560" w:lineRule="exact"/>
        <w:ind w:left="0" w:leftChars="0" w:firstLine="643" w:firstLineChars="200"/>
        <w:textAlignment w:val="baseline"/>
        <w:outlineLvl w:val="1"/>
        <w:rPr>
          <w:rFonts w:hint="eastAsia" w:ascii="楷体_GB2312" w:hAnsi="楷体_GB2312" w:eastAsia="楷体_GB2312" w:cs="楷体_GB2312"/>
          <w:b/>
          <w:bCs/>
          <w:sz w:val="32"/>
          <w:szCs w:val="22"/>
          <w:highlight w:val="none"/>
          <w:lang w:eastAsia="zh-CN"/>
        </w:rPr>
      </w:pPr>
      <w:r>
        <w:rPr>
          <w:rFonts w:hint="eastAsia" w:ascii="楷体_GB2312" w:hAnsi="楷体_GB2312" w:eastAsia="楷体_GB2312" w:cs="楷体_GB2312"/>
          <w:b/>
          <w:bCs/>
          <w:sz w:val="32"/>
          <w:szCs w:val="32"/>
          <w:highlight w:val="none"/>
        </w:rPr>
        <w:t>（一）</w:t>
      </w:r>
      <w:r>
        <w:rPr>
          <w:rFonts w:hint="eastAsia" w:ascii="楷体_GB2312" w:hAnsi="楷体_GB2312" w:eastAsia="楷体_GB2312" w:cs="楷体_GB2312"/>
          <w:b/>
          <w:bCs/>
          <w:sz w:val="32"/>
          <w:szCs w:val="22"/>
          <w:highlight w:val="none"/>
        </w:rPr>
        <w:t>项目实施进度</w:t>
      </w:r>
      <w:r>
        <w:rPr>
          <w:rFonts w:hint="eastAsia" w:ascii="楷体_GB2312" w:hAnsi="楷体_GB2312" w:eastAsia="楷体_GB2312" w:cs="楷体_GB2312"/>
          <w:b/>
          <w:bCs/>
          <w:sz w:val="32"/>
          <w:szCs w:val="22"/>
          <w:highlight w:val="none"/>
          <w:lang w:eastAsia="zh-CN"/>
        </w:rPr>
        <w:t>。</w:t>
      </w:r>
    </w:p>
    <w:tbl>
      <w:tblPr>
        <w:tblStyle w:val="22"/>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2333"/>
        <w:gridCol w:w="5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28"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4"/>
                <w:szCs w:val="22"/>
                <w:highlight w:val="none"/>
              </w:rPr>
            </w:pPr>
            <w:r>
              <w:rPr>
                <w:rFonts w:hint="eastAsia" w:ascii="仿宋" w:hAnsi="仿宋" w:eastAsia="仿宋" w:cs="仿宋"/>
                <w:b/>
                <w:bCs/>
                <w:sz w:val="24"/>
                <w:szCs w:val="22"/>
                <w:highlight w:val="none"/>
              </w:rPr>
              <w:t>序号</w:t>
            </w:r>
          </w:p>
        </w:tc>
        <w:tc>
          <w:tcPr>
            <w:tcW w:w="2333"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4"/>
                <w:szCs w:val="22"/>
                <w:highlight w:val="none"/>
              </w:rPr>
            </w:pPr>
            <w:r>
              <w:rPr>
                <w:rFonts w:hint="eastAsia" w:ascii="仿宋" w:hAnsi="仿宋" w:eastAsia="仿宋" w:cs="仿宋"/>
                <w:b/>
                <w:bCs/>
                <w:sz w:val="24"/>
                <w:szCs w:val="22"/>
                <w:highlight w:val="none"/>
              </w:rPr>
              <w:t>实施阶段</w:t>
            </w:r>
          </w:p>
        </w:tc>
        <w:tc>
          <w:tcPr>
            <w:tcW w:w="5823"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b/>
                <w:bCs/>
                <w:sz w:val="24"/>
                <w:szCs w:val="22"/>
                <w:highlight w:val="none"/>
              </w:rPr>
            </w:pPr>
            <w:r>
              <w:rPr>
                <w:rFonts w:hint="eastAsia" w:ascii="仿宋" w:hAnsi="仿宋" w:eastAsia="仿宋" w:cs="仿宋"/>
                <w:b/>
                <w:bCs/>
                <w:sz w:val="24"/>
                <w:szCs w:val="22"/>
                <w:highlight w:val="none"/>
              </w:rPr>
              <w:t>项目周期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28"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4"/>
                <w:szCs w:val="22"/>
                <w:highlight w:val="none"/>
              </w:rPr>
            </w:pPr>
            <w:r>
              <w:rPr>
                <w:rFonts w:hint="eastAsia" w:ascii="仿宋" w:hAnsi="仿宋" w:eastAsia="仿宋" w:cs="仿宋"/>
                <w:sz w:val="24"/>
                <w:szCs w:val="22"/>
                <w:highlight w:val="none"/>
              </w:rPr>
              <w:t>1</w:t>
            </w:r>
          </w:p>
        </w:tc>
        <w:tc>
          <w:tcPr>
            <w:tcW w:w="2333"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lang w:val="en-US" w:eastAsia="zh-CN"/>
              </w:rPr>
              <w:t>系统建设</w:t>
            </w:r>
            <w:r>
              <w:rPr>
                <w:rFonts w:hint="eastAsia" w:ascii="仿宋" w:hAnsi="仿宋" w:eastAsia="仿宋" w:cs="仿宋"/>
                <w:sz w:val="24"/>
                <w:szCs w:val="22"/>
                <w:highlight w:val="none"/>
              </w:rPr>
              <w:t>阶段</w:t>
            </w:r>
          </w:p>
        </w:tc>
        <w:tc>
          <w:tcPr>
            <w:tcW w:w="5823"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合同签订</w:t>
            </w:r>
            <w:r>
              <w:rPr>
                <w:rFonts w:hint="eastAsia" w:ascii="仿宋" w:hAnsi="仿宋" w:eastAsia="仿宋" w:cs="仿宋"/>
                <w:sz w:val="24"/>
                <w:szCs w:val="22"/>
                <w:highlight w:val="none"/>
                <w:lang w:val="en-US" w:eastAsia="zh-CN"/>
              </w:rPr>
              <w:t>6</w:t>
            </w:r>
            <w:r>
              <w:rPr>
                <w:rFonts w:hint="eastAsia" w:ascii="仿宋" w:hAnsi="仿宋" w:eastAsia="仿宋" w:cs="仿宋"/>
                <w:sz w:val="24"/>
                <w:szCs w:val="22"/>
                <w:highlight w:val="none"/>
              </w:rPr>
              <w:t>个月内完成平台</w:t>
            </w:r>
            <w:r>
              <w:rPr>
                <w:rFonts w:hint="eastAsia" w:ascii="仿宋" w:hAnsi="仿宋" w:eastAsia="仿宋" w:cs="仿宋"/>
                <w:sz w:val="24"/>
                <w:szCs w:val="22"/>
                <w:highlight w:val="none"/>
                <w:lang w:val="en-US" w:eastAsia="zh-CN"/>
              </w:rPr>
              <w:t>投产上线</w:t>
            </w:r>
            <w:r>
              <w:rPr>
                <w:rFonts w:hint="eastAsia" w:ascii="仿宋" w:hAnsi="仿宋" w:eastAsia="仿宋" w:cs="仿宋"/>
                <w:sz w:val="24"/>
                <w:szCs w:val="22"/>
                <w:highlight w:val="none"/>
              </w:rPr>
              <w:t>，通过</w:t>
            </w:r>
            <w:r>
              <w:rPr>
                <w:rFonts w:hint="eastAsia" w:ascii="仿宋" w:hAnsi="仿宋" w:eastAsia="仿宋" w:cs="仿宋"/>
                <w:sz w:val="24"/>
                <w:szCs w:val="22"/>
                <w:highlight w:val="none"/>
                <w:lang w:val="en-US" w:eastAsia="zh-CN"/>
              </w:rPr>
              <w:t>验收</w:t>
            </w:r>
            <w:r>
              <w:rPr>
                <w:rFonts w:hint="eastAsia" w:ascii="仿宋" w:hAnsi="仿宋" w:eastAsia="仿宋" w:cs="仿宋"/>
                <w:sz w:val="24"/>
                <w:szCs w:val="22"/>
                <w:highlight w:val="none"/>
              </w:rPr>
              <w:t>后进入</w:t>
            </w:r>
            <w:r>
              <w:rPr>
                <w:rFonts w:hint="eastAsia" w:ascii="仿宋" w:hAnsi="仿宋" w:eastAsia="仿宋" w:cs="仿宋"/>
                <w:sz w:val="24"/>
                <w:szCs w:val="22"/>
                <w:highlight w:val="none"/>
                <w:lang w:val="en-US" w:eastAsia="zh-CN"/>
              </w:rPr>
              <w:t>2年维保期</w:t>
            </w:r>
            <w:r>
              <w:rPr>
                <w:rFonts w:hint="eastAsia" w:ascii="仿宋" w:hAnsi="仿宋" w:eastAsia="仿宋" w:cs="仿宋"/>
                <w:sz w:val="24"/>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28" w:type="dxa"/>
            <w:vAlign w:val="center"/>
          </w:tcPr>
          <w:p>
            <w:pPr>
              <w:pageBreakBefore w:val="0"/>
              <w:kinsoku/>
              <w:overflowPunct/>
              <w:topLinePunct w:val="0"/>
              <w:bidi w:val="0"/>
              <w:snapToGrid w:val="0"/>
              <w:spacing w:line="240" w:lineRule="auto"/>
              <w:ind w:left="0" w:leftChars="0" w:right="0" w:rightChars="0" w:firstLine="0" w:firstLineChars="0"/>
              <w:jc w:val="center"/>
              <w:rPr>
                <w:rFonts w:hint="eastAsia" w:ascii="仿宋" w:hAnsi="仿宋" w:eastAsia="仿宋" w:cs="仿宋"/>
                <w:sz w:val="24"/>
                <w:szCs w:val="22"/>
                <w:highlight w:val="none"/>
              </w:rPr>
            </w:pPr>
            <w:r>
              <w:rPr>
                <w:rFonts w:hint="eastAsia" w:ascii="仿宋" w:hAnsi="仿宋" w:eastAsia="仿宋" w:cs="仿宋"/>
                <w:sz w:val="24"/>
                <w:szCs w:val="22"/>
                <w:highlight w:val="none"/>
              </w:rPr>
              <w:t>2</w:t>
            </w:r>
          </w:p>
        </w:tc>
        <w:tc>
          <w:tcPr>
            <w:tcW w:w="2333"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驻场</w:t>
            </w:r>
            <w:r>
              <w:rPr>
                <w:rFonts w:hint="eastAsia" w:ascii="仿宋" w:hAnsi="仿宋" w:eastAsia="仿宋" w:cs="仿宋"/>
                <w:sz w:val="24"/>
                <w:szCs w:val="22"/>
                <w:highlight w:val="none"/>
                <w:lang w:val="en-US" w:eastAsia="zh-CN"/>
              </w:rPr>
              <w:t>开发及二级运维</w:t>
            </w:r>
            <w:r>
              <w:rPr>
                <w:rFonts w:hint="eastAsia" w:ascii="仿宋" w:hAnsi="仿宋" w:eastAsia="仿宋" w:cs="仿宋"/>
                <w:sz w:val="24"/>
                <w:szCs w:val="22"/>
                <w:highlight w:val="none"/>
              </w:rPr>
              <w:t>阶段</w:t>
            </w:r>
          </w:p>
        </w:tc>
        <w:tc>
          <w:tcPr>
            <w:tcW w:w="5823" w:type="dxa"/>
            <w:vAlign w:val="center"/>
          </w:tcPr>
          <w:p>
            <w:pPr>
              <w:pageBreakBefore w:val="0"/>
              <w:kinsoku/>
              <w:overflowPunct/>
              <w:topLinePunct w:val="0"/>
              <w:bidi w:val="0"/>
              <w:snapToGrid w:val="0"/>
              <w:spacing w:line="240" w:lineRule="auto"/>
              <w:ind w:left="0" w:leftChars="0" w:right="0" w:rightChars="0" w:firstLine="0" w:firstLineChars="0"/>
              <w:jc w:val="left"/>
              <w:rPr>
                <w:rFonts w:hint="eastAsia" w:ascii="仿宋" w:hAnsi="仿宋" w:eastAsia="仿宋" w:cs="仿宋"/>
                <w:sz w:val="24"/>
                <w:szCs w:val="22"/>
                <w:highlight w:val="none"/>
              </w:rPr>
            </w:pPr>
            <w:r>
              <w:rPr>
                <w:rFonts w:hint="eastAsia" w:ascii="仿宋" w:hAnsi="仿宋" w:eastAsia="仿宋" w:cs="仿宋"/>
                <w:sz w:val="24"/>
                <w:szCs w:val="22"/>
                <w:highlight w:val="none"/>
              </w:rPr>
              <w:t>自通过验收之日起</w:t>
            </w:r>
            <w:r>
              <w:rPr>
                <w:rFonts w:hint="eastAsia" w:ascii="仿宋" w:hAnsi="仿宋" w:eastAsia="仿宋" w:cs="仿宋"/>
                <w:sz w:val="24"/>
                <w:szCs w:val="22"/>
                <w:highlight w:val="none"/>
                <w:lang w:val="en-US" w:eastAsia="zh-CN"/>
              </w:rPr>
              <w:t>满2年</w:t>
            </w:r>
            <w:r>
              <w:rPr>
                <w:rFonts w:hint="eastAsia" w:ascii="仿宋" w:hAnsi="仿宋" w:eastAsia="仿宋" w:cs="仿宋"/>
                <w:sz w:val="24"/>
                <w:szCs w:val="22"/>
                <w:highlight w:val="none"/>
              </w:rPr>
              <w:t>。</w:t>
            </w:r>
          </w:p>
        </w:tc>
      </w:tr>
    </w:tbl>
    <w:p>
      <w:pPr>
        <w:keepNext w:val="0"/>
        <w:keepLines w:val="0"/>
        <w:pageBreakBefore w:val="0"/>
        <w:widowControl w:val="0"/>
        <w:kinsoku/>
        <w:wordWrap/>
        <w:overflowPunct/>
        <w:topLinePunct w:val="0"/>
        <w:autoSpaceDE/>
        <w:autoSpaceDN/>
        <w:bidi w:val="0"/>
        <w:adjustRightInd w:val="0"/>
        <w:snapToGrid/>
        <w:spacing w:line="560" w:lineRule="exact"/>
        <w:ind w:left="0" w:leftChars="0" w:firstLine="643" w:firstLineChars="200"/>
        <w:textAlignment w:val="baseline"/>
        <w:outlineLvl w:val="1"/>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rPr>
        <w:t>（二）服务地点</w:t>
      </w:r>
      <w:r>
        <w:rPr>
          <w:rFonts w:hint="eastAsia" w:ascii="楷体_GB2312" w:hAnsi="楷体_GB2312" w:eastAsia="楷体_GB2312" w:cs="楷体_GB2312"/>
          <w:b/>
          <w:bCs/>
          <w:sz w:val="32"/>
          <w:szCs w:val="32"/>
          <w:highlight w:val="none"/>
          <w:lang w:eastAsia="zh-CN"/>
        </w:rPr>
        <w:t>。</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北京。</w:t>
      </w:r>
    </w:p>
    <w:p>
      <w:pPr>
        <w:keepNext w:val="0"/>
        <w:keepLines w:val="0"/>
        <w:pageBreakBefore w:val="0"/>
        <w:widowControl w:val="0"/>
        <w:kinsoku/>
        <w:wordWrap/>
        <w:overflowPunct/>
        <w:topLinePunct w:val="0"/>
        <w:autoSpaceDE/>
        <w:autoSpaceDN/>
        <w:bidi w:val="0"/>
        <w:adjustRightInd w:val="0"/>
        <w:snapToGrid/>
        <w:spacing w:line="560" w:lineRule="exact"/>
        <w:ind w:left="0" w:leftChars="0" w:firstLine="643" w:firstLineChars="200"/>
        <w:textAlignment w:val="baseline"/>
        <w:outlineLvl w:val="1"/>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rPr>
        <w:t>（三）服务期限</w:t>
      </w:r>
      <w:r>
        <w:rPr>
          <w:rFonts w:hint="eastAsia" w:ascii="楷体_GB2312" w:hAnsi="楷体_GB2312" w:eastAsia="楷体_GB2312" w:cs="楷体_GB2312"/>
          <w:b/>
          <w:bCs/>
          <w:sz w:val="32"/>
          <w:szCs w:val="32"/>
          <w:highlight w:val="none"/>
          <w:lang w:eastAsia="zh-CN"/>
        </w:rPr>
        <w:t>。</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1.移动办公平台建设实施阶段，自合同签订之日起至通过验收后维保期满2年；</w:t>
      </w:r>
    </w:p>
    <w:p>
      <w:pPr>
        <w:pStyle w:val="7"/>
        <w:keepNext/>
        <w:keepLines/>
        <w:pageBreakBefore w:val="0"/>
        <w:widowControl w:val="0"/>
        <w:kinsoku/>
        <w:wordWrap/>
        <w:overflowPunct/>
        <w:topLinePunct w:val="0"/>
        <w:autoSpaceDE/>
        <w:autoSpaceDN/>
        <w:bidi w:val="0"/>
        <w:adjustRightInd w:val="0"/>
        <w:snapToGrid/>
        <w:spacing w:before="0" w:after="0" w:line="560" w:lineRule="exact"/>
        <w:ind w:left="0" w:leftChars="0" w:firstLine="560" w:firstLineChars="200"/>
        <w:textAlignment w:val="baseline"/>
        <w:rPr>
          <w:rFonts w:eastAsia="黑体"/>
          <w:sz w:val="32"/>
        </w:rPr>
      </w:pPr>
      <w:r>
        <w:rPr>
          <w:rFonts w:hint="eastAsia" w:ascii="仿宋" w:hAnsi="仿宋" w:eastAsia="仿宋" w:cs="仿宋"/>
          <w:b w:val="0"/>
          <w:bCs w:val="0"/>
          <w:kern w:val="2"/>
          <w:sz w:val="28"/>
          <w:szCs w:val="28"/>
          <w:highlight w:val="none"/>
          <w:lang w:val="en-US" w:eastAsia="zh-CN" w:bidi="ar-SA"/>
        </w:rPr>
        <w:t>2.驻场开发及二级运维阶段阶段，通过验收后满2年。</w:t>
      </w:r>
    </w:p>
    <w:sectPr>
      <w:footerReference r:id="rId4" w:type="default"/>
      <w:pgSz w:w="11906" w:h="16838"/>
      <w:pgMar w:top="1440" w:right="1519" w:bottom="1440" w:left="1519"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25C353"/>
    <w:multiLevelType w:val="singleLevel"/>
    <w:tmpl w:val="9925C353"/>
    <w:lvl w:ilvl="0" w:tentative="0">
      <w:start w:val="10"/>
      <w:numFmt w:val="chineseCounting"/>
      <w:suff w:val="nothing"/>
      <w:lvlText w:val="（%1）"/>
      <w:lvlJc w:val="left"/>
      <w:rPr>
        <w:rFonts w:hint="eastAsia"/>
      </w:rPr>
    </w:lvl>
  </w:abstractNum>
  <w:abstractNum w:abstractNumId="1">
    <w:nsid w:val="C5588311"/>
    <w:multiLevelType w:val="singleLevel"/>
    <w:tmpl w:val="C5588311"/>
    <w:lvl w:ilvl="0" w:tentative="0">
      <w:start w:val="1"/>
      <w:numFmt w:val="decimal"/>
      <w:lvlText w:val="%1."/>
      <w:lvlJc w:val="left"/>
      <w:pPr>
        <w:tabs>
          <w:tab w:val="left" w:pos="312"/>
        </w:tabs>
      </w:pPr>
    </w:lvl>
  </w:abstractNum>
  <w:abstractNum w:abstractNumId="2">
    <w:nsid w:val="D47B575D"/>
    <w:multiLevelType w:val="singleLevel"/>
    <w:tmpl w:val="D47B575D"/>
    <w:lvl w:ilvl="0" w:tentative="0">
      <w:start w:val="1"/>
      <w:numFmt w:val="decimal"/>
      <w:suff w:val="nothing"/>
      <w:lvlText w:val="（%1）"/>
      <w:lvlJc w:val="left"/>
    </w:lvl>
  </w:abstractNum>
  <w:abstractNum w:abstractNumId="3">
    <w:nsid w:val="0AE2C34B"/>
    <w:multiLevelType w:val="singleLevel"/>
    <w:tmpl w:val="0AE2C34B"/>
    <w:lvl w:ilvl="0" w:tentative="0">
      <w:start w:val="2"/>
      <w:numFmt w:val="chineseCounting"/>
      <w:suff w:val="nothing"/>
      <w:lvlText w:val="%1、"/>
      <w:lvlJc w:val="left"/>
      <w:rPr>
        <w:rFonts w:hint="eastAsia"/>
      </w:rPr>
    </w:lvl>
  </w:abstractNum>
  <w:abstractNum w:abstractNumId="4">
    <w:nsid w:val="0E24FF9E"/>
    <w:multiLevelType w:val="singleLevel"/>
    <w:tmpl w:val="0E24FF9E"/>
    <w:lvl w:ilvl="0" w:tentative="0">
      <w:start w:val="1"/>
      <w:numFmt w:val="decimal"/>
      <w:suff w:val="nothing"/>
      <w:lvlText w:val="%1、"/>
      <w:lvlJc w:val="left"/>
    </w:lvl>
  </w:abstractNum>
  <w:abstractNum w:abstractNumId="5">
    <w:nsid w:val="2496E257"/>
    <w:multiLevelType w:val="singleLevel"/>
    <w:tmpl w:val="2496E257"/>
    <w:lvl w:ilvl="0" w:tentative="0">
      <w:start w:val="1"/>
      <w:numFmt w:val="decimal"/>
      <w:lvlText w:val="%1."/>
      <w:lvlJc w:val="left"/>
      <w:pPr>
        <w:tabs>
          <w:tab w:val="left" w:pos="312"/>
        </w:tabs>
      </w:pPr>
    </w:lvl>
  </w:abstractNum>
  <w:abstractNum w:abstractNumId="6">
    <w:nsid w:val="345B4231"/>
    <w:multiLevelType w:val="singleLevel"/>
    <w:tmpl w:val="345B4231"/>
    <w:lvl w:ilvl="0" w:tentative="0">
      <w:start w:val="1"/>
      <w:numFmt w:val="decimal"/>
      <w:lvlText w:val="%1."/>
      <w:lvlJc w:val="left"/>
      <w:pPr>
        <w:tabs>
          <w:tab w:val="left" w:pos="312"/>
        </w:tabs>
      </w:pPr>
    </w:lvl>
  </w:abstractNum>
  <w:abstractNum w:abstractNumId="7">
    <w:nsid w:val="4EE32626"/>
    <w:multiLevelType w:val="singleLevel"/>
    <w:tmpl w:val="4EE32626"/>
    <w:lvl w:ilvl="0" w:tentative="0">
      <w:start w:val="1"/>
      <w:numFmt w:val="decimal"/>
      <w:lvlText w:val="%1."/>
      <w:lvlJc w:val="left"/>
      <w:pPr>
        <w:tabs>
          <w:tab w:val="left" w:pos="312"/>
        </w:tabs>
      </w:pPr>
    </w:lvl>
  </w:abstractNum>
  <w:abstractNum w:abstractNumId="8">
    <w:nsid w:val="531E8E73"/>
    <w:multiLevelType w:val="singleLevel"/>
    <w:tmpl w:val="531E8E73"/>
    <w:lvl w:ilvl="0" w:tentative="0">
      <w:start w:val="1"/>
      <w:numFmt w:val="decimal"/>
      <w:suff w:val="nothing"/>
      <w:lvlText w:val="%1、"/>
      <w:lvlJc w:val="left"/>
    </w:lvl>
  </w:abstractNum>
  <w:abstractNum w:abstractNumId="9">
    <w:nsid w:val="7355467D"/>
    <w:multiLevelType w:val="singleLevel"/>
    <w:tmpl w:val="7355467D"/>
    <w:lvl w:ilvl="0" w:tentative="0">
      <w:start w:val="1"/>
      <w:numFmt w:val="decimal"/>
      <w:lvlText w:val="%1."/>
      <w:lvlJc w:val="left"/>
      <w:pPr>
        <w:tabs>
          <w:tab w:val="left" w:pos="312"/>
        </w:tabs>
      </w:pPr>
    </w:lvl>
  </w:abstractNum>
  <w:num w:numId="1">
    <w:abstractNumId w:val="3"/>
  </w:num>
  <w:num w:numId="2">
    <w:abstractNumId w:val="7"/>
  </w:num>
  <w:num w:numId="3">
    <w:abstractNumId w:val="1"/>
  </w:num>
  <w:num w:numId="4">
    <w:abstractNumId w:val="5"/>
  </w:num>
  <w:num w:numId="5">
    <w:abstractNumId w:val="9"/>
  </w:num>
  <w:num w:numId="6">
    <w:abstractNumId w:val="6"/>
  </w:num>
  <w:num w:numId="7">
    <w:abstractNumId w:val="2"/>
  </w:num>
  <w:num w:numId="8">
    <w:abstractNumId w:val="4"/>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zOGI2Mjc5Zjk4YTlhOTQ2ZDAzOWU4OWRlZWZhYmMifQ=="/>
  </w:docVars>
  <w:rsids>
    <w:rsidRoot w:val="00AD313C"/>
    <w:rsid w:val="00001F87"/>
    <w:rsid w:val="00002F4D"/>
    <w:rsid w:val="00020417"/>
    <w:rsid w:val="00027E35"/>
    <w:rsid w:val="0005070C"/>
    <w:rsid w:val="00076B15"/>
    <w:rsid w:val="000A4487"/>
    <w:rsid w:val="000B4E8B"/>
    <w:rsid w:val="000B6BF5"/>
    <w:rsid w:val="000C5053"/>
    <w:rsid w:val="000F1F77"/>
    <w:rsid w:val="0010227B"/>
    <w:rsid w:val="00106366"/>
    <w:rsid w:val="00132C2F"/>
    <w:rsid w:val="0015365E"/>
    <w:rsid w:val="00161E17"/>
    <w:rsid w:val="001644A0"/>
    <w:rsid w:val="001A357E"/>
    <w:rsid w:val="001A6BAC"/>
    <w:rsid w:val="001B1606"/>
    <w:rsid w:val="001B3FEF"/>
    <w:rsid w:val="001C18EE"/>
    <w:rsid w:val="001D3FC6"/>
    <w:rsid w:val="001D4A59"/>
    <w:rsid w:val="001E47FF"/>
    <w:rsid w:val="002344FB"/>
    <w:rsid w:val="00245FD4"/>
    <w:rsid w:val="0026024F"/>
    <w:rsid w:val="00270F85"/>
    <w:rsid w:val="00286C6E"/>
    <w:rsid w:val="0029472C"/>
    <w:rsid w:val="002C304B"/>
    <w:rsid w:val="002D00FA"/>
    <w:rsid w:val="002D2B25"/>
    <w:rsid w:val="002D3DA5"/>
    <w:rsid w:val="002E2733"/>
    <w:rsid w:val="002F300E"/>
    <w:rsid w:val="00311BA2"/>
    <w:rsid w:val="00317D48"/>
    <w:rsid w:val="003365B5"/>
    <w:rsid w:val="00337DC1"/>
    <w:rsid w:val="003609F9"/>
    <w:rsid w:val="003B1C5F"/>
    <w:rsid w:val="003C4BB1"/>
    <w:rsid w:val="003D791E"/>
    <w:rsid w:val="00405E5B"/>
    <w:rsid w:val="00412555"/>
    <w:rsid w:val="00413DD8"/>
    <w:rsid w:val="00430C5D"/>
    <w:rsid w:val="004430F6"/>
    <w:rsid w:val="00456725"/>
    <w:rsid w:val="0046192E"/>
    <w:rsid w:val="00461FAB"/>
    <w:rsid w:val="004630FD"/>
    <w:rsid w:val="00464BFD"/>
    <w:rsid w:val="0049322E"/>
    <w:rsid w:val="004D3DA8"/>
    <w:rsid w:val="004F1B92"/>
    <w:rsid w:val="00506733"/>
    <w:rsid w:val="00533D9F"/>
    <w:rsid w:val="0054613C"/>
    <w:rsid w:val="00572F64"/>
    <w:rsid w:val="0058093F"/>
    <w:rsid w:val="005A0907"/>
    <w:rsid w:val="005C1F48"/>
    <w:rsid w:val="005C330E"/>
    <w:rsid w:val="005C515E"/>
    <w:rsid w:val="00640F9B"/>
    <w:rsid w:val="00653CA3"/>
    <w:rsid w:val="0069792D"/>
    <w:rsid w:val="006B7A3F"/>
    <w:rsid w:val="006F301D"/>
    <w:rsid w:val="00727742"/>
    <w:rsid w:val="00746BC1"/>
    <w:rsid w:val="00747E94"/>
    <w:rsid w:val="00775C06"/>
    <w:rsid w:val="00785490"/>
    <w:rsid w:val="007B2752"/>
    <w:rsid w:val="007B6B4A"/>
    <w:rsid w:val="007C63FA"/>
    <w:rsid w:val="007F1E83"/>
    <w:rsid w:val="007F70E0"/>
    <w:rsid w:val="00803AB9"/>
    <w:rsid w:val="00834685"/>
    <w:rsid w:val="00835A0D"/>
    <w:rsid w:val="00850F01"/>
    <w:rsid w:val="00852BE5"/>
    <w:rsid w:val="008565AE"/>
    <w:rsid w:val="00862CBD"/>
    <w:rsid w:val="008A7F68"/>
    <w:rsid w:val="008B11B0"/>
    <w:rsid w:val="008C6E43"/>
    <w:rsid w:val="008F21FA"/>
    <w:rsid w:val="00913D4D"/>
    <w:rsid w:val="00914DD8"/>
    <w:rsid w:val="0092712E"/>
    <w:rsid w:val="00937416"/>
    <w:rsid w:val="00953631"/>
    <w:rsid w:val="009626AA"/>
    <w:rsid w:val="009767F4"/>
    <w:rsid w:val="00977659"/>
    <w:rsid w:val="00981AF9"/>
    <w:rsid w:val="009A158D"/>
    <w:rsid w:val="009B2A5F"/>
    <w:rsid w:val="009B35FC"/>
    <w:rsid w:val="009E3627"/>
    <w:rsid w:val="009F4608"/>
    <w:rsid w:val="00A21D7A"/>
    <w:rsid w:val="00A3689F"/>
    <w:rsid w:val="00A8632C"/>
    <w:rsid w:val="00AA242B"/>
    <w:rsid w:val="00AC2E26"/>
    <w:rsid w:val="00AC4C09"/>
    <w:rsid w:val="00AD19A6"/>
    <w:rsid w:val="00AD313C"/>
    <w:rsid w:val="00AF7A10"/>
    <w:rsid w:val="00B0713A"/>
    <w:rsid w:val="00B07D33"/>
    <w:rsid w:val="00B73868"/>
    <w:rsid w:val="00B75566"/>
    <w:rsid w:val="00B810D5"/>
    <w:rsid w:val="00B82392"/>
    <w:rsid w:val="00BB3F96"/>
    <w:rsid w:val="00BD2CFA"/>
    <w:rsid w:val="00BD687C"/>
    <w:rsid w:val="00BF4605"/>
    <w:rsid w:val="00C335C5"/>
    <w:rsid w:val="00C6367F"/>
    <w:rsid w:val="00C92412"/>
    <w:rsid w:val="00C9350B"/>
    <w:rsid w:val="00C9792B"/>
    <w:rsid w:val="00D211DE"/>
    <w:rsid w:val="00D54EE2"/>
    <w:rsid w:val="00D652B8"/>
    <w:rsid w:val="00D653A3"/>
    <w:rsid w:val="00D667CC"/>
    <w:rsid w:val="00D91159"/>
    <w:rsid w:val="00DA2BA3"/>
    <w:rsid w:val="00DC1B3A"/>
    <w:rsid w:val="00DF67D8"/>
    <w:rsid w:val="00E127C6"/>
    <w:rsid w:val="00E150AD"/>
    <w:rsid w:val="00E50D21"/>
    <w:rsid w:val="00E676FB"/>
    <w:rsid w:val="00E90324"/>
    <w:rsid w:val="00E97B61"/>
    <w:rsid w:val="00EA69D6"/>
    <w:rsid w:val="00EE7F3A"/>
    <w:rsid w:val="00EF2463"/>
    <w:rsid w:val="00F162DF"/>
    <w:rsid w:val="00F16F8A"/>
    <w:rsid w:val="00F3053D"/>
    <w:rsid w:val="00F83D46"/>
    <w:rsid w:val="00FA333D"/>
    <w:rsid w:val="00FD5CD7"/>
    <w:rsid w:val="00FE6F5C"/>
    <w:rsid w:val="00FF1C87"/>
    <w:rsid w:val="010369BD"/>
    <w:rsid w:val="014710C1"/>
    <w:rsid w:val="014A1359"/>
    <w:rsid w:val="015E7B48"/>
    <w:rsid w:val="01E75148"/>
    <w:rsid w:val="02300221"/>
    <w:rsid w:val="023C25D3"/>
    <w:rsid w:val="026622A7"/>
    <w:rsid w:val="02951782"/>
    <w:rsid w:val="02DC57B7"/>
    <w:rsid w:val="02EE5CD6"/>
    <w:rsid w:val="02F462F4"/>
    <w:rsid w:val="03C60BD6"/>
    <w:rsid w:val="041F0DFB"/>
    <w:rsid w:val="046F1BE7"/>
    <w:rsid w:val="04E020B9"/>
    <w:rsid w:val="05107960"/>
    <w:rsid w:val="05130F27"/>
    <w:rsid w:val="052C2E7F"/>
    <w:rsid w:val="052D7F55"/>
    <w:rsid w:val="05E84D4C"/>
    <w:rsid w:val="062446E4"/>
    <w:rsid w:val="06436553"/>
    <w:rsid w:val="067A283F"/>
    <w:rsid w:val="06E0658D"/>
    <w:rsid w:val="06FD7222"/>
    <w:rsid w:val="070452E5"/>
    <w:rsid w:val="07AA7A26"/>
    <w:rsid w:val="081B19DC"/>
    <w:rsid w:val="082D0888"/>
    <w:rsid w:val="08456A4C"/>
    <w:rsid w:val="086123E0"/>
    <w:rsid w:val="086D48B5"/>
    <w:rsid w:val="08973453"/>
    <w:rsid w:val="0899799F"/>
    <w:rsid w:val="08A679E8"/>
    <w:rsid w:val="09E72BB9"/>
    <w:rsid w:val="0A5B5F5D"/>
    <w:rsid w:val="0A9B2209"/>
    <w:rsid w:val="0AE838B0"/>
    <w:rsid w:val="0AFD4F98"/>
    <w:rsid w:val="0BD7795F"/>
    <w:rsid w:val="0C1B083E"/>
    <w:rsid w:val="0C393B45"/>
    <w:rsid w:val="0C4D501D"/>
    <w:rsid w:val="0C7D1417"/>
    <w:rsid w:val="0CD273C1"/>
    <w:rsid w:val="0CF37F1F"/>
    <w:rsid w:val="0D811225"/>
    <w:rsid w:val="0DCA50E0"/>
    <w:rsid w:val="0DE17B9E"/>
    <w:rsid w:val="0DFB6B7F"/>
    <w:rsid w:val="0DFD3A8B"/>
    <w:rsid w:val="0E5564FB"/>
    <w:rsid w:val="0E6551A9"/>
    <w:rsid w:val="0F3D5F06"/>
    <w:rsid w:val="0F7E1CD6"/>
    <w:rsid w:val="0F860884"/>
    <w:rsid w:val="0FBF7FCD"/>
    <w:rsid w:val="100D1E94"/>
    <w:rsid w:val="10420C40"/>
    <w:rsid w:val="105076E8"/>
    <w:rsid w:val="107F3306"/>
    <w:rsid w:val="10CA0011"/>
    <w:rsid w:val="11210FAF"/>
    <w:rsid w:val="122E2AA7"/>
    <w:rsid w:val="12921E77"/>
    <w:rsid w:val="12C619BA"/>
    <w:rsid w:val="13221EA8"/>
    <w:rsid w:val="132D5838"/>
    <w:rsid w:val="13340090"/>
    <w:rsid w:val="134158D4"/>
    <w:rsid w:val="136F7349"/>
    <w:rsid w:val="1377AF33"/>
    <w:rsid w:val="138D323E"/>
    <w:rsid w:val="13AB78BB"/>
    <w:rsid w:val="147E1FAE"/>
    <w:rsid w:val="14AF19EC"/>
    <w:rsid w:val="14E45C08"/>
    <w:rsid w:val="151F0689"/>
    <w:rsid w:val="15386BCA"/>
    <w:rsid w:val="15643D0F"/>
    <w:rsid w:val="156908BC"/>
    <w:rsid w:val="15E63998"/>
    <w:rsid w:val="15F92F17"/>
    <w:rsid w:val="16032F14"/>
    <w:rsid w:val="1674297A"/>
    <w:rsid w:val="169C022D"/>
    <w:rsid w:val="178E5877"/>
    <w:rsid w:val="17FDC137"/>
    <w:rsid w:val="183E5738"/>
    <w:rsid w:val="1847105B"/>
    <w:rsid w:val="184764DE"/>
    <w:rsid w:val="184D6C9D"/>
    <w:rsid w:val="187C518C"/>
    <w:rsid w:val="18E32D46"/>
    <w:rsid w:val="19045F80"/>
    <w:rsid w:val="190817A0"/>
    <w:rsid w:val="19436031"/>
    <w:rsid w:val="197E2786"/>
    <w:rsid w:val="199003FF"/>
    <w:rsid w:val="19DF0030"/>
    <w:rsid w:val="19F40F8B"/>
    <w:rsid w:val="1A7112F3"/>
    <w:rsid w:val="1ABF02BC"/>
    <w:rsid w:val="1AC714DE"/>
    <w:rsid w:val="1AE53FC2"/>
    <w:rsid w:val="1AE93F36"/>
    <w:rsid w:val="1B057A96"/>
    <w:rsid w:val="1B1B1747"/>
    <w:rsid w:val="1B674D6C"/>
    <w:rsid w:val="1C2B1A1F"/>
    <w:rsid w:val="1C8E01C4"/>
    <w:rsid w:val="1C990F1E"/>
    <w:rsid w:val="1CC06976"/>
    <w:rsid w:val="1CE86F62"/>
    <w:rsid w:val="1CEA01AE"/>
    <w:rsid w:val="1D200EC3"/>
    <w:rsid w:val="1D331BFF"/>
    <w:rsid w:val="1D8774ED"/>
    <w:rsid w:val="1E06302F"/>
    <w:rsid w:val="1E12527C"/>
    <w:rsid w:val="1E3F2837"/>
    <w:rsid w:val="1E746705"/>
    <w:rsid w:val="1E9464BB"/>
    <w:rsid w:val="1EEB2007"/>
    <w:rsid w:val="1F073F7E"/>
    <w:rsid w:val="1F9747B1"/>
    <w:rsid w:val="1FA50A15"/>
    <w:rsid w:val="1FB92ED4"/>
    <w:rsid w:val="1FFD4775"/>
    <w:rsid w:val="2063796F"/>
    <w:rsid w:val="207818A5"/>
    <w:rsid w:val="209D5380"/>
    <w:rsid w:val="217C49B4"/>
    <w:rsid w:val="21D8773F"/>
    <w:rsid w:val="22315525"/>
    <w:rsid w:val="22A51C7D"/>
    <w:rsid w:val="2354633D"/>
    <w:rsid w:val="23B22718"/>
    <w:rsid w:val="23B343D2"/>
    <w:rsid w:val="242062D1"/>
    <w:rsid w:val="24D26916"/>
    <w:rsid w:val="24E04E23"/>
    <w:rsid w:val="25070BB2"/>
    <w:rsid w:val="255B0E33"/>
    <w:rsid w:val="25882F2A"/>
    <w:rsid w:val="259427F1"/>
    <w:rsid w:val="26122A96"/>
    <w:rsid w:val="261C073A"/>
    <w:rsid w:val="26BF3F9F"/>
    <w:rsid w:val="272D17A2"/>
    <w:rsid w:val="27875C68"/>
    <w:rsid w:val="278C32B0"/>
    <w:rsid w:val="27B74BD0"/>
    <w:rsid w:val="27B86868"/>
    <w:rsid w:val="27C22FE2"/>
    <w:rsid w:val="27CD2D5D"/>
    <w:rsid w:val="27CE56D9"/>
    <w:rsid w:val="28591DB6"/>
    <w:rsid w:val="287D2787"/>
    <w:rsid w:val="28E76E28"/>
    <w:rsid w:val="290912AF"/>
    <w:rsid w:val="2974585F"/>
    <w:rsid w:val="29D33D0B"/>
    <w:rsid w:val="2A301031"/>
    <w:rsid w:val="2A904A29"/>
    <w:rsid w:val="2AF10DF9"/>
    <w:rsid w:val="2B7C4360"/>
    <w:rsid w:val="2BDD6E85"/>
    <w:rsid w:val="2BFB22B3"/>
    <w:rsid w:val="2C1525D2"/>
    <w:rsid w:val="2C73501C"/>
    <w:rsid w:val="2C9810A7"/>
    <w:rsid w:val="2C992031"/>
    <w:rsid w:val="2C9E37D8"/>
    <w:rsid w:val="2CB55CF5"/>
    <w:rsid w:val="2D995234"/>
    <w:rsid w:val="2E420688"/>
    <w:rsid w:val="2E8D457D"/>
    <w:rsid w:val="2E985C3E"/>
    <w:rsid w:val="2F344087"/>
    <w:rsid w:val="2F3B0DE9"/>
    <w:rsid w:val="2FC500EB"/>
    <w:rsid w:val="2FCB3BF8"/>
    <w:rsid w:val="300C5A26"/>
    <w:rsid w:val="30283E29"/>
    <w:rsid w:val="31231615"/>
    <w:rsid w:val="313A50D3"/>
    <w:rsid w:val="31876B61"/>
    <w:rsid w:val="31C76A58"/>
    <w:rsid w:val="32592D55"/>
    <w:rsid w:val="330F22FE"/>
    <w:rsid w:val="33325687"/>
    <w:rsid w:val="33465BB9"/>
    <w:rsid w:val="33D9150F"/>
    <w:rsid w:val="33E72C78"/>
    <w:rsid w:val="34145801"/>
    <w:rsid w:val="3424736F"/>
    <w:rsid w:val="343132FC"/>
    <w:rsid w:val="34BE0F9B"/>
    <w:rsid w:val="352D301B"/>
    <w:rsid w:val="354B63CD"/>
    <w:rsid w:val="361B58D3"/>
    <w:rsid w:val="36450A3D"/>
    <w:rsid w:val="364C42AD"/>
    <w:rsid w:val="36C66130"/>
    <w:rsid w:val="36E878A1"/>
    <w:rsid w:val="37A43C50"/>
    <w:rsid w:val="37CB77D4"/>
    <w:rsid w:val="37E97BF0"/>
    <w:rsid w:val="380D7C0F"/>
    <w:rsid w:val="382C7F42"/>
    <w:rsid w:val="383A5C61"/>
    <w:rsid w:val="387202B9"/>
    <w:rsid w:val="38852766"/>
    <w:rsid w:val="38916714"/>
    <w:rsid w:val="393276AE"/>
    <w:rsid w:val="39335C47"/>
    <w:rsid w:val="39570EF8"/>
    <w:rsid w:val="39A706A6"/>
    <w:rsid w:val="39AB3F5B"/>
    <w:rsid w:val="3A2352C2"/>
    <w:rsid w:val="3AA15E8F"/>
    <w:rsid w:val="3AC27874"/>
    <w:rsid w:val="3B3DB49C"/>
    <w:rsid w:val="3B9E070D"/>
    <w:rsid w:val="3BDE0214"/>
    <w:rsid w:val="3C0427B1"/>
    <w:rsid w:val="3CB04DDC"/>
    <w:rsid w:val="3DB24016"/>
    <w:rsid w:val="3DE40C1B"/>
    <w:rsid w:val="3DE94712"/>
    <w:rsid w:val="3DF77CCF"/>
    <w:rsid w:val="3E5776D4"/>
    <w:rsid w:val="3F3D23E1"/>
    <w:rsid w:val="3F51167A"/>
    <w:rsid w:val="3F805731"/>
    <w:rsid w:val="3F9F0D94"/>
    <w:rsid w:val="3FB303C8"/>
    <w:rsid w:val="404C715C"/>
    <w:rsid w:val="40740DCF"/>
    <w:rsid w:val="40C22223"/>
    <w:rsid w:val="41026B9F"/>
    <w:rsid w:val="416D006E"/>
    <w:rsid w:val="41935BC5"/>
    <w:rsid w:val="419A3FEF"/>
    <w:rsid w:val="41FE1379"/>
    <w:rsid w:val="42724B8A"/>
    <w:rsid w:val="42833ACA"/>
    <w:rsid w:val="42C713FF"/>
    <w:rsid w:val="431872B9"/>
    <w:rsid w:val="436C2DC7"/>
    <w:rsid w:val="439814AE"/>
    <w:rsid w:val="43F14B51"/>
    <w:rsid w:val="445B7337"/>
    <w:rsid w:val="44ED6A2B"/>
    <w:rsid w:val="451D7306"/>
    <w:rsid w:val="451E6B21"/>
    <w:rsid w:val="454D33BB"/>
    <w:rsid w:val="456E0B25"/>
    <w:rsid w:val="459F4A09"/>
    <w:rsid w:val="46151980"/>
    <w:rsid w:val="4623311D"/>
    <w:rsid w:val="4660558D"/>
    <w:rsid w:val="4699565E"/>
    <w:rsid w:val="46E61A49"/>
    <w:rsid w:val="47006EA7"/>
    <w:rsid w:val="47067FFF"/>
    <w:rsid w:val="470976E1"/>
    <w:rsid w:val="47110E7A"/>
    <w:rsid w:val="47BF12D3"/>
    <w:rsid w:val="48AD04C4"/>
    <w:rsid w:val="490718AD"/>
    <w:rsid w:val="497F6965"/>
    <w:rsid w:val="49B80328"/>
    <w:rsid w:val="49E71141"/>
    <w:rsid w:val="4A3E3DBB"/>
    <w:rsid w:val="4AC555E5"/>
    <w:rsid w:val="4B0233E9"/>
    <w:rsid w:val="4BFF829A"/>
    <w:rsid w:val="4C780025"/>
    <w:rsid w:val="4CF7271F"/>
    <w:rsid w:val="4D192C68"/>
    <w:rsid w:val="4D501091"/>
    <w:rsid w:val="4D91522C"/>
    <w:rsid w:val="4DAD68B3"/>
    <w:rsid w:val="4E5505B6"/>
    <w:rsid w:val="4E751832"/>
    <w:rsid w:val="4EA07EC9"/>
    <w:rsid w:val="4EAB059E"/>
    <w:rsid w:val="4F040FC7"/>
    <w:rsid w:val="4F041B43"/>
    <w:rsid w:val="4F23119A"/>
    <w:rsid w:val="4FD33884"/>
    <w:rsid w:val="4FE03E6C"/>
    <w:rsid w:val="5021323A"/>
    <w:rsid w:val="507963E7"/>
    <w:rsid w:val="50A73440"/>
    <w:rsid w:val="50E91B38"/>
    <w:rsid w:val="510462C2"/>
    <w:rsid w:val="514876ED"/>
    <w:rsid w:val="515A62E7"/>
    <w:rsid w:val="51633802"/>
    <w:rsid w:val="51884596"/>
    <w:rsid w:val="519669E8"/>
    <w:rsid w:val="523635BD"/>
    <w:rsid w:val="52452888"/>
    <w:rsid w:val="526E1B7B"/>
    <w:rsid w:val="52930DD4"/>
    <w:rsid w:val="52A2702B"/>
    <w:rsid w:val="52C73FF6"/>
    <w:rsid w:val="530214BD"/>
    <w:rsid w:val="5371188F"/>
    <w:rsid w:val="53A46BA3"/>
    <w:rsid w:val="54080FDD"/>
    <w:rsid w:val="54272807"/>
    <w:rsid w:val="54420FDD"/>
    <w:rsid w:val="54503203"/>
    <w:rsid w:val="54A1317D"/>
    <w:rsid w:val="553B330F"/>
    <w:rsid w:val="55830D2A"/>
    <w:rsid w:val="559A7384"/>
    <w:rsid w:val="55C92F21"/>
    <w:rsid w:val="55ED4F2E"/>
    <w:rsid w:val="55F305EC"/>
    <w:rsid w:val="55F64CFD"/>
    <w:rsid w:val="56265247"/>
    <w:rsid w:val="56986345"/>
    <w:rsid w:val="569A34FA"/>
    <w:rsid w:val="56FA3102"/>
    <w:rsid w:val="571A7074"/>
    <w:rsid w:val="576A7577"/>
    <w:rsid w:val="57890C46"/>
    <w:rsid w:val="587A7F35"/>
    <w:rsid w:val="589A3CE6"/>
    <w:rsid w:val="591B0FC3"/>
    <w:rsid w:val="592F4DF8"/>
    <w:rsid w:val="5953329B"/>
    <w:rsid w:val="595E87DC"/>
    <w:rsid w:val="597B540D"/>
    <w:rsid w:val="59EF3A51"/>
    <w:rsid w:val="5A621D05"/>
    <w:rsid w:val="5A675996"/>
    <w:rsid w:val="5A6948DE"/>
    <w:rsid w:val="5A72369B"/>
    <w:rsid w:val="5B0B6D09"/>
    <w:rsid w:val="5B4D3790"/>
    <w:rsid w:val="5B876ADC"/>
    <w:rsid w:val="5B91324A"/>
    <w:rsid w:val="5BDC4035"/>
    <w:rsid w:val="5BDF057D"/>
    <w:rsid w:val="5BE94877"/>
    <w:rsid w:val="5C0F1788"/>
    <w:rsid w:val="5C2C6FA9"/>
    <w:rsid w:val="5C362073"/>
    <w:rsid w:val="5C7B7684"/>
    <w:rsid w:val="5D05348A"/>
    <w:rsid w:val="5D7E49FA"/>
    <w:rsid w:val="5D9E71E3"/>
    <w:rsid w:val="5DC50ADE"/>
    <w:rsid w:val="5DEF4A76"/>
    <w:rsid w:val="5E1B289C"/>
    <w:rsid w:val="5E317F94"/>
    <w:rsid w:val="5E894036"/>
    <w:rsid w:val="5EE81854"/>
    <w:rsid w:val="5F126EEA"/>
    <w:rsid w:val="5F1A239F"/>
    <w:rsid w:val="5F2037E2"/>
    <w:rsid w:val="5F521080"/>
    <w:rsid w:val="5F58249D"/>
    <w:rsid w:val="604F2A42"/>
    <w:rsid w:val="60510A96"/>
    <w:rsid w:val="605838AC"/>
    <w:rsid w:val="60852569"/>
    <w:rsid w:val="60914033"/>
    <w:rsid w:val="609F3489"/>
    <w:rsid w:val="615066EB"/>
    <w:rsid w:val="61735217"/>
    <w:rsid w:val="61B336D1"/>
    <w:rsid w:val="61E40392"/>
    <w:rsid w:val="620E24EB"/>
    <w:rsid w:val="62765A72"/>
    <w:rsid w:val="628B1239"/>
    <w:rsid w:val="628B3774"/>
    <w:rsid w:val="62B03ABF"/>
    <w:rsid w:val="62B750EF"/>
    <w:rsid w:val="633108E6"/>
    <w:rsid w:val="63CD32CA"/>
    <w:rsid w:val="64116758"/>
    <w:rsid w:val="644500D4"/>
    <w:rsid w:val="6477189C"/>
    <w:rsid w:val="64B62688"/>
    <w:rsid w:val="64DC1F40"/>
    <w:rsid w:val="65363B5B"/>
    <w:rsid w:val="653E60E8"/>
    <w:rsid w:val="65421564"/>
    <w:rsid w:val="65F51FB4"/>
    <w:rsid w:val="66330CB2"/>
    <w:rsid w:val="66B145D8"/>
    <w:rsid w:val="66D61ED3"/>
    <w:rsid w:val="67200818"/>
    <w:rsid w:val="674F6167"/>
    <w:rsid w:val="676A132B"/>
    <w:rsid w:val="676CB51E"/>
    <w:rsid w:val="67DE35C5"/>
    <w:rsid w:val="67EF08F3"/>
    <w:rsid w:val="67EF1790"/>
    <w:rsid w:val="67EFEFBD"/>
    <w:rsid w:val="68402572"/>
    <w:rsid w:val="688177FF"/>
    <w:rsid w:val="68A611BB"/>
    <w:rsid w:val="690B14A5"/>
    <w:rsid w:val="69890D97"/>
    <w:rsid w:val="698A7400"/>
    <w:rsid w:val="69FD788F"/>
    <w:rsid w:val="6A110E4D"/>
    <w:rsid w:val="6ACC5248"/>
    <w:rsid w:val="6B895556"/>
    <w:rsid w:val="6BA15F96"/>
    <w:rsid w:val="6C3D350D"/>
    <w:rsid w:val="6C460131"/>
    <w:rsid w:val="6C477830"/>
    <w:rsid w:val="6D205ACB"/>
    <w:rsid w:val="6D54286C"/>
    <w:rsid w:val="6D873010"/>
    <w:rsid w:val="6DBD2A85"/>
    <w:rsid w:val="6DBFAADC"/>
    <w:rsid w:val="6DD54CBF"/>
    <w:rsid w:val="6DDC046F"/>
    <w:rsid w:val="6DF647CC"/>
    <w:rsid w:val="6E09672A"/>
    <w:rsid w:val="6EFB3081"/>
    <w:rsid w:val="6F1624C1"/>
    <w:rsid w:val="6F601F1C"/>
    <w:rsid w:val="6F7E59CD"/>
    <w:rsid w:val="6FBA16C3"/>
    <w:rsid w:val="6FDD515F"/>
    <w:rsid w:val="700A7C70"/>
    <w:rsid w:val="703D782E"/>
    <w:rsid w:val="704E3B0A"/>
    <w:rsid w:val="70A036B2"/>
    <w:rsid w:val="70DD2081"/>
    <w:rsid w:val="70E31094"/>
    <w:rsid w:val="710D7AB3"/>
    <w:rsid w:val="711F2509"/>
    <w:rsid w:val="71205DA5"/>
    <w:rsid w:val="717539A9"/>
    <w:rsid w:val="72603A56"/>
    <w:rsid w:val="7288513F"/>
    <w:rsid w:val="7293781E"/>
    <w:rsid w:val="72E925E9"/>
    <w:rsid w:val="738D2681"/>
    <w:rsid w:val="73A060B8"/>
    <w:rsid w:val="73B04BC2"/>
    <w:rsid w:val="73FF4C06"/>
    <w:rsid w:val="743D3CAA"/>
    <w:rsid w:val="74AB1F57"/>
    <w:rsid w:val="74BB674B"/>
    <w:rsid w:val="74D60123"/>
    <w:rsid w:val="74EF3A05"/>
    <w:rsid w:val="752942BC"/>
    <w:rsid w:val="75346E14"/>
    <w:rsid w:val="75867211"/>
    <w:rsid w:val="75BE7912"/>
    <w:rsid w:val="763C3F4F"/>
    <w:rsid w:val="76A26FE0"/>
    <w:rsid w:val="76BE16FC"/>
    <w:rsid w:val="770C53FF"/>
    <w:rsid w:val="771E1FB8"/>
    <w:rsid w:val="77272AA4"/>
    <w:rsid w:val="779170B1"/>
    <w:rsid w:val="77932EE6"/>
    <w:rsid w:val="78287028"/>
    <w:rsid w:val="78B96438"/>
    <w:rsid w:val="79060814"/>
    <w:rsid w:val="79253C76"/>
    <w:rsid w:val="7A1962BE"/>
    <w:rsid w:val="7A5A3BF2"/>
    <w:rsid w:val="7A7D2C02"/>
    <w:rsid w:val="7A8F527E"/>
    <w:rsid w:val="7A9D579A"/>
    <w:rsid w:val="7B0547B3"/>
    <w:rsid w:val="7BA82CDA"/>
    <w:rsid w:val="7BD34C4C"/>
    <w:rsid w:val="7BE30710"/>
    <w:rsid w:val="7BFA6865"/>
    <w:rsid w:val="7C023D5C"/>
    <w:rsid w:val="7C2F3DBF"/>
    <w:rsid w:val="7CAD42AE"/>
    <w:rsid w:val="7CB936EB"/>
    <w:rsid w:val="7E036E28"/>
    <w:rsid w:val="7E340114"/>
    <w:rsid w:val="7EA43AD5"/>
    <w:rsid w:val="7EF1763A"/>
    <w:rsid w:val="7EFFB6DD"/>
    <w:rsid w:val="7F271629"/>
    <w:rsid w:val="7F504708"/>
    <w:rsid w:val="7F6E3E3B"/>
    <w:rsid w:val="7F6F9102"/>
    <w:rsid w:val="7FAF54D2"/>
    <w:rsid w:val="7FB48E82"/>
    <w:rsid w:val="7FDF2CBE"/>
    <w:rsid w:val="9FDB6FCF"/>
    <w:rsid w:val="AFFD8ABD"/>
    <w:rsid w:val="BBFEE7D6"/>
    <w:rsid w:val="BD7DABDB"/>
    <w:rsid w:val="BDFB0733"/>
    <w:rsid w:val="BE9FA618"/>
    <w:rsid w:val="CFAFA3FA"/>
    <w:rsid w:val="D4FF292B"/>
    <w:rsid w:val="DDD4DB3E"/>
    <w:rsid w:val="E4FE8747"/>
    <w:rsid w:val="E5BF21CB"/>
    <w:rsid w:val="E77F8DBC"/>
    <w:rsid w:val="EFFF06F4"/>
    <w:rsid w:val="F2FD2C49"/>
    <w:rsid w:val="F57E39AD"/>
    <w:rsid w:val="F71B8556"/>
    <w:rsid w:val="FBF7509A"/>
    <w:rsid w:val="FCFEEA81"/>
    <w:rsid w:val="FF7FF78D"/>
    <w:rsid w:val="FF8F5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line="576" w:lineRule="auto"/>
      <w:outlineLvl w:val="0"/>
    </w:pPr>
    <w:rPr>
      <w:b/>
      <w:bCs/>
      <w:kern w:val="44"/>
      <w:sz w:val="44"/>
      <w:szCs w:val="44"/>
    </w:rPr>
  </w:style>
  <w:style w:type="paragraph" w:styleId="6">
    <w:name w:val="heading 2"/>
    <w:basedOn w:val="1"/>
    <w:next w:val="1"/>
    <w:semiHidden/>
    <w:unhideWhenUsed/>
    <w:qFormat/>
    <w:uiPriority w:val="0"/>
    <w:pPr>
      <w:keepNext/>
      <w:keepLines/>
      <w:spacing w:before="260" w:after="260" w:line="416" w:lineRule="auto"/>
      <w:outlineLvl w:val="1"/>
    </w:pPr>
    <w:rPr>
      <w:rFonts w:ascii="Cambria" w:hAnsi="Cambria"/>
      <w:b/>
      <w:bCs/>
    </w:rPr>
  </w:style>
  <w:style w:type="paragraph" w:styleId="7">
    <w:name w:val="heading 3"/>
    <w:basedOn w:val="1"/>
    <w:next w:val="1"/>
    <w:semiHidden/>
    <w:unhideWhenUsed/>
    <w:qFormat/>
    <w:uiPriority w:val="0"/>
    <w:pPr>
      <w:keepNext/>
      <w:keepLines/>
      <w:spacing w:before="260" w:after="260" w:line="416" w:lineRule="atLeast"/>
      <w:outlineLvl w:val="2"/>
    </w:pPr>
    <w:rPr>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style>
  <w:style w:type="paragraph" w:styleId="3">
    <w:name w:val="Body Text Indent"/>
    <w:basedOn w:val="1"/>
    <w:next w:val="4"/>
    <w:qFormat/>
    <w:uiPriority w:val="0"/>
    <w:pPr>
      <w:ind w:left="420" w:leftChars="200"/>
    </w:pPr>
  </w:style>
  <w:style w:type="paragraph" w:styleId="4">
    <w:name w:val="envelope return"/>
    <w:basedOn w:val="1"/>
    <w:unhideWhenUsed/>
    <w:qFormat/>
    <w:uiPriority w:val="99"/>
    <w:pPr>
      <w:snapToGrid w:val="0"/>
    </w:pPr>
    <w:rPr>
      <w:rFonts w:ascii="Arial" w:hAnsi="Arial"/>
    </w:rPr>
  </w:style>
  <w:style w:type="paragraph" w:styleId="8">
    <w:name w:val="Normal Indent"/>
    <w:basedOn w:val="1"/>
    <w:next w:val="9"/>
    <w:unhideWhenUsed/>
    <w:qFormat/>
    <w:uiPriority w:val="99"/>
    <w:pPr>
      <w:spacing w:line="400" w:lineRule="exact"/>
      <w:ind w:firstLine="420" w:firstLineChars="200"/>
    </w:pPr>
    <w:rPr>
      <w:rFonts w:eastAsia="仿宋"/>
      <w:sz w:val="24"/>
    </w:rPr>
  </w:style>
  <w:style w:type="paragraph" w:styleId="9">
    <w:name w:val="caption"/>
    <w:basedOn w:val="1"/>
    <w:next w:val="1"/>
    <w:unhideWhenUsed/>
    <w:qFormat/>
    <w:uiPriority w:val="0"/>
    <w:rPr>
      <w:rFonts w:ascii="DejaVu Sans" w:hAnsi="DejaVu Sans" w:eastAsia="方正黑体_GBK"/>
      <w:sz w:val="20"/>
    </w:rPr>
  </w:style>
  <w:style w:type="paragraph" w:styleId="10">
    <w:name w:val="annotation text"/>
    <w:basedOn w:val="1"/>
    <w:link w:val="30"/>
    <w:qFormat/>
    <w:uiPriority w:val="0"/>
    <w:pPr>
      <w:jc w:val="left"/>
    </w:pPr>
  </w:style>
  <w:style w:type="paragraph" w:styleId="11">
    <w:name w:val="Body Text"/>
    <w:basedOn w:val="1"/>
    <w:next w:val="12"/>
    <w:qFormat/>
    <w:uiPriority w:val="0"/>
  </w:style>
  <w:style w:type="paragraph" w:styleId="12">
    <w:name w:val="footer"/>
    <w:basedOn w:val="1"/>
    <w:next w:val="13"/>
    <w:qFormat/>
    <w:uiPriority w:val="0"/>
    <w:pPr>
      <w:tabs>
        <w:tab w:val="center" w:pos="4153"/>
        <w:tab w:val="right" w:pos="8306"/>
      </w:tabs>
      <w:snapToGrid w:val="0"/>
      <w:jc w:val="left"/>
    </w:pPr>
    <w:rPr>
      <w:sz w:val="18"/>
    </w:rPr>
  </w:style>
  <w:style w:type="paragraph" w:styleId="13">
    <w:name w:val="List"/>
    <w:basedOn w:val="1"/>
    <w:qFormat/>
    <w:uiPriority w:val="0"/>
    <w:pPr>
      <w:spacing w:line="360" w:lineRule="auto"/>
      <w:ind w:left="200" w:hanging="200" w:hangingChars="200"/>
    </w:pPr>
    <w:rPr>
      <w:szCs w:val="20"/>
    </w:rPr>
  </w:style>
  <w:style w:type="paragraph" w:styleId="14">
    <w:name w:val="header"/>
    <w:basedOn w:val="1"/>
    <w:link w:val="3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0"/>
  </w:style>
  <w:style w:type="paragraph" w:styleId="1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7">
    <w:name w:val="Normal (Web)"/>
    <w:basedOn w:val="1"/>
    <w:qFormat/>
    <w:uiPriority w:val="0"/>
    <w:pPr>
      <w:spacing w:beforeAutospacing="1" w:afterAutospacing="1"/>
      <w:jc w:val="left"/>
    </w:pPr>
    <w:rPr>
      <w:kern w:val="0"/>
      <w:sz w:val="24"/>
    </w:rPr>
  </w:style>
  <w:style w:type="paragraph" w:styleId="18">
    <w:name w:val="Title"/>
    <w:basedOn w:val="6"/>
    <w:next w:val="1"/>
    <w:qFormat/>
    <w:uiPriority w:val="0"/>
    <w:pPr>
      <w:spacing w:beforeLines="50" w:afterLines="50" w:line="240" w:lineRule="auto"/>
    </w:pPr>
    <w:rPr>
      <w:rFonts w:ascii="楷体" w:hAnsi="楷体" w:eastAsia="楷体"/>
      <w:sz w:val="28"/>
      <w:szCs w:val="28"/>
    </w:rPr>
  </w:style>
  <w:style w:type="paragraph" w:styleId="19">
    <w:name w:val="annotation subject"/>
    <w:basedOn w:val="10"/>
    <w:next w:val="10"/>
    <w:link w:val="31"/>
    <w:qFormat/>
    <w:uiPriority w:val="0"/>
    <w:rPr>
      <w:b/>
      <w:bCs/>
    </w:rPr>
  </w:style>
  <w:style w:type="paragraph" w:styleId="20">
    <w:name w:val="Body Text First Indent"/>
    <w:basedOn w:val="11"/>
    <w:qFormat/>
    <w:uiPriority w:val="0"/>
    <w:pPr>
      <w:ind w:firstLine="420" w:firstLineChars="1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annotation reference"/>
    <w:basedOn w:val="23"/>
    <w:qFormat/>
    <w:uiPriority w:val="0"/>
    <w:rPr>
      <w:sz w:val="21"/>
      <w:szCs w:val="21"/>
    </w:rPr>
  </w:style>
  <w:style w:type="paragraph" w:customStyle="1" w:styleId="25">
    <w:name w:val="标题3"/>
    <w:basedOn w:val="7"/>
    <w:next w:val="1"/>
    <w:qFormat/>
    <w:uiPriority w:val="0"/>
    <w:pPr>
      <w:spacing w:beforeLines="50" w:afterLines="50" w:line="240" w:lineRule="auto"/>
    </w:pPr>
    <w:rPr>
      <w:rFonts w:ascii="隶书" w:hAnsi="仿宋" w:eastAsia="隶书"/>
      <w:b w:val="0"/>
      <w:sz w:val="28"/>
      <w:szCs w:val="28"/>
    </w:rPr>
  </w:style>
  <w:style w:type="paragraph" w:customStyle="1" w:styleId="26">
    <w:name w:val="标题4"/>
    <w:basedOn w:val="25"/>
    <w:next w:val="1"/>
    <w:qFormat/>
    <w:uiPriority w:val="0"/>
    <w:pPr>
      <w:outlineLvl w:val="3"/>
    </w:pPr>
    <w:rPr>
      <w:rFonts w:ascii="楷体" w:hAnsi="楷体" w:eastAsia="楷体"/>
      <w:bCs w:val="0"/>
    </w:rPr>
  </w:style>
  <w:style w:type="paragraph" w:customStyle="1" w:styleId="27">
    <w:name w:val="摘录引用方案"/>
    <w:basedOn w:val="1"/>
    <w:next w:val="1"/>
    <w:qFormat/>
    <w:uiPriority w:val="0"/>
    <w:rPr>
      <w:i/>
      <w:color w:val="FF0000"/>
    </w:rPr>
  </w:style>
  <w:style w:type="paragraph" w:styleId="28">
    <w:name w:val="List Paragraph"/>
    <w:basedOn w:val="1"/>
    <w:unhideWhenUsed/>
    <w:qFormat/>
    <w:uiPriority w:val="99"/>
    <w:pPr>
      <w:ind w:firstLine="420" w:firstLineChars="200"/>
    </w:pPr>
  </w:style>
  <w:style w:type="paragraph" w:customStyle="1" w:styleId="29">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30">
    <w:name w:val="批注文字 字符"/>
    <w:basedOn w:val="23"/>
    <w:link w:val="10"/>
    <w:qFormat/>
    <w:uiPriority w:val="0"/>
    <w:rPr>
      <w:kern w:val="2"/>
      <w:sz w:val="21"/>
      <w:szCs w:val="24"/>
    </w:rPr>
  </w:style>
  <w:style w:type="character" w:customStyle="1" w:styleId="31">
    <w:name w:val="批注主题 字符"/>
    <w:basedOn w:val="30"/>
    <w:link w:val="19"/>
    <w:qFormat/>
    <w:uiPriority w:val="0"/>
    <w:rPr>
      <w:b/>
      <w:bCs/>
      <w:kern w:val="2"/>
      <w:sz w:val="21"/>
      <w:szCs w:val="24"/>
    </w:rPr>
  </w:style>
  <w:style w:type="paragraph" w:customStyle="1" w:styleId="32">
    <w:name w:val="WPSOffice手动目录 1"/>
    <w:qFormat/>
    <w:uiPriority w:val="0"/>
    <w:rPr>
      <w:rFonts w:ascii="Times New Roman" w:hAnsi="Times New Roman" w:eastAsia="宋体" w:cs="Times New Roman"/>
      <w:lang w:val="en-US" w:eastAsia="zh-CN" w:bidi="ar-SA"/>
    </w:rPr>
  </w:style>
  <w:style w:type="character" w:customStyle="1" w:styleId="33">
    <w:name w:val="页眉 字符"/>
    <w:basedOn w:val="23"/>
    <w:link w:val="14"/>
    <w:qFormat/>
    <w:uiPriority w:val="99"/>
    <w:rPr>
      <w:kern w:val="2"/>
      <w:sz w:val="18"/>
      <w:szCs w:val="24"/>
    </w:rPr>
  </w:style>
  <w:style w:type="paragraph" w:customStyle="1" w:styleId="34">
    <w:name w:val="1.公文正文"/>
    <w:qFormat/>
    <w:uiPriority w:val="0"/>
    <w:pPr>
      <w:keepNext w:val="0"/>
      <w:keepLines w:val="0"/>
      <w:spacing w:line="560" w:lineRule="exact"/>
      <w:ind w:firstLine="640" w:firstLineChars="200"/>
      <w:jc w:val="both"/>
      <w:outlineLvl w:val="1"/>
    </w:pPr>
    <w:rPr>
      <w:rFonts w:hint="default" w:ascii="仿宋_GB2312" w:hAnsi="仿宋_GB2312" w:eastAsia="仿宋_GB2312" w:cs="Times New Roman"/>
      <w:bCs/>
      <w:sz w:val="32"/>
      <w:szCs w:val="32"/>
    </w:rPr>
  </w:style>
  <w:style w:type="paragraph" w:customStyle="1" w:styleId="35">
    <w:name w:val="* Body1"/>
    <w:basedOn w:val="1"/>
    <w:qFormat/>
    <w:uiPriority w:val="0"/>
    <w:pPr>
      <w:spacing w:afterLines="50" w:line="360" w:lineRule="auto"/>
    </w:pPr>
    <w:rPr>
      <w:rFonts w:cs="宋体"/>
      <w:sz w:val="24"/>
    </w:rPr>
  </w:style>
  <w:style w:type="paragraph" w:customStyle="1" w:styleId="36">
    <w:name w:val="BodyText2"/>
    <w:basedOn w:val="1"/>
    <w:qFormat/>
    <w:uiPriority w:val="0"/>
    <w:pPr>
      <w:spacing w:after="120" w:line="480" w:lineRule="auto"/>
      <w:jc w:val="both"/>
    </w:pPr>
    <w:rPr>
      <w:rFonts w:ascii="Times New Roman" w:hAnsi="Times New Roman" w:eastAsia="宋体"/>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2654</Words>
  <Characters>15128</Characters>
  <Lines>126</Lines>
  <Paragraphs>35</Paragraphs>
  <TotalTime>3</TotalTime>
  <ScaleCrop>false</ScaleCrop>
  <LinksUpToDate>false</LinksUpToDate>
  <CharactersWithSpaces>17747</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2014-11-03T20:08:00Z</dcterms:created>
  <dc:creator>zh-sunbb</dc:creator>
  <cp:lastModifiedBy>王峥</cp:lastModifiedBy>
  <cp:lastPrinted>2023-07-11T09:56:00Z</cp:lastPrinted>
  <dcterms:modified xsi:type="dcterms:W3CDTF">2025-12-01T09:06:55Z</dcterms:modified>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0CB9F878AA0F4247BFA0717ED151BBBB</vt:lpwstr>
  </property>
</Properties>
</file>