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彩虹小标宋" w:hAnsi="彩虹小标宋" w:eastAsia="彩虹小标宋" w:cs="彩虹小标宋"/>
          <w:bCs/>
          <w:snapToGrid w:val="0"/>
          <w:kern w:val="0"/>
          <w:sz w:val="44"/>
          <w:szCs w:val="44"/>
        </w:rPr>
      </w:pPr>
      <w:bookmarkStart w:id="0" w:name="PO_PURCHASE_REQUISITION_NAME"/>
      <w:r>
        <w:rPr>
          <w:rFonts w:hint="eastAsia" w:ascii="彩虹小标宋" w:hAnsi="彩虹小标宋" w:eastAsia="彩虹小标宋" w:cs="彩虹小标宋"/>
          <w:bCs/>
          <w:snapToGrid w:val="0"/>
          <w:kern w:val="0"/>
          <w:sz w:val="44"/>
          <w:szCs w:val="44"/>
          <w:lang w:eastAsia="zh-CN"/>
        </w:rPr>
        <w:t>安全保卫部关于三门峡分行安保类服务的采购申请</w:t>
      </w:r>
      <w:bookmarkEnd w:id="0"/>
      <w:r>
        <w:rPr>
          <w:rFonts w:hint="eastAsia" w:ascii="彩虹小标宋" w:hAnsi="彩虹小标宋" w:eastAsia="彩虹小标宋" w:cs="彩虹小标宋"/>
          <w:bCs/>
          <w:snapToGrid w:val="0"/>
          <w:kern w:val="0"/>
          <w:sz w:val="44"/>
          <w:szCs w:val="44"/>
        </w:rPr>
        <w:t>安全保卫部关于三门峡分行安保外包项目采购需求</w:t>
      </w:r>
    </w:p>
    <w:p>
      <w:pPr>
        <w:adjustRightInd w:val="0"/>
        <w:snapToGrid w:val="0"/>
        <w:spacing w:line="560" w:lineRule="exact"/>
        <w:jc w:val="center"/>
        <w:rPr>
          <w:rFonts w:ascii="彩虹小标宋" w:hAnsi="彩虹小标宋" w:eastAsia="彩虹小标宋" w:cs="彩虹小标宋"/>
          <w:bCs/>
          <w:snapToGrid w:val="0"/>
          <w:kern w:val="0"/>
          <w:sz w:val="44"/>
          <w:szCs w:val="44"/>
        </w:rPr>
      </w:pPr>
    </w:p>
    <w:p>
      <w:pPr>
        <w:pStyle w:val="2"/>
        <w:rPr>
          <w:snapToGrid w:val="0"/>
        </w:rPr>
      </w:pPr>
      <w:r>
        <w:rPr>
          <w:rFonts w:hint="eastAsia"/>
          <w:snapToGrid w:val="0"/>
        </w:rPr>
        <w:t>标段一：三门峡分行武装押运及金库守护服务外包项目的采购需求</w:t>
      </w:r>
    </w:p>
    <w:p>
      <w:pPr>
        <w:spacing w:line="560" w:lineRule="exact"/>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一、对候选供应商的要求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rPr>
        <w:t>具有武装守护、押运的保安服务许可证</w:t>
      </w:r>
      <w:r>
        <w:rPr>
          <w:rFonts w:ascii="彩虹粗仿宋" w:eastAsia="彩虹粗仿宋"/>
          <w:sz w:val="32"/>
          <w:szCs w:val="32"/>
        </w:rPr>
        <w:t>。</w:t>
      </w:r>
    </w:p>
    <w:p>
      <w:pPr>
        <w:spacing w:line="560" w:lineRule="exact"/>
        <w:ind w:firstLine="640" w:firstLineChars="200"/>
        <w:rPr>
          <w:rFonts w:ascii="彩虹粗仿宋" w:eastAsia="彩虹粗仿宋"/>
          <w:color w:val="auto"/>
          <w:sz w:val="32"/>
          <w:szCs w:val="32"/>
        </w:rPr>
      </w:pPr>
      <w:r>
        <w:rPr>
          <w:rFonts w:hint="eastAsia" w:ascii="彩虹粗仿宋" w:eastAsia="彩虹粗仿宋"/>
          <w:sz w:val="32"/>
          <w:szCs w:val="32"/>
        </w:rPr>
        <w:t>（二）正常经营，财务状况良好，提</w:t>
      </w:r>
      <w:r>
        <w:rPr>
          <w:rFonts w:hint="eastAsia" w:ascii="彩虹粗仿宋" w:eastAsia="彩虹粗仿宋"/>
          <w:color w:val="auto"/>
          <w:sz w:val="32"/>
          <w:szCs w:val="32"/>
        </w:rPr>
        <w:t>供202</w:t>
      </w:r>
      <w:r>
        <w:rPr>
          <w:rFonts w:hint="eastAsia" w:ascii="彩虹粗仿宋" w:eastAsia="彩虹粗仿宋"/>
          <w:color w:val="auto"/>
          <w:sz w:val="32"/>
          <w:szCs w:val="32"/>
          <w:lang w:val="en-US" w:eastAsia="zh-CN"/>
        </w:rPr>
        <w:t>0</w:t>
      </w:r>
      <w:r>
        <w:rPr>
          <w:rFonts w:hint="eastAsia" w:ascii="彩虹粗仿宋" w:eastAsia="彩虹粗仿宋"/>
          <w:color w:val="auto"/>
          <w:sz w:val="32"/>
          <w:szCs w:val="32"/>
        </w:rPr>
        <w:t>年、202</w:t>
      </w:r>
      <w:r>
        <w:rPr>
          <w:rFonts w:hint="eastAsia" w:ascii="彩虹粗仿宋" w:eastAsia="彩虹粗仿宋"/>
          <w:color w:val="auto"/>
          <w:sz w:val="32"/>
          <w:szCs w:val="32"/>
          <w:lang w:val="en-US" w:eastAsia="zh-CN"/>
        </w:rPr>
        <w:t>1</w:t>
      </w:r>
      <w:r>
        <w:rPr>
          <w:rFonts w:hint="eastAsia" w:ascii="彩虹粗仿宋" w:eastAsia="彩虹粗仿宋"/>
          <w:color w:val="auto"/>
          <w:sz w:val="32"/>
          <w:szCs w:val="32"/>
        </w:rPr>
        <w:t>年、202</w:t>
      </w:r>
      <w:r>
        <w:rPr>
          <w:rFonts w:hint="eastAsia" w:ascii="彩虹粗仿宋" w:eastAsia="彩虹粗仿宋"/>
          <w:color w:val="auto"/>
          <w:sz w:val="32"/>
          <w:szCs w:val="32"/>
          <w:lang w:val="en-US" w:eastAsia="zh-CN"/>
        </w:rPr>
        <w:t>2</w:t>
      </w:r>
      <w:r>
        <w:rPr>
          <w:rFonts w:hint="eastAsia" w:ascii="彩虹粗仿宋" w:eastAsia="彩虹粗仿宋"/>
          <w:color w:val="auto"/>
          <w:sz w:val="32"/>
          <w:szCs w:val="32"/>
        </w:rPr>
        <w:t>年经审计的财务报告或财务报表（新成立企业从成立日计算）。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color w:val="auto"/>
          <w:sz w:val="32"/>
          <w:szCs w:val="32"/>
        </w:rPr>
        <w:t>（三）2021年1月1日以来具有银行武</w:t>
      </w:r>
      <w:r>
        <w:rPr>
          <w:rFonts w:hint="eastAsia" w:ascii="彩虹粗仿宋" w:eastAsia="彩虹粗仿宋"/>
          <w:sz w:val="32"/>
          <w:szCs w:val="32"/>
        </w:rPr>
        <w:t>装押运及金库守护服务同类项目经验。</w:t>
      </w:r>
      <w:bookmarkStart w:id="3" w:name="_GoBack"/>
      <w:bookmarkEnd w:id="3"/>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spacing w:line="560" w:lineRule="exact"/>
        <w:rPr>
          <w:rFonts w:ascii="彩虹粗仿宋" w:eastAsia="彩虹粗仿宋"/>
          <w:sz w:val="32"/>
        </w:rPr>
      </w:pPr>
      <w:r>
        <w:rPr>
          <w:rFonts w:hint="eastAsia" w:ascii="彩虹粗仿宋" w:eastAsia="彩虹粗仿宋"/>
          <w:sz w:val="32"/>
        </w:rPr>
        <w:t>（六）外商独资、中外合资、中外合作的保安公司不得参与（根据保安服务管理条例第二十二条规定）。</w:t>
      </w:r>
    </w:p>
    <w:p>
      <w:pPr>
        <w:spacing w:line="560" w:lineRule="exact"/>
        <w:rPr>
          <w:rFonts w:ascii="彩虹黑体" w:hAnsi="彩虹黑体" w:eastAsia="彩虹黑体" w:cs="彩虹黑体"/>
          <w:sz w:val="32"/>
          <w:szCs w:val="32"/>
        </w:rPr>
      </w:pPr>
      <w:r>
        <w:rPr>
          <w:rFonts w:hint="eastAsia" w:ascii="彩虹黑体" w:hAnsi="彩虹黑体" w:eastAsia="彩虹黑体" w:cs="彩虹黑体"/>
          <w:sz w:val="32"/>
          <w:szCs w:val="32"/>
        </w:rPr>
        <w:t>二、服务基本内容</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微软雅黑" w:eastAsia="彩虹粗仿宋" w:cs="宋体"/>
          <w:kern w:val="0"/>
          <w:sz w:val="32"/>
          <w:szCs w:val="32"/>
        </w:rPr>
        <w:t>1.本次集中采购项目为三门峡分行24个营业网点、</w:t>
      </w:r>
      <w:r>
        <w:rPr>
          <w:rFonts w:hint="eastAsia" w:ascii="彩虹粗仿宋" w:hAnsi="微软雅黑" w:eastAsia="彩虹粗仿宋" w:cs="宋体"/>
          <w:color w:val="FF0000"/>
          <w:kern w:val="0"/>
          <w:sz w:val="32"/>
          <w:szCs w:val="32"/>
        </w:rPr>
        <w:t>12</w:t>
      </w:r>
      <w:r>
        <w:rPr>
          <w:rFonts w:hint="eastAsia" w:ascii="彩虹粗仿宋" w:hAnsi="微软雅黑" w:eastAsia="彩虹粗仿宋" w:cs="宋体"/>
          <w:kern w:val="0"/>
          <w:sz w:val="32"/>
          <w:szCs w:val="32"/>
        </w:rPr>
        <w:t>个离行式自助银行的武装押运服务和2座金库守护工作</w:t>
      </w:r>
      <w:r>
        <w:rPr>
          <w:rFonts w:hint="eastAsia" w:ascii="彩虹粗仿宋" w:hAnsi="Calibri" w:eastAsia="彩虹粗仿宋" w:cs="宋体"/>
          <w:kern w:val="0"/>
          <w:sz w:val="32"/>
          <w:szCs w:val="32"/>
        </w:rPr>
        <w:t>。</w:t>
      </w:r>
    </w:p>
    <w:p>
      <w:pPr>
        <w:rPr>
          <w:rFonts w:ascii="彩虹粗仿宋" w:hAnsi="宋体" w:eastAsia="彩虹粗仿宋" w:cs="Courier New"/>
          <w:sz w:val="32"/>
          <w:szCs w:val="32"/>
        </w:rPr>
      </w:pPr>
      <w:r>
        <w:rPr>
          <w:rFonts w:hint="eastAsia" w:ascii="彩虹粗仿宋" w:hAnsi="宋体" w:eastAsia="彩虹粗仿宋" w:cs="Courier New"/>
          <w:sz w:val="32"/>
          <w:szCs w:val="32"/>
        </w:rPr>
        <w:t>注：业务点（是指营业场所、自助设备）的早、晚营业尾款箱（包）接送；业务点营业期间提缴现金；业务点配送外币、实物黄金;离行式自助（设备）银行收、送现金;我行客户上门收、送现金；去往当地人行提取或缴存现金；到省分行押送重要空白凭证、贵金属、外币和向业务点配送重要空白凭证;业务点之间的票据、紧急公文等重要物品传递或者</w:t>
      </w:r>
      <w:r>
        <w:rPr>
          <w:rFonts w:hint="eastAsia" w:ascii="彩虹粗仿宋" w:hAnsi="微软雅黑" w:eastAsia="彩虹粗仿宋" w:cs="宋体"/>
          <w:kern w:val="0"/>
          <w:sz w:val="32"/>
          <w:szCs w:val="32"/>
        </w:rPr>
        <w:t>因业务需要产生的临时押运事项等</w:t>
      </w:r>
      <w:r>
        <w:rPr>
          <w:rFonts w:hint="eastAsia" w:ascii="彩虹粗仿宋" w:hAnsi="宋体" w:eastAsia="彩虹粗仿宋" w:cs="Courier New"/>
          <w:sz w:val="32"/>
          <w:szCs w:val="32"/>
        </w:rPr>
        <w:t>提供武装押运服务。</w:t>
      </w:r>
    </w:p>
    <w:p>
      <w:pPr>
        <w:ind w:firstLine="640" w:firstLineChars="200"/>
        <w:rPr>
          <w:rFonts w:ascii="彩虹粗仿宋" w:hAnsi="宋体" w:eastAsia="彩虹粗仿宋" w:cs="Courier New"/>
          <w:sz w:val="32"/>
          <w:szCs w:val="32"/>
        </w:rPr>
      </w:pPr>
      <w:r>
        <w:rPr>
          <w:rFonts w:hint="eastAsia" w:ascii="彩虹粗仿宋" w:hAnsi="宋体" w:eastAsia="彩虹粗仿宋" w:cs="Courier New"/>
          <w:sz w:val="32"/>
          <w:szCs w:val="32"/>
        </w:rPr>
        <w:t>2.临时押运业务点配送外币、实物黄金（三门峡市到郑州），到省分行领取重要空白凭证。</w:t>
      </w:r>
    </w:p>
    <w:p>
      <w:pPr>
        <w:adjustRightInd w:val="0"/>
        <w:snapToGrid w:val="0"/>
        <w:spacing w:line="560" w:lineRule="exact"/>
        <w:ind w:firstLine="640" w:firstLineChars="200"/>
        <w:rPr>
          <w:rFonts w:ascii="彩虹粗仿宋" w:hAnsi="Calibri" w:eastAsia="彩虹粗仿宋" w:cs="宋体"/>
          <w:kern w:val="0"/>
          <w:sz w:val="32"/>
          <w:szCs w:val="32"/>
        </w:rPr>
      </w:pPr>
      <w:r>
        <w:rPr>
          <w:rFonts w:hint="eastAsia" w:ascii="彩虹粗仿宋" w:hAnsi="Calibri" w:eastAsia="彩虹粗仿宋" w:cs="宋体"/>
          <w:kern w:val="0"/>
          <w:sz w:val="32"/>
          <w:szCs w:val="32"/>
        </w:rPr>
        <w:t>2.为三门峡分行2个金库提供守护服务。</w:t>
      </w:r>
    </w:p>
    <w:p>
      <w:pPr>
        <w:spacing w:line="560" w:lineRule="exact"/>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三、服务团队要求</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（一）服务团队至少具备6台制式押运车组；</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（二）服务团队人员经过专业培训，符合武装守护要求，持保安员证上岗；</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（三）驻行车组及人员按照我行的要求完成每次的任务，遵章守纪，合规履职；</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（四）服务团队车组人员提供营运期间的支持保障及应急工作。</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（五）服务人员应按规定着装、办理领取交接等手续并持证上岗。</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（六）服务人员应执行双人持枪钞币运送、正确使用枪支弹药。</w:t>
      </w:r>
    </w:p>
    <w:p>
      <w:pPr>
        <w:spacing w:line="560" w:lineRule="exact"/>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四、服务质量要求</w:t>
      </w:r>
    </w:p>
    <w:p>
      <w:pPr>
        <w:adjustRightInd w:val="0"/>
        <w:snapToGrid w:val="0"/>
        <w:spacing w:line="560" w:lineRule="exact"/>
        <w:ind w:firstLine="643" w:firstLineChars="200"/>
        <w:rPr>
          <w:rFonts w:ascii="彩虹楷体" w:hAnsi="宋体" w:eastAsia="彩虹楷体" w:cs="Courier New"/>
          <w:b/>
          <w:color w:val="000000"/>
          <w:sz w:val="32"/>
          <w:szCs w:val="32"/>
        </w:rPr>
      </w:pPr>
      <w:r>
        <w:rPr>
          <w:rFonts w:hint="eastAsia" w:ascii="彩虹楷体" w:eastAsia="彩虹楷体"/>
          <w:b/>
          <w:sz w:val="32"/>
          <w:szCs w:val="32"/>
        </w:rPr>
        <w:t>（一）服务质量标准</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宋体" w:eastAsia="彩虹粗仿宋" w:cs="Courier New"/>
          <w:sz w:val="32"/>
          <w:szCs w:val="32"/>
        </w:rPr>
        <w:t>1.供应商承诺提供合格的服务，接受我行对其工作的指导和监督。</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2.供应商配备必要的制式押运车辆、枪械和钞币运送人员。</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3.供应商负责与服务人员签订符合《劳动法》的正式合同，负责劳动用工以及涉及劳动关系管理的所有事宜。并承诺基本保障性工资不低于所在工作地区最低工资标准，按照国家规定缴纳社会保险等。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4.供应商负责制定与受托业务相关的内控制度、操作规程、人员考核等办法，并报我行备案；未经我行书面同意，外包公司不得将其在协议约定项下全部或部分权利义务转让或分包给任意第三方。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5.供应商派驻的服务人员应经过培训，并取得上岗资格证。</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6.供应商派驻的服务人员未经允许，不得进入我方营业柜台等场所，不得以任何手段窃取、泄漏我方商业机密，不得干涉我方的正常经营。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7.专用运钞车内应按规定安装报警、电视监控、通讯器材、配备必要消防器材。</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8.</w:t>
      </w:r>
      <w:r>
        <w:rPr>
          <w:rFonts w:hint="eastAsia" w:ascii="彩虹粗仿宋" w:hAnsi="宋体" w:eastAsia="彩虹粗仿宋" w:cs="Times New Roman"/>
          <w:snapToGrid w:val="0"/>
          <w:kern w:val="0"/>
          <w:sz w:val="32"/>
          <w:szCs w:val="32"/>
        </w:rPr>
        <w:t xml:space="preserve"> 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560" w:lineRule="exact"/>
        <w:ind w:firstLine="643" w:firstLineChars="200"/>
        <w:rPr>
          <w:rFonts w:ascii="彩虹楷体" w:eastAsia="彩虹楷体"/>
          <w:b/>
          <w:sz w:val="32"/>
          <w:szCs w:val="32"/>
        </w:rPr>
      </w:pPr>
      <w:r>
        <w:rPr>
          <w:rFonts w:hint="eastAsia" w:ascii="彩虹楷体" w:eastAsia="彩虹楷体"/>
          <w:b/>
          <w:sz w:val="32"/>
          <w:szCs w:val="32"/>
        </w:rPr>
        <w:t xml:space="preserve">  （二）风险控制和应急措施</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为保证我行权益和商业机密，需采取以下风险控制和应急措施。</w:t>
      </w:r>
    </w:p>
    <w:p>
      <w:pPr>
        <w:adjustRightInd w:val="0"/>
        <w:snapToGrid w:val="0"/>
        <w:spacing w:line="560" w:lineRule="exact"/>
        <w:ind w:firstLine="656" w:firstLineChars="205"/>
        <w:rPr>
          <w:rFonts w:ascii="彩虹楷体" w:hAnsi="宋体" w:eastAsia="彩虹楷体" w:cs="Times New Roman"/>
          <w:sz w:val="32"/>
          <w:szCs w:val="32"/>
        </w:rPr>
      </w:pPr>
      <w:r>
        <w:rPr>
          <w:rFonts w:hint="eastAsia" w:ascii="彩虹楷体" w:hAnsi="宋体" w:eastAsia="彩虹楷体" w:cs="Times New Roman"/>
          <w:sz w:val="32"/>
          <w:szCs w:val="32"/>
        </w:rPr>
        <w:t>1.风险控制措施</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严禁供应商以我行名义进行用工管理或开展生产经营活动。</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spacing w:line="560" w:lineRule="exact"/>
        <w:ind w:firstLine="640"/>
        <w:rPr>
          <w:rFonts w:ascii="彩虹粗仿宋" w:hAnsi="Times New Roman" w:eastAsia="彩虹粗仿宋" w:cs="Times New Roman"/>
          <w:sz w:val="32"/>
          <w:szCs w:val="32"/>
        </w:rPr>
      </w:pPr>
      <w:r>
        <w:rPr>
          <w:sz w:val="30"/>
          <w:szCs w:val="30"/>
        </w:rPr>
        <w:fldChar w:fldCharType="begin"/>
      </w:r>
      <w:r>
        <w:rPr>
          <w:sz w:val="30"/>
          <w:szCs w:val="30"/>
        </w:rPr>
        <w:instrText xml:space="preserve"> </w:instrText>
      </w:r>
      <w:r>
        <w:rPr>
          <w:rFonts w:hint="eastAsia"/>
          <w:sz w:val="30"/>
          <w:szCs w:val="30"/>
        </w:rPr>
        <w:instrText xml:space="preserve">eq \o\ac(</w:instrText>
      </w:r>
      <w:r>
        <w:rPr>
          <w:rFonts w:hint="eastAsia" w:ascii="宋体"/>
          <w:position w:val="-6"/>
          <w:sz w:val="45"/>
          <w:szCs w:val="30"/>
        </w:rPr>
        <w:instrText xml:space="preserve">○</w:instrText>
      </w:r>
      <w:r>
        <w:rPr>
          <w:rFonts w:hint="eastAsia"/>
          <w:sz w:val="30"/>
          <w:szCs w:val="30"/>
        </w:rPr>
        <w:instrText xml:space="preserve">,1)</w:instrText>
      </w:r>
      <w:r>
        <w:rPr>
          <w:sz w:val="30"/>
          <w:szCs w:val="30"/>
        </w:rPr>
        <w:fldChar w:fldCharType="end"/>
      </w:r>
      <w:r>
        <w:rPr>
          <w:rFonts w:hint="eastAsia" w:ascii="彩虹粗仿宋" w:hAnsi="Times New Roman" w:eastAsia="彩虹粗仿宋" w:cs="Times New Roman"/>
          <w:sz w:val="32"/>
          <w:szCs w:val="32"/>
        </w:rPr>
        <w:t>钞币运送和守护业务应按规程操作。</w:t>
      </w:r>
    </w:p>
    <w:p>
      <w:pPr>
        <w:spacing w:line="560" w:lineRule="exact"/>
        <w:ind w:firstLine="640"/>
        <w:rPr>
          <w:rFonts w:ascii="彩虹粗仿宋" w:hAnsi="Times New Roman" w:eastAsia="彩虹粗仿宋" w:cs="Times New Roman"/>
          <w:kern w:val="0"/>
          <w:sz w:val="32"/>
          <w:szCs w:val="32"/>
        </w:rPr>
      </w:pPr>
      <w:r>
        <w:rPr>
          <w:rFonts w:ascii="彩虹粗仿宋" w:hAnsi="Times New Roman" w:eastAsia="彩虹粗仿宋" w:cs="Times New Roman"/>
          <w:sz w:val="32"/>
          <w:szCs w:val="32"/>
        </w:rPr>
        <w:fldChar w:fldCharType="begin"/>
      </w:r>
      <w:r>
        <w:rPr>
          <w:rFonts w:ascii="彩虹粗仿宋" w:hAnsi="Times New Roman" w:eastAsia="彩虹粗仿宋" w:cs="Times New Roman"/>
          <w:sz w:val="32"/>
          <w:szCs w:val="32"/>
        </w:rPr>
        <w:instrText xml:space="preserve"> </w:instrText>
      </w:r>
      <w:r>
        <w:rPr>
          <w:rFonts w:hint="eastAsia" w:ascii="彩虹粗仿宋" w:hAnsi="Times New Roman" w:eastAsia="彩虹粗仿宋" w:cs="Times New Roman"/>
          <w:sz w:val="32"/>
          <w:szCs w:val="32"/>
        </w:rPr>
        <w:instrText xml:space="preserve">eq \o\ac(</w:instrText>
      </w:r>
      <w:r>
        <w:rPr>
          <w:rFonts w:hint="eastAsia" w:ascii="彩虹粗仿宋" w:hAnsi="Times New Roman" w:eastAsia="彩虹粗仿宋" w:cs="Times New Roman"/>
          <w:position w:val="-6"/>
          <w:sz w:val="48"/>
          <w:szCs w:val="32"/>
        </w:rPr>
        <w:instrText xml:space="preserve">○</w:instrText>
      </w:r>
      <w:r>
        <w:rPr>
          <w:rFonts w:hint="eastAsia" w:ascii="彩虹粗仿宋" w:hAnsi="Times New Roman" w:eastAsia="彩虹粗仿宋" w:cs="Times New Roman"/>
          <w:sz w:val="32"/>
          <w:szCs w:val="32"/>
        </w:rPr>
        <w:instrText xml:space="preserve">,2)</w:instrText>
      </w:r>
      <w:r>
        <w:rPr>
          <w:rFonts w:ascii="彩虹粗仿宋" w:hAnsi="Times New Roman" w:eastAsia="彩虹粗仿宋" w:cs="Times New Roman"/>
          <w:sz w:val="32"/>
          <w:szCs w:val="32"/>
        </w:rPr>
        <w:fldChar w:fldCharType="end"/>
      </w:r>
      <w:r>
        <w:rPr>
          <w:rFonts w:hint="eastAsia" w:ascii="彩虹粗仿宋" w:eastAsia="彩虹粗仿宋"/>
          <w:sz w:val="32"/>
          <w:szCs w:val="32"/>
        </w:rPr>
        <w:t>定期对外包服务进行检查，</w:t>
      </w:r>
      <w:r>
        <w:rPr>
          <w:rFonts w:hint="eastAsia" w:ascii="彩虹粗仿宋" w:hAnsi="Times New Roman" w:eastAsia="彩虹粗仿宋" w:cs="Times New Roman"/>
          <w:kern w:val="0"/>
          <w:sz w:val="32"/>
          <w:szCs w:val="32"/>
        </w:rPr>
        <w:t>每季度至少开展一次检查，每季度召开一次联席会，对检查发现问题及时通报供应商，限期整改和落实，每年度结束后形成年度评估报告。</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③服务监督管理实行“对事不对人”，供应商负责服务人员的招聘、管理、考核、薪酬发放等工作，我行负责监督检查外包公司服务的数量、质量、应急处置。</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①供应商需与服务人员签订《保密协议》，防范客户信息泄露的风险，严格防范操作风险、声誉风险及其它风险。</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②服务人员只能掌握了解工作需要的相关信息，不得将我行信息资料以任何方式透露给其他任何机构或个人。</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③服务人员不得利用工作之便窃取、收买或者非法提供他人申请信息资料进行各种非法活动。</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④由于供应商原因导致我行及客户信息泄漏的，按我行将追究相关责任。</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⑤供应商应严守我行的商业秘密、技术秘密和其他业务信息，不得泄露。</w:t>
      </w:r>
    </w:p>
    <w:p>
      <w:pPr>
        <w:adjustRightInd w:val="0"/>
        <w:snapToGrid w:val="0"/>
        <w:spacing w:line="560" w:lineRule="exact"/>
        <w:ind w:firstLine="819" w:firstLineChars="256"/>
        <w:rPr>
          <w:rFonts w:ascii="彩虹粗仿宋" w:hAnsi="宋体" w:eastAsia="彩虹粗仿宋" w:cs="Times New Roman"/>
          <w:sz w:val="32"/>
          <w:szCs w:val="32"/>
        </w:rPr>
      </w:pPr>
      <w:r>
        <w:rPr>
          <w:rFonts w:hint="eastAsia" w:ascii="彩虹粗仿宋" w:hAnsi="宋体" w:eastAsia="彩虹粗仿宋" w:cs="Times New Roman"/>
          <w:sz w:val="32"/>
          <w:szCs w:val="32"/>
        </w:rPr>
        <w:t>2.应急措施</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（1）外包公司应制定应急预案，预案场景设置、预案分工、预案演练、预案评估，并明确应急处置流程。</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（2）押运途中或守护期间如遇抢劫、事故等情况，外包服务人员应及时报告我行以及供应商，启动应急处置预案。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（3）造成我行经济损失的，我行将进行索赔；造成我行声誉损失的，供应商应积极配合我行采取措施消除影响、恢复声誉；涉嫌违法犯罪的，及时向公安机关报案。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（5）供应商在处理事（案）件过程中要时刻向我行报告进展情况，待风险解除后，形成书面报告报送我行，我行综合评估后确定是否继续开展外包事项。</w:t>
      </w:r>
    </w:p>
    <w:p>
      <w:pPr>
        <w:adjustRightInd w:val="0"/>
        <w:snapToGrid w:val="0"/>
        <w:spacing w:line="560" w:lineRule="exact"/>
        <w:ind w:firstLine="643" w:firstLineChars="200"/>
        <w:rPr>
          <w:rFonts w:ascii="彩虹楷体" w:eastAsia="彩虹楷体"/>
          <w:b/>
          <w:sz w:val="32"/>
          <w:szCs w:val="32"/>
        </w:rPr>
      </w:pPr>
      <w:r>
        <w:rPr>
          <w:rFonts w:hint="eastAsia" w:ascii="彩虹楷体" w:eastAsia="彩虹楷体"/>
          <w:b/>
          <w:sz w:val="32"/>
          <w:szCs w:val="32"/>
        </w:rPr>
        <w:t>（三）消保条款要求</w:t>
      </w:r>
    </w:p>
    <w:p>
      <w:pPr>
        <w:spacing w:line="560" w:lineRule="exact"/>
        <w:ind w:firstLine="636"/>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600" w:lineRule="exact"/>
        <w:ind w:firstLine="643" w:firstLineChars="200"/>
        <w:jc w:val="left"/>
        <w:rPr>
          <w:rFonts w:ascii="彩虹楷体" w:hAnsi="彩虹楷体" w:eastAsia="彩虹楷体" w:cs="彩虹楷体"/>
          <w:b/>
          <w:bCs/>
          <w:kern w:val="0"/>
          <w:sz w:val="32"/>
          <w:szCs w:val="32"/>
        </w:rPr>
      </w:pPr>
      <w:r>
        <w:rPr>
          <w:rFonts w:hint="eastAsia" w:ascii="彩虹楷体" w:hAnsi="彩虹楷体" w:eastAsia="彩虹楷体" w:cs="彩虹楷体"/>
          <w:b/>
          <w:bCs/>
          <w:kern w:val="0"/>
          <w:sz w:val="32"/>
          <w:szCs w:val="32"/>
        </w:rPr>
        <w:t>（四）验收标准和验收方法</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供应商应按照我行要求准确及时运送标的物并保证其正常，全部正常为合格；如出现标的物的遗失或损坏为不合格，供应商应照价赔偿并接受每次10000元的考核。</w:t>
      </w:r>
    </w:p>
    <w:p>
      <w:pPr>
        <w:spacing w:line="560" w:lineRule="exact"/>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五、服务供应安排</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三门峡分行现有24个营业网点、</w:t>
      </w:r>
      <w:r>
        <w:rPr>
          <w:rFonts w:hint="eastAsia" w:ascii="彩虹粗仿宋" w:hAnsi="微软雅黑" w:eastAsia="彩虹粗仿宋" w:cs="宋体"/>
          <w:color w:val="FF0000"/>
          <w:kern w:val="0"/>
          <w:sz w:val="32"/>
          <w:szCs w:val="32"/>
        </w:rPr>
        <w:t>12</w:t>
      </w:r>
      <w:r>
        <w:rPr>
          <w:rFonts w:hint="eastAsia" w:ascii="彩虹粗仿宋" w:hAnsi="微软雅黑" w:eastAsia="彩虹粗仿宋" w:cs="宋体"/>
          <w:kern w:val="0"/>
          <w:sz w:val="32"/>
          <w:szCs w:val="32"/>
        </w:rPr>
        <w:t>个离行式自助银行，保证</w:t>
      </w:r>
      <w:r>
        <w:rPr>
          <w:rFonts w:hint="eastAsia" w:ascii="彩虹粗仿宋" w:hAnsi="宋体" w:eastAsia="彩虹粗仿宋" w:cs="Courier New"/>
          <w:sz w:val="32"/>
          <w:szCs w:val="32"/>
        </w:rPr>
        <w:t>业务点（是指营业场所、自助设备、上门服务点）的早、晚营业尾款箱（包）接送；业务点营业期间提缴现金；业务点配送外币、实物黄金;离行式自助（设备）银行收、送现金;我行客户上门收、送现金；到省分行领取重要空白凭证和向业务点配送重要空白凭证;业务点之间的票据、紧急公文等重要物品传递</w:t>
      </w:r>
      <w:r>
        <w:rPr>
          <w:rFonts w:hint="eastAsia" w:ascii="彩虹粗仿宋" w:hAnsi="微软雅黑" w:eastAsia="彩虹粗仿宋" w:cs="宋体"/>
          <w:kern w:val="0"/>
          <w:sz w:val="32"/>
          <w:szCs w:val="32"/>
        </w:rPr>
        <w:t>等；去往三门峡人行提取或缴存现金；各县域</w:t>
      </w:r>
      <w:r>
        <w:rPr>
          <w:rFonts w:hint="eastAsia" w:ascii="彩虹粗仿宋" w:hAnsi="宋体" w:eastAsia="彩虹粗仿宋" w:cs="Courier New"/>
          <w:sz w:val="32"/>
          <w:szCs w:val="32"/>
        </w:rPr>
        <w:t>去往建行三门峡分行提取或缴存现金。</w:t>
      </w:r>
    </w:p>
    <w:p>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押运人员执勤的工作时间与网点营业时间保持一致，接受我行的安全业务检查，每人每周工作时间符合国家法定工作时间。</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服务过程中产生的人员、车辆等费用均有供应商承担。</w:t>
      </w:r>
    </w:p>
    <w:p>
      <w:pPr>
        <w:spacing w:line="560" w:lineRule="exact"/>
        <w:ind w:firstLine="640" w:firstLineChars="200"/>
        <w:rPr>
          <w:rFonts w:ascii="彩虹黑体" w:hAnsi="彩虹黑体" w:eastAsia="彩虹黑体" w:cs="彩虹黑体"/>
          <w:color w:val="auto"/>
          <w:sz w:val="32"/>
          <w:szCs w:val="32"/>
        </w:rPr>
      </w:pPr>
      <w:r>
        <w:rPr>
          <w:rFonts w:hint="eastAsia" w:ascii="彩虹黑体" w:hAnsi="彩虹黑体" w:eastAsia="彩虹黑体" w:cs="彩虹黑体"/>
          <w:sz w:val="32"/>
          <w:szCs w:val="32"/>
        </w:rPr>
        <w:t>六、服务数量要求</w:t>
      </w:r>
    </w:p>
    <w:p>
      <w:pPr>
        <w:adjustRightInd w:val="0"/>
        <w:snapToGrid w:val="0"/>
        <w:spacing w:line="560" w:lineRule="exact"/>
        <w:ind w:firstLine="640" w:firstLineChars="200"/>
        <w:rPr>
          <w:rFonts w:ascii="彩虹粗仿宋" w:hAnsi="宋体" w:eastAsia="彩虹粗仿宋" w:cs="Times New Roman"/>
          <w:color w:val="auto"/>
          <w:sz w:val="32"/>
          <w:szCs w:val="32"/>
        </w:rPr>
      </w:pPr>
      <w:r>
        <w:rPr>
          <w:rFonts w:hint="eastAsia" w:ascii="彩虹粗仿宋" w:hAnsi="Calibri" w:eastAsia="彩虹粗仿宋" w:cs="宋体"/>
          <w:color w:val="auto"/>
          <w:kern w:val="0"/>
          <w:sz w:val="32"/>
          <w:szCs w:val="32"/>
        </w:rPr>
        <w:t>三门峡分行所辖</w:t>
      </w:r>
      <w:r>
        <w:rPr>
          <w:rFonts w:hint="eastAsia" w:ascii="彩虹粗仿宋" w:hAnsi="微软雅黑" w:eastAsia="彩虹粗仿宋" w:cs="宋体"/>
          <w:color w:val="auto"/>
          <w:kern w:val="0"/>
          <w:sz w:val="32"/>
          <w:szCs w:val="32"/>
        </w:rPr>
        <w:t>24个营业网点、12个离行式自助银行</w:t>
      </w:r>
      <w:r>
        <w:rPr>
          <w:rFonts w:hint="eastAsia" w:ascii="彩虹粗仿宋" w:hAnsi="Calibri" w:eastAsia="彩虹粗仿宋" w:cs="宋体"/>
          <w:color w:val="auto"/>
          <w:kern w:val="0"/>
          <w:sz w:val="32"/>
          <w:szCs w:val="32"/>
        </w:rPr>
        <w:t>。为保障我行业务安全运营，</w:t>
      </w:r>
      <w:r>
        <w:rPr>
          <w:rFonts w:hint="eastAsia" w:ascii="彩虹粗仿宋" w:hAnsi="宋体" w:eastAsia="彩虹粗仿宋" w:cs="Times New Roman"/>
          <w:color w:val="auto"/>
          <w:sz w:val="32"/>
          <w:szCs w:val="32"/>
        </w:rPr>
        <w:t>预计2024年度供需求6台押运车辆，其中：一是</w:t>
      </w:r>
      <w:r>
        <w:rPr>
          <w:rFonts w:hint="eastAsia" w:ascii="彩虹粗仿宋" w:hAnsi="Calibri" w:eastAsia="彩虹粗仿宋" w:cs="Times New Roman"/>
          <w:color w:val="auto"/>
          <w:sz w:val="32"/>
          <w:szCs w:val="32"/>
        </w:rPr>
        <w:t>2024年需6辆车组负责城区和所属县支行及延长线押运事宜</w:t>
      </w:r>
      <w:r>
        <w:rPr>
          <w:rFonts w:hint="eastAsia" w:ascii="彩虹粗仿宋" w:hAnsi="宋体" w:eastAsia="彩虹粗仿宋" w:cs="Times New Roman"/>
          <w:color w:val="auto"/>
          <w:sz w:val="32"/>
          <w:szCs w:val="32"/>
        </w:rPr>
        <w:t>；二是</w:t>
      </w:r>
      <w:r>
        <w:rPr>
          <w:rFonts w:hint="eastAsia" w:ascii="彩虹粗仿宋" w:hAnsi="Calibri" w:eastAsia="彩虹粗仿宋" w:cs="Times New Roman"/>
          <w:color w:val="auto"/>
          <w:sz w:val="32"/>
          <w:szCs w:val="32"/>
        </w:rPr>
        <w:t>确定人员1</w:t>
      </w:r>
      <w:r>
        <w:rPr>
          <w:rFonts w:ascii="彩虹粗仿宋" w:hAnsi="Calibri" w:eastAsia="彩虹粗仿宋" w:cs="Times New Roman"/>
          <w:color w:val="auto"/>
          <w:sz w:val="32"/>
          <w:szCs w:val="32"/>
        </w:rPr>
        <w:t>4人</w:t>
      </w:r>
      <w:r>
        <w:rPr>
          <w:rFonts w:hint="eastAsia" w:ascii="彩虹粗仿宋" w:hAnsi="Calibri" w:eastAsia="彩虹粗仿宋" w:cs="Times New Roman"/>
          <w:color w:val="auto"/>
          <w:sz w:val="32"/>
          <w:szCs w:val="32"/>
        </w:rPr>
        <w:t>次负责</w:t>
      </w:r>
      <w:r>
        <w:rPr>
          <w:rFonts w:hint="eastAsia" w:ascii="彩虹粗仿宋" w:hAnsi="宋体" w:eastAsia="彩虹粗仿宋" w:cs="Times New Roman"/>
          <w:color w:val="auto"/>
          <w:sz w:val="32"/>
          <w:szCs w:val="32"/>
        </w:rPr>
        <w:t>市分行中心金库和灵宝支行金库作业区、清分中心等部位警戒、人员出入管控、物品点验等。</w:t>
      </w:r>
    </w:p>
    <w:p>
      <w:pPr>
        <w:spacing w:line="560" w:lineRule="exact"/>
        <w:ind w:firstLine="640" w:firstLineChars="200"/>
        <w:rPr>
          <w:rFonts w:ascii="彩虹黑体" w:hAnsi="彩虹黑体" w:eastAsia="彩虹黑体" w:cs="彩虹黑体"/>
          <w:color w:val="auto"/>
          <w:sz w:val="32"/>
          <w:szCs w:val="32"/>
        </w:rPr>
      </w:pPr>
      <w:r>
        <w:rPr>
          <w:rFonts w:hint="eastAsia" w:ascii="彩虹黑体" w:hAnsi="彩虹黑体" w:eastAsia="彩虹黑体" w:cs="彩虹黑体"/>
          <w:color w:val="auto"/>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color w:val="auto"/>
          <w:kern w:val="0"/>
          <w:sz w:val="32"/>
          <w:szCs w:val="32"/>
        </w:rPr>
      </w:pPr>
      <w:r>
        <w:rPr>
          <w:rFonts w:ascii="彩虹粗仿宋" w:hAnsi="微软雅黑" w:eastAsia="彩虹粗仿宋" w:cs="宋体"/>
          <w:color w:val="auto"/>
          <w:kern w:val="0"/>
          <w:sz w:val="32"/>
          <w:szCs w:val="32"/>
        </w:rPr>
        <w:t>按月对</w:t>
      </w:r>
      <w:r>
        <w:rPr>
          <w:rFonts w:hint="eastAsia" w:ascii="彩虹粗仿宋" w:hAnsi="宋体" w:eastAsia="彩虹粗仿宋"/>
          <w:snapToGrid w:val="0"/>
          <w:color w:val="auto"/>
          <w:sz w:val="32"/>
          <w:szCs w:val="32"/>
        </w:rPr>
        <w:t>押运</w:t>
      </w:r>
      <w:r>
        <w:rPr>
          <w:rFonts w:ascii="彩虹粗仿宋" w:hAnsi="微软雅黑" w:eastAsia="彩虹粗仿宋" w:cs="宋体"/>
          <w:color w:val="auto"/>
          <w:kern w:val="0"/>
          <w:sz w:val="32"/>
          <w:szCs w:val="32"/>
        </w:rPr>
        <w:t>公司的</w:t>
      </w:r>
      <w:r>
        <w:rPr>
          <w:rFonts w:hint="eastAsia" w:ascii="彩虹粗仿宋" w:hAnsi="微软雅黑" w:eastAsia="彩虹粗仿宋" w:cs="宋体"/>
          <w:color w:val="auto"/>
          <w:kern w:val="0"/>
          <w:sz w:val="32"/>
          <w:szCs w:val="32"/>
        </w:rPr>
        <w:t>钞币运送和金库守护</w:t>
      </w:r>
      <w:r>
        <w:rPr>
          <w:rFonts w:ascii="彩虹粗仿宋" w:hAnsi="微软雅黑" w:eastAsia="彩虹粗仿宋" w:cs="宋体"/>
          <w:color w:val="auto"/>
          <w:kern w:val="0"/>
          <w:sz w:val="32"/>
          <w:szCs w:val="32"/>
        </w:rPr>
        <w:t>服务情况进行考核，</w:t>
      </w:r>
      <w:r>
        <w:rPr>
          <w:rFonts w:hint="eastAsia" w:ascii="彩虹粗仿宋" w:hAnsi="微软雅黑" w:eastAsia="彩虹粗仿宋" w:cs="宋体"/>
          <w:color w:val="auto"/>
          <w:kern w:val="0"/>
          <w:sz w:val="32"/>
          <w:szCs w:val="32"/>
        </w:rPr>
        <w:t>供应商</w:t>
      </w:r>
      <w:r>
        <w:rPr>
          <w:rFonts w:ascii="彩虹粗仿宋" w:hAnsi="微软雅黑" w:eastAsia="彩虹粗仿宋" w:cs="宋体"/>
          <w:color w:val="auto"/>
          <w:kern w:val="0"/>
          <w:sz w:val="32"/>
          <w:szCs w:val="32"/>
        </w:rPr>
        <w:t>根据考核结果</w:t>
      </w:r>
      <w:r>
        <w:rPr>
          <w:rFonts w:hint="eastAsia" w:ascii="彩虹粗仿宋" w:hAnsi="微软雅黑" w:eastAsia="彩虹粗仿宋" w:cs="宋体"/>
          <w:color w:val="auto"/>
          <w:kern w:val="0"/>
          <w:sz w:val="32"/>
          <w:szCs w:val="32"/>
        </w:rPr>
        <w:t>为“合格”根据</w:t>
      </w:r>
      <w:r>
        <w:rPr>
          <w:rFonts w:ascii="彩虹粗仿宋" w:hAnsi="微软雅黑" w:eastAsia="彩虹粗仿宋" w:cs="宋体"/>
          <w:color w:val="auto"/>
          <w:kern w:val="0"/>
          <w:sz w:val="32"/>
          <w:szCs w:val="32"/>
        </w:rPr>
        <w:t>出具的增值税专用发票</w:t>
      </w:r>
      <w:r>
        <w:rPr>
          <w:rFonts w:hint="eastAsia" w:ascii="彩虹粗仿宋" w:hAnsi="微软雅黑" w:eastAsia="彩虹粗仿宋" w:cs="宋体"/>
          <w:color w:val="auto"/>
          <w:kern w:val="0"/>
          <w:sz w:val="32"/>
          <w:szCs w:val="32"/>
        </w:rPr>
        <w:t>付款，考核结果为“不合格”扣除考核款项后付款</w:t>
      </w:r>
      <w:r>
        <w:rPr>
          <w:rFonts w:ascii="彩虹粗仿宋" w:hAnsi="微软雅黑" w:eastAsia="彩虹粗仿宋" w:cs="宋体"/>
          <w:color w:val="auto"/>
          <w:kern w:val="0"/>
          <w:sz w:val="32"/>
          <w:szCs w:val="32"/>
        </w:rPr>
        <w:t>，</w:t>
      </w:r>
      <w:r>
        <w:rPr>
          <w:rFonts w:hint="eastAsia" w:ascii="彩虹粗仿宋" w:hAnsi="宋体" w:eastAsia="彩虹粗仿宋" w:cs="Times New Roman"/>
          <w:snapToGrid w:val="0"/>
          <w:color w:val="auto"/>
          <w:kern w:val="0"/>
          <w:sz w:val="32"/>
          <w:szCs w:val="32"/>
        </w:rPr>
        <w:t>按月结算支付。</w:t>
      </w:r>
    </w:p>
    <w:p>
      <w:pPr>
        <w:spacing w:line="560" w:lineRule="exact"/>
        <w:ind w:firstLine="640" w:firstLineChars="200"/>
        <w:rPr>
          <w:rFonts w:ascii="彩虹黑体" w:hAnsi="彩虹黑体" w:eastAsia="彩虹黑体" w:cs="彩虹黑体"/>
          <w:color w:val="auto"/>
          <w:sz w:val="32"/>
          <w:szCs w:val="32"/>
        </w:rPr>
      </w:pPr>
      <w:r>
        <w:rPr>
          <w:rFonts w:hint="eastAsia" w:ascii="彩虹黑体" w:hAnsi="彩虹黑体" w:eastAsia="彩虹黑体" w:cs="彩虹黑体"/>
          <w:color w:val="auto"/>
          <w:sz w:val="32"/>
          <w:szCs w:val="32"/>
        </w:rPr>
        <w:t>八、报价要求</w:t>
      </w:r>
    </w:p>
    <w:p>
      <w:pPr>
        <w:adjustRightInd w:val="0"/>
        <w:snapToGrid w:val="0"/>
        <w:spacing w:line="560" w:lineRule="exact"/>
        <w:ind w:firstLine="480" w:firstLineChars="15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（一）以服务区域</w:t>
      </w:r>
      <w:r>
        <w:rPr>
          <w:rFonts w:hint="eastAsia" w:ascii="彩虹粗仿宋" w:hAnsi="宋体" w:eastAsia="彩虹粗仿宋"/>
          <w:snapToGrid w:val="0"/>
          <w:color w:val="auto"/>
          <w:sz w:val="32"/>
          <w:szCs w:val="32"/>
        </w:rPr>
        <w:t>元/车组/月报</w:t>
      </w:r>
      <w:r>
        <w:rPr>
          <w:rFonts w:hint="eastAsia" w:ascii="彩虹粗仿宋" w:hAnsi="宋体" w:eastAsia="彩虹粗仿宋" w:cs="Times New Roman"/>
          <w:snapToGrid w:val="0"/>
          <w:color w:val="auto"/>
          <w:kern w:val="0"/>
          <w:sz w:val="32"/>
          <w:szCs w:val="32"/>
        </w:rPr>
        <w:t>固定费用和单次临时费用报含税单价，超过预算为无效报价。</w:t>
      </w:r>
    </w:p>
    <w:p>
      <w:pPr>
        <w:ind w:firstLine="640" w:firstLineChars="200"/>
        <w:rPr>
          <w:rFonts w:hint="eastAsia" w:ascii="彩虹粗仿宋" w:hAnsi="宋体" w:eastAsia="彩虹粗仿宋" w:cs="Times New Roman"/>
          <w:snapToGrid w:val="0"/>
          <w:color w:val="auto"/>
          <w:kern w:val="0"/>
          <w:sz w:val="32"/>
          <w:szCs w:val="32"/>
        </w:rPr>
      </w:pPr>
    </w:p>
    <w:tbl>
      <w:tblPr>
        <w:tblStyle w:val="3"/>
        <w:tblW w:w="8334" w:type="dxa"/>
        <w:tblInd w:w="0" w:type="dxa"/>
        <w:tblLayout w:type="autofit"/>
        <w:tblCellMar>
          <w:top w:w="0" w:type="dxa"/>
          <w:left w:w="0" w:type="dxa"/>
          <w:bottom w:w="0" w:type="dxa"/>
          <w:right w:w="0" w:type="dxa"/>
        </w:tblCellMar>
      </w:tblPr>
      <w:tblGrid>
        <w:gridCol w:w="413"/>
        <w:gridCol w:w="2208"/>
        <w:gridCol w:w="1118"/>
        <w:gridCol w:w="1118"/>
        <w:gridCol w:w="1241"/>
        <w:gridCol w:w="1118"/>
        <w:gridCol w:w="1118"/>
      </w:tblGrid>
      <w:tr>
        <w:tblPrEx>
          <w:tblCellMar>
            <w:top w:w="0" w:type="dxa"/>
            <w:left w:w="0" w:type="dxa"/>
            <w:bottom w:w="0" w:type="dxa"/>
            <w:right w:w="0" w:type="dxa"/>
          </w:tblCellMar>
        </w:tblPrEx>
        <w:trPr>
          <w:trHeight w:val="1200" w:hRule="atLeast"/>
        </w:trPr>
        <w:tc>
          <w:tcPr>
            <w:tcW w:w="4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auto"/>
                <w:sz w:val="22"/>
              </w:rPr>
            </w:pPr>
            <w:r>
              <w:rPr>
                <w:rFonts w:hint="eastAsia" w:ascii="宋体" w:hAnsi="宋体" w:cs="宋体"/>
                <w:b/>
                <w:color w:val="auto"/>
                <w:kern w:val="0"/>
                <w:sz w:val="22"/>
                <w:lang w:bidi="ar"/>
              </w:rPr>
              <w:t>序号</w:t>
            </w: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auto"/>
                <w:sz w:val="22"/>
              </w:rPr>
            </w:pPr>
            <w:r>
              <w:rPr>
                <w:rFonts w:hint="eastAsia" w:ascii="宋体" w:hAnsi="宋体" w:cs="宋体"/>
                <w:b/>
                <w:color w:val="auto"/>
                <w:kern w:val="0"/>
                <w:sz w:val="22"/>
                <w:lang w:bidi="ar"/>
              </w:rPr>
              <w:t>服务区域</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auto"/>
                <w:sz w:val="20"/>
                <w:szCs w:val="20"/>
              </w:rPr>
            </w:pPr>
            <w:r>
              <w:rPr>
                <w:rFonts w:hint="eastAsia" w:ascii="宋体" w:hAnsi="宋体" w:cs="宋体"/>
                <w:b/>
                <w:color w:val="auto"/>
                <w:kern w:val="0"/>
                <w:sz w:val="20"/>
                <w:szCs w:val="20"/>
                <w:lang w:bidi="ar"/>
              </w:rPr>
              <w:t>全年每条线路押运费(万元）</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auto"/>
                <w:sz w:val="20"/>
                <w:szCs w:val="20"/>
              </w:rPr>
            </w:pPr>
            <w:r>
              <w:rPr>
                <w:rFonts w:hint="eastAsia" w:ascii="宋体" w:hAnsi="宋体" w:cs="宋体"/>
                <w:b/>
                <w:color w:val="auto"/>
                <w:kern w:val="0"/>
                <w:sz w:val="20"/>
                <w:szCs w:val="20"/>
                <w:lang w:bidi="ar"/>
              </w:rPr>
              <w:t>全年每条线款箱员（万元）</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auto"/>
                <w:sz w:val="20"/>
                <w:szCs w:val="20"/>
              </w:rPr>
            </w:pPr>
            <w:r>
              <w:rPr>
                <w:rFonts w:hint="eastAsia" w:ascii="宋体" w:hAnsi="宋体" w:cs="宋体"/>
                <w:b/>
                <w:color w:val="auto"/>
                <w:kern w:val="0"/>
                <w:sz w:val="20"/>
                <w:szCs w:val="20"/>
                <w:lang w:bidi="ar"/>
              </w:rPr>
              <w:t>押运车辆数（单位：辆）</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b/>
                <w:color w:val="auto"/>
                <w:kern w:val="0"/>
                <w:sz w:val="20"/>
                <w:szCs w:val="20"/>
                <w:lang w:bidi="ar"/>
              </w:rPr>
            </w:pPr>
            <w:r>
              <w:rPr>
                <w:rFonts w:hint="eastAsia" w:ascii="宋体" w:hAnsi="宋体" w:cs="宋体"/>
                <w:b/>
                <w:color w:val="auto"/>
                <w:kern w:val="0"/>
                <w:sz w:val="20"/>
                <w:szCs w:val="20"/>
                <w:lang w:eastAsia="zh-CN" w:bidi="ar"/>
              </w:rPr>
              <w:t>每月</w:t>
            </w:r>
            <w:r>
              <w:rPr>
                <w:rFonts w:hint="eastAsia" w:ascii="宋体" w:hAnsi="宋体" w:cs="宋体"/>
                <w:b/>
                <w:color w:val="auto"/>
                <w:kern w:val="0"/>
                <w:sz w:val="20"/>
                <w:szCs w:val="20"/>
                <w:lang w:bidi="ar"/>
              </w:rPr>
              <w:t>费用（元）</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auto"/>
                <w:sz w:val="20"/>
                <w:szCs w:val="20"/>
              </w:rPr>
            </w:pPr>
            <w:r>
              <w:rPr>
                <w:rFonts w:hint="eastAsia" w:ascii="宋体" w:hAnsi="宋体" w:cs="宋体"/>
                <w:b/>
                <w:color w:val="auto"/>
                <w:kern w:val="0"/>
                <w:sz w:val="20"/>
                <w:szCs w:val="20"/>
                <w:lang w:bidi="ar"/>
              </w:rPr>
              <w:t>年费用（万元）</w:t>
            </w:r>
          </w:p>
        </w:tc>
      </w:tr>
      <w:tr>
        <w:tblPrEx>
          <w:tblCellMar>
            <w:top w:w="0" w:type="dxa"/>
            <w:left w:w="0" w:type="dxa"/>
            <w:bottom w:w="0" w:type="dxa"/>
            <w:right w:w="0" w:type="dxa"/>
          </w:tblCellMar>
        </w:tblPrEx>
        <w:trPr>
          <w:trHeight w:val="460" w:hRule="atLeast"/>
        </w:trPr>
        <w:tc>
          <w:tcPr>
            <w:tcW w:w="4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auto"/>
                <w:sz w:val="20"/>
                <w:szCs w:val="20"/>
              </w:rPr>
            </w:pPr>
            <w:r>
              <w:rPr>
                <w:rFonts w:hint="eastAsia" w:ascii="彩虹粗仿宋" w:hAnsi="彩虹粗仿宋" w:eastAsia="彩虹粗仿宋" w:cs="彩虹粗仿宋"/>
                <w:color w:val="auto"/>
                <w:kern w:val="0"/>
                <w:sz w:val="20"/>
                <w:szCs w:val="20"/>
                <w:lang w:bidi="ar"/>
              </w:rPr>
              <w:t>1</w:t>
            </w: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彩虹粗仿宋" w:hAnsi="彩虹粗仿宋" w:eastAsia="彩虹粗仿宋" w:cs="彩虹粗仿宋"/>
                <w:color w:val="auto"/>
                <w:sz w:val="20"/>
                <w:szCs w:val="20"/>
                <w:lang w:val="en-US" w:eastAsia="zh-CN"/>
              </w:rPr>
            </w:pPr>
            <w:r>
              <w:rPr>
                <w:rFonts w:hint="eastAsia" w:ascii="彩虹粗仿宋" w:hAnsi="彩虹粗仿宋" w:eastAsia="彩虹粗仿宋" w:cs="彩虹粗仿宋"/>
                <w:color w:val="auto"/>
                <w:kern w:val="0"/>
                <w:sz w:val="20"/>
                <w:szCs w:val="20"/>
                <w:lang w:bidi="ar"/>
              </w:rPr>
              <w:t>三门峡城区</w:t>
            </w:r>
            <w:r>
              <w:rPr>
                <w:rFonts w:hint="eastAsia" w:ascii="彩虹粗仿宋" w:hAnsi="彩虹粗仿宋" w:eastAsia="彩虹粗仿宋" w:cs="彩虹粗仿宋"/>
                <w:color w:val="auto"/>
                <w:kern w:val="0"/>
                <w:sz w:val="20"/>
                <w:szCs w:val="20"/>
                <w:lang w:val="en-US" w:eastAsia="zh-CN" w:bidi="ar"/>
              </w:rPr>
              <w:t>、</w:t>
            </w:r>
            <w:r>
              <w:rPr>
                <w:rFonts w:hint="eastAsia" w:ascii="彩虹粗仿宋" w:hAnsi="彩虹粗仿宋" w:eastAsia="彩虹粗仿宋" w:cs="彩虹粗仿宋"/>
                <w:color w:val="auto"/>
                <w:kern w:val="0"/>
                <w:sz w:val="20"/>
                <w:szCs w:val="20"/>
                <w:lang w:bidi="ar"/>
              </w:rPr>
              <w:t>渑池、义马</w:t>
            </w:r>
            <w:r>
              <w:rPr>
                <w:rFonts w:hint="eastAsia" w:ascii="彩虹粗仿宋" w:hAnsi="彩虹粗仿宋" w:eastAsia="彩虹粗仿宋" w:cs="彩虹粗仿宋"/>
                <w:color w:val="auto"/>
                <w:kern w:val="0"/>
                <w:sz w:val="20"/>
                <w:szCs w:val="20"/>
                <w:lang w:eastAsia="zh-CN" w:bidi="ar"/>
              </w:rPr>
              <w:t>、</w:t>
            </w:r>
            <w:r>
              <w:rPr>
                <w:rFonts w:hint="eastAsia" w:ascii="彩虹粗仿宋" w:hAnsi="彩虹粗仿宋" w:eastAsia="彩虹粗仿宋" w:cs="彩虹粗仿宋"/>
                <w:color w:val="auto"/>
                <w:kern w:val="0"/>
                <w:sz w:val="20"/>
                <w:szCs w:val="20"/>
                <w:lang w:bidi="ar"/>
              </w:rPr>
              <w:t>灵宝城区</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34</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10</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Arial" w:hAnsi="Arial" w:eastAsia="宋体" w:cs="Arial"/>
                <w:color w:val="auto"/>
                <w:sz w:val="20"/>
                <w:szCs w:val="20"/>
                <w:lang w:eastAsia="zh-CN"/>
              </w:rPr>
            </w:pPr>
            <w:r>
              <w:rPr>
                <w:rFonts w:hint="eastAsia" w:ascii="Arial" w:hAnsi="Arial" w:cs="Arial"/>
                <w:color w:val="auto"/>
                <w:kern w:val="0"/>
                <w:sz w:val="20"/>
                <w:szCs w:val="20"/>
                <w:lang w:val="en-US" w:eastAsia="zh-CN" w:bidi="ar"/>
              </w:rPr>
              <w:t>4</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Arial" w:hAnsi="Arial" w:cs="Arial"/>
                <w:color w:val="auto"/>
                <w:kern w:val="0"/>
                <w:sz w:val="20"/>
                <w:szCs w:val="20"/>
                <w:lang w:val="en-US" w:eastAsia="zh-CN" w:bidi="ar"/>
              </w:rPr>
            </w:pPr>
            <w:r>
              <w:rPr>
                <w:rFonts w:hint="eastAsia" w:ascii="Arial" w:hAnsi="Arial" w:cs="Arial"/>
                <w:color w:val="auto"/>
                <w:kern w:val="0"/>
                <w:sz w:val="20"/>
                <w:szCs w:val="20"/>
                <w:lang w:val="en-US" w:eastAsia="zh-CN" w:bidi="ar"/>
              </w:rPr>
              <w:t>36666.66</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Arial" w:hAnsi="Arial" w:eastAsia="宋体" w:cs="Arial"/>
                <w:color w:val="auto"/>
                <w:sz w:val="20"/>
                <w:szCs w:val="20"/>
                <w:lang w:val="en-US" w:eastAsia="zh-CN"/>
              </w:rPr>
            </w:pPr>
            <w:r>
              <w:rPr>
                <w:rFonts w:hint="eastAsia" w:ascii="Arial" w:hAnsi="Arial" w:cs="Arial"/>
                <w:color w:val="auto"/>
                <w:kern w:val="0"/>
                <w:sz w:val="20"/>
                <w:szCs w:val="20"/>
                <w:lang w:val="en-US" w:eastAsia="zh-CN" w:bidi="ar"/>
              </w:rPr>
              <w:t>176</w:t>
            </w:r>
          </w:p>
        </w:tc>
      </w:tr>
      <w:tr>
        <w:tblPrEx>
          <w:tblCellMar>
            <w:top w:w="0" w:type="dxa"/>
            <w:left w:w="0" w:type="dxa"/>
            <w:bottom w:w="0" w:type="dxa"/>
            <w:right w:w="0" w:type="dxa"/>
          </w:tblCellMar>
        </w:tblPrEx>
        <w:trPr>
          <w:trHeight w:val="460" w:hRule="atLeast"/>
        </w:trPr>
        <w:tc>
          <w:tcPr>
            <w:tcW w:w="4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彩虹粗仿宋" w:hAnsi="彩虹粗仿宋" w:eastAsia="彩虹粗仿宋" w:cs="彩虹粗仿宋"/>
                <w:color w:val="auto"/>
                <w:sz w:val="20"/>
                <w:szCs w:val="20"/>
                <w:lang w:eastAsia="zh-CN"/>
              </w:rPr>
            </w:pPr>
            <w:r>
              <w:rPr>
                <w:rFonts w:hint="eastAsia" w:ascii="彩虹粗仿宋" w:hAnsi="彩虹粗仿宋" w:eastAsia="彩虹粗仿宋" w:cs="彩虹粗仿宋"/>
                <w:color w:val="auto"/>
                <w:kern w:val="0"/>
                <w:sz w:val="20"/>
                <w:szCs w:val="20"/>
                <w:lang w:val="en-US" w:eastAsia="zh-CN" w:bidi="ar"/>
              </w:rPr>
              <w:t>2</w:t>
            </w: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auto"/>
                <w:sz w:val="20"/>
                <w:szCs w:val="20"/>
              </w:rPr>
            </w:pPr>
            <w:r>
              <w:rPr>
                <w:rFonts w:hint="eastAsia" w:ascii="彩虹粗仿宋" w:hAnsi="彩虹粗仿宋" w:eastAsia="彩虹粗仿宋" w:cs="彩虹粗仿宋"/>
                <w:color w:val="auto"/>
                <w:kern w:val="0"/>
                <w:sz w:val="20"/>
                <w:szCs w:val="20"/>
                <w:lang w:bidi="ar"/>
              </w:rPr>
              <w:t>灵宝豫灵、故县延长线</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19.8</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1</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Arial" w:hAnsi="Arial" w:eastAsia="宋体" w:cs="Arial"/>
                <w:color w:val="auto"/>
                <w:kern w:val="0"/>
                <w:sz w:val="20"/>
                <w:szCs w:val="20"/>
                <w:lang w:val="en-US" w:eastAsia="zh-CN" w:bidi="ar"/>
              </w:rPr>
            </w:pPr>
            <w:r>
              <w:rPr>
                <w:rFonts w:hint="eastAsia" w:ascii="Arial" w:hAnsi="Arial" w:cs="Arial"/>
                <w:color w:val="auto"/>
                <w:kern w:val="0"/>
                <w:sz w:val="20"/>
                <w:szCs w:val="20"/>
                <w:lang w:val="en-US" w:eastAsia="zh-CN" w:bidi="ar"/>
              </w:rPr>
              <w:t>16500</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19.8</w:t>
            </w:r>
          </w:p>
        </w:tc>
      </w:tr>
      <w:tr>
        <w:tblPrEx>
          <w:tblCellMar>
            <w:top w:w="0" w:type="dxa"/>
            <w:left w:w="0" w:type="dxa"/>
            <w:bottom w:w="0" w:type="dxa"/>
            <w:right w:w="0" w:type="dxa"/>
          </w:tblCellMar>
        </w:tblPrEx>
        <w:trPr>
          <w:trHeight w:val="660" w:hRule="atLeast"/>
        </w:trPr>
        <w:tc>
          <w:tcPr>
            <w:tcW w:w="4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彩虹粗仿宋" w:hAnsi="彩虹粗仿宋" w:eastAsia="彩虹粗仿宋" w:cs="彩虹粗仿宋"/>
                <w:color w:val="auto"/>
                <w:sz w:val="20"/>
                <w:szCs w:val="20"/>
                <w:lang w:eastAsia="zh-CN"/>
              </w:rPr>
            </w:pPr>
            <w:r>
              <w:rPr>
                <w:rFonts w:hint="eastAsia" w:ascii="彩虹粗仿宋" w:hAnsi="彩虹粗仿宋" w:eastAsia="彩虹粗仿宋" w:cs="彩虹粗仿宋"/>
                <w:color w:val="auto"/>
                <w:kern w:val="0"/>
                <w:sz w:val="20"/>
                <w:szCs w:val="20"/>
                <w:lang w:val="en-US" w:eastAsia="zh-CN" w:bidi="ar"/>
              </w:rPr>
              <w:t>3</w:t>
            </w:r>
          </w:p>
        </w:tc>
        <w:tc>
          <w:tcPr>
            <w:tcW w:w="22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彩虹粗仿宋" w:hAnsi="彩虹粗仿宋" w:eastAsia="彩虹粗仿宋" w:cs="彩虹粗仿宋"/>
                <w:color w:val="auto"/>
                <w:sz w:val="20"/>
                <w:szCs w:val="20"/>
              </w:rPr>
            </w:pPr>
            <w:r>
              <w:rPr>
                <w:rFonts w:hint="eastAsia" w:ascii="彩虹粗仿宋" w:hAnsi="彩虹粗仿宋" w:eastAsia="彩虹粗仿宋" w:cs="彩虹粗仿宋"/>
                <w:color w:val="auto"/>
                <w:kern w:val="0"/>
                <w:sz w:val="20"/>
                <w:szCs w:val="20"/>
                <w:lang w:bidi="ar"/>
              </w:rPr>
              <w:t>卢氏支行延长线</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19.68</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Arial" w:hAnsi="Arial" w:cs="Arial"/>
                <w:color w:val="auto"/>
                <w:sz w:val="20"/>
                <w:szCs w:val="20"/>
              </w:rPr>
            </w:pPr>
            <w:r>
              <w:rPr>
                <w:rFonts w:ascii="Arial" w:hAnsi="Arial" w:cs="Arial"/>
                <w:color w:val="auto"/>
                <w:kern w:val="0"/>
                <w:sz w:val="20"/>
                <w:szCs w:val="20"/>
                <w:lang w:bidi="ar"/>
              </w:rPr>
              <w:t xml:space="preserve">1 </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Arial" w:hAnsi="Arial" w:eastAsia="宋体" w:cs="Arial"/>
                <w:color w:val="auto"/>
                <w:kern w:val="0"/>
                <w:sz w:val="20"/>
                <w:szCs w:val="20"/>
                <w:lang w:val="en-US" w:eastAsia="zh-CN" w:bidi="ar"/>
              </w:rPr>
            </w:pPr>
            <w:r>
              <w:rPr>
                <w:rFonts w:hint="eastAsia" w:ascii="Arial" w:hAnsi="Arial" w:cs="Arial"/>
                <w:color w:val="auto"/>
                <w:kern w:val="0"/>
                <w:sz w:val="20"/>
                <w:szCs w:val="20"/>
                <w:lang w:val="en-US" w:eastAsia="zh-CN" w:bidi="ar"/>
              </w:rPr>
              <w:t>16400</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19.68</w:t>
            </w:r>
          </w:p>
        </w:tc>
      </w:tr>
      <w:tr>
        <w:tblPrEx>
          <w:tblCellMar>
            <w:top w:w="0" w:type="dxa"/>
            <w:left w:w="0" w:type="dxa"/>
            <w:bottom w:w="0" w:type="dxa"/>
            <w:right w:w="0" w:type="dxa"/>
          </w:tblCellMar>
        </w:tblPrEx>
        <w:trPr>
          <w:trHeight w:val="460" w:hRule="atLeast"/>
        </w:trPr>
        <w:tc>
          <w:tcPr>
            <w:tcW w:w="4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彩虹粗仿宋" w:hAnsi="彩虹粗仿宋" w:eastAsia="彩虹粗仿宋" w:cs="彩虹粗仿宋"/>
                <w:color w:val="auto"/>
                <w:sz w:val="20"/>
                <w:szCs w:val="20"/>
                <w:lang w:eastAsia="zh-CN"/>
              </w:rPr>
            </w:pPr>
            <w:r>
              <w:rPr>
                <w:rFonts w:hint="eastAsia" w:ascii="彩虹粗仿宋" w:hAnsi="彩虹粗仿宋" w:eastAsia="彩虹粗仿宋" w:cs="彩虹粗仿宋"/>
                <w:color w:val="auto"/>
                <w:kern w:val="0"/>
                <w:sz w:val="20"/>
                <w:szCs w:val="20"/>
                <w:lang w:val="en-US" w:eastAsia="zh-CN" w:bidi="ar"/>
              </w:rPr>
              <w:t>4</w:t>
            </w: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auto"/>
                <w:sz w:val="20"/>
                <w:szCs w:val="20"/>
              </w:rPr>
            </w:pPr>
            <w:r>
              <w:rPr>
                <w:rFonts w:hint="eastAsia" w:ascii="彩虹粗仿宋" w:hAnsi="彩虹粗仿宋" w:eastAsia="彩虹粗仿宋" w:cs="彩虹粗仿宋"/>
                <w:color w:val="auto"/>
                <w:kern w:val="0"/>
                <w:sz w:val="20"/>
                <w:szCs w:val="20"/>
                <w:lang w:bidi="ar"/>
              </w:rPr>
              <w:t>临时押运费</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2.64</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全年12次</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Arial" w:hAnsi="Arial" w:eastAsia="宋体" w:cs="Arial"/>
                <w:color w:val="auto"/>
                <w:kern w:val="0"/>
                <w:sz w:val="20"/>
                <w:szCs w:val="20"/>
                <w:lang w:val="en-US" w:eastAsia="zh-CN" w:bidi="ar"/>
              </w:rPr>
            </w:pPr>
            <w:r>
              <w:rPr>
                <w:rFonts w:hint="eastAsia" w:ascii="Arial" w:hAnsi="Arial" w:cs="Arial"/>
                <w:color w:val="auto"/>
                <w:kern w:val="0"/>
                <w:sz w:val="20"/>
                <w:szCs w:val="20"/>
                <w:lang w:val="en-US" w:eastAsia="zh-CN" w:bidi="ar"/>
              </w:rPr>
              <w:t>2200</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2.64</w:t>
            </w:r>
          </w:p>
        </w:tc>
      </w:tr>
      <w:tr>
        <w:tblPrEx>
          <w:tblCellMar>
            <w:top w:w="0" w:type="dxa"/>
            <w:left w:w="0" w:type="dxa"/>
            <w:bottom w:w="0" w:type="dxa"/>
            <w:right w:w="0" w:type="dxa"/>
          </w:tblCellMar>
        </w:tblPrEx>
        <w:trPr>
          <w:trHeight w:val="460" w:hRule="atLeast"/>
        </w:trPr>
        <w:tc>
          <w:tcPr>
            <w:tcW w:w="26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auto"/>
                <w:sz w:val="20"/>
                <w:szCs w:val="20"/>
              </w:rPr>
            </w:pPr>
            <w:r>
              <w:rPr>
                <w:rFonts w:hint="eastAsia" w:ascii="彩虹粗仿宋" w:hAnsi="彩虹粗仿宋" w:eastAsia="彩虹粗仿宋" w:cs="彩虹粗仿宋"/>
                <w:color w:val="auto"/>
                <w:kern w:val="0"/>
                <w:sz w:val="20"/>
                <w:szCs w:val="20"/>
                <w:lang w:bidi="ar"/>
              </w:rPr>
              <w:t>合计</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Arial" w:hAnsi="Arial" w:cs="Arial"/>
                <w:color w:val="auto"/>
                <w:sz w:val="20"/>
                <w:szCs w:val="20"/>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sz w:val="20"/>
                <w:szCs w:val="20"/>
              </w:rPr>
              <w:t>218.12</w:t>
            </w:r>
          </w:p>
        </w:tc>
      </w:tr>
    </w:tbl>
    <w:p>
      <w:pPr>
        <w:ind w:firstLine="640" w:firstLineChars="200"/>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（二）金库守护费用按元/</w:t>
      </w:r>
      <w:r>
        <w:rPr>
          <w:rFonts w:hint="eastAsia" w:ascii="彩虹粗仿宋" w:hAnsi="宋体" w:eastAsia="彩虹粗仿宋" w:cs="Times New Roman"/>
          <w:snapToGrid w:val="0"/>
          <w:color w:val="auto"/>
          <w:kern w:val="0"/>
          <w:sz w:val="32"/>
          <w:szCs w:val="32"/>
          <w:lang w:eastAsia="zh-CN"/>
        </w:rPr>
        <w:t>岗</w:t>
      </w:r>
      <w:r>
        <w:rPr>
          <w:rFonts w:hint="eastAsia"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lang w:eastAsia="zh-CN"/>
        </w:rPr>
        <w:t>月</w:t>
      </w:r>
      <w:r>
        <w:rPr>
          <w:rFonts w:hint="eastAsia" w:ascii="彩虹粗仿宋" w:hAnsi="宋体" w:eastAsia="彩虹粗仿宋" w:cs="Times New Roman"/>
          <w:snapToGrid w:val="0"/>
          <w:color w:val="auto"/>
          <w:kern w:val="0"/>
          <w:sz w:val="32"/>
          <w:szCs w:val="32"/>
        </w:rPr>
        <w:t>报含税单价，超过预算为无效报价。</w:t>
      </w:r>
    </w:p>
    <w:tbl>
      <w:tblPr>
        <w:tblStyle w:val="3"/>
        <w:tblW w:w="8237" w:type="dxa"/>
        <w:tblInd w:w="0" w:type="dxa"/>
        <w:tblLayout w:type="autofit"/>
        <w:tblCellMar>
          <w:top w:w="0" w:type="dxa"/>
          <w:left w:w="0" w:type="dxa"/>
          <w:bottom w:w="0" w:type="dxa"/>
          <w:right w:w="0" w:type="dxa"/>
        </w:tblCellMar>
      </w:tblPr>
      <w:tblGrid>
        <w:gridCol w:w="472"/>
        <w:gridCol w:w="2520"/>
        <w:gridCol w:w="1276"/>
        <w:gridCol w:w="1276"/>
        <w:gridCol w:w="1417"/>
        <w:gridCol w:w="1276"/>
      </w:tblGrid>
      <w:tr>
        <w:tblPrEx>
          <w:tblCellMar>
            <w:top w:w="0" w:type="dxa"/>
            <w:left w:w="0" w:type="dxa"/>
            <w:bottom w:w="0" w:type="dxa"/>
            <w:right w:w="0"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auto"/>
                <w:sz w:val="22"/>
              </w:rPr>
            </w:pPr>
            <w:r>
              <w:rPr>
                <w:rFonts w:hint="eastAsia" w:ascii="宋体" w:hAnsi="宋体" w:cs="宋体"/>
                <w:b/>
                <w:color w:val="auto"/>
                <w:kern w:val="0"/>
                <w:sz w:val="22"/>
                <w:lang w:bidi="ar"/>
              </w:rPr>
              <w:t>序号</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auto"/>
                <w:sz w:val="22"/>
              </w:rPr>
            </w:pPr>
            <w:r>
              <w:rPr>
                <w:rFonts w:hint="eastAsia" w:ascii="宋体" w:hAnsi="宋体" w:cs="宋体"/>
                <w:b/>
                <w:color w:val="auto"/>
                <w:kern w:val="0"/>
                <w:sz w:val="22"/>
                <w:lang w:bidi="ar"/>
              </w:rPr>
              <w:t>服务区域</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ascii="彩虹小标宋" w:hAnsi="宋体" w:eastAsia="彩虹小标宋" w:cs="宋体"/>
                <w:color w:val="auto"/>
                <w:kern w:val="0"/>
                <w:sz w:val="22"/>
              </w:rPr>
            </w:pPr>
            <w:r>
              <w:rPr>
                <w:rFonts w:hint="eastAsia" w:ascii="彩虹小标宋" w:hAnsi="宋体" w:eastAsia="彩虹小标宋" w:cs="宋体"/>
                <w:color w:val="auto"/>
                <w:kern w:val="0"/>
                <w:sz w:val="22"/>
              </w:rPr>
              <w:t>单价 （元/岗/月）</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ascii="彩虹小标宋" w:hAnsi="宋体" w:eastAsia="彩虹小标宋" w:cs="宋体"/>
                <w:color w:val="auto"/>
                <w:kern w:val="0"/>
                <w:sz w:val="22"/>
              </w:rPr>
            </w:pPr>
            <w:r>
              <w:rPr>
                <w:rFonts w:hint="eastAsia" w:ascii="彩虹小标宋" w:hAnsi="宋体" w:eastAsia="彩虹小标宋" w:cs="宋体"/>
                <w:color w:val="auto"/>
                <w:kern w:val="0"/>
                <w:sz w:val="22"/>
              </w:rPr>
              <w:t>岗位数量</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ascii="彩虹小标宋" w:hAnsi="宋体" w:eastAsia="彩虹小标宋" w:cs="宋体"/>
                <w:color w:val="auto"/>
                <w:kern w:val="0"/>
                <w:sz w:val="22"/>
              </w:rPr>
            </w:pPr>
            <w:r>
              <w:rPr>
                <w:rFonts w:hint="eastAsia" w:ascii="彩虹小标宋" w:hAnsi="宋体" w:eastAsia="彩虹小标宋" w:cs="宋体"/>
                <w:color w:val="auto"/>
                <w:kern w:val="0"/>
                <w:sz w:val="22"/>
                <w:lang w:eastAsia="zh-CN"/>
              </w:rPr>
              <w:t>每月</w:t>
            </w:r>
            <w:r>
              <w:rPr>
                <w:rFonts w:hint="eastAsia" w:ascii="彩虹小标宋" w:hAnsi="宋体" w:eastAsia="彩虹小标宋" w:cs="宋体"/>
                <w:color w:val="auto"/>
                <w:kern w:val="0"/>
                <w:sz w:val="22"/>
              </w:rPr>
              <w:t>金额</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ascii="彩虹小标宋" w:hAnsi="宋体" w:eastAsia="彩虹小标宋" w:cs="宋体"/>
                <w:color w:val="auto"/>
                <w:kern w:val="0"/>
                <w:sz w:val="22"/>
              </w:rPr>
            </w:pPr>
            <w:r>
              <w:rPr>
                <w:rFonts w:hint="eastAsia" w:ascii="彩虹小标宋" w:hAnsi="宋体" w:eastAsia="彩虹小标宋" w:cs="宋体"/>
                <w:color w:val="auto"/>
                <w:kern w:val="0"/>
                <w:sz w:val="22"/>
              </w:rPr>
              <w:t>年费用</w:t>
            </w:r>
          </w:p>
        </w:tc>
      </w:tr>
      <w:tr>
        <w:tblPrEx>
          <w:tblCellMar>
            <w:top w:w="0" w:type="dxa"/>
            <w:left w:w="0" w:type="dxa"/>
            <w:bottom w:w="0" w:type="dxa"/>
            <w:right w:w="0"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auto"/>
                <w:sz w:val="20"/>
                <w:szCs w:val="20"/>
              </w:rPr>
            </w:pPr>
            <w:r>
              <w:rPr>
                <w:rFonts w:hint="eastAsia" w:ascii="彩虹粗仿宋" w:hAnsi="彩虹粗仿宋" w:eastAsia="彩虹粗仿宋" w:cs="彩虹粗仿宋"/>
                <w:color w:val="auto"/>
                <w:kern w:val="0"/>
                <w:sz w:val="20"/>
                <w:szCs w:val="20"/>
                <w:lang w:bidi="ar"/>
              </w:rPr>
              <w:t>1</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auto"/>
                <w:sz w:val="20"/>
                <w:szCs w:val="20"/>
              </w:rPr>
            </w:pPr>
            <w:r>
              <w:rPr>
                <w:rFonts w:hint="eastAsia" w:ascii="彩虹粗仿宋" w:hAnsi="彩虹粗仿宋" w:eastAsia="彩虹粗仿宋" w:cs="彩虹粗仿宋"/>
                <w:color w:val="auto"/>
                <w:kern w:val="0"/>
                <w:sz w:val="20"/>
                <w:szCs w:val="20"/>
                <w:lang w:bidi="ar"/>
              </w:rPr>
              <w:t>分行中心金库</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2900</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sz w:val="20"/>
                <w:szCs w:val="20"/>
              </w:rPr>
              <w:t>7</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20300</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243600</w:t>
            </w:r>
          </w:p>
        </w:tc>
      </w:tr>
      <w:tr>
        <w:tblPrEx>
          <w:tblCellMar>
            <w:top w:w="0" w:type="dxa"/>
            <w:left w:w="0" w:type="dxa"/>
            <w:bottom w:w="0" w:type="dxa"/>
            <w:right w:w="0"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auto"/>
                <w:sz w:val="20"/>
                <w:szCs w:val="20"/>
              </w:rPr>
            </w:pPr>
            <w:r>
              <w:rPr>
                <w:rFonts w:hint="eastAsia" w:ascii="彩虹粗仿宋" w:hAnsi="彩虹粗仿宋" w:eastAsia="彩虹粗仿宋" w:cs="彩虹粗仿宋"/>
                <w:color w:val="auto"/>
                <w:kern w:val="0"/>
                <w:sz w:val="20"/>
                <w:szCs w:val="20"/>
                <w:lang w:bidi="ar"/>
              </w:rPr>
              <w:t>2</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auto"/>
                <w:sz w:val="20"/>
                <w:szCs w:val="20"/>
              </w:rPr>
            </w:pPr>
            <w:r>
              <w:rPr>
                <w:rFonts w:hint="eastAsia" w:ascii="彩虹粗仿宋" w:hAnsi="彩虹粗仿宋" w:eastAsia="彩虹粗仿宋" w:cs="彩虹粗仿宋"/>
                <w:color w:val="auto"/>
                <w:kern w:val="0"/>
                <w:sz w:val="20"/>
                <w:szCs w:val="20"/>
                <w:lang w:bidi="ar"/>
              </w:rPr>
              <w:t>灵宝支行金库</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sz w:val="20"/>
                <w:szCs w:val="20"/>
              </w:rPr>
              <w:t>2900</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20300</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243600</w:t>
            </w:r>
          </w:p>
        </w:tc>
      </w:tr>
      <w:tr>
        <w:tblPrEx>
          <w:tblCellMar>
            <w:top w:w="0" w:type="dxa"/>
            <w:left w:w="0" w:type="dxa"/>
            <w:bottom w:w="0" w:type="dxa"/>
            <w:right w:w="0" w:type="dxa"/>
          </w:tblCellMar>
        </w:tblPrEx>
        <w:trPr>
          <w:trHeight w:val="460" w:hRule="atLeast"/>
        </w:trPr>
        <w:tc>
          <w:tcPr>
            <w:tcW w:w="29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auto"/>
                <w:sz w:val="20"/>
                <w:szCs w:val="20"/>
              </w:rPr>
            </w:pPr>
            <w:r>
              <w:rPr>
                <w:rFonts w:hint="eastAsia" w:ascii="彩虹粗仿宋" w:hAnsi="彩虹粗仿宋" w:eastAsia="彩虹粗仿宋" w:cs="彩虹粗仿宋"/>
                <w:color w:val="auto"/>
                <w:kern w:val="0"/>
                <w:sz w:val="20"/>
                <w:szCs w:val="20"/>
                <w:lang w:bidi="ar"/>
              </w:rPr>
              <w:t>合计</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auto"/>
                <w:sz w:val="20"/>
                <w:szCs w:val="20"/>
              </w:rPr>
            </w:pPr>
            <w:r>
              <w:rPr>
                <w:rFonts w:hint="eastAsia" w:ascii="Arial" w:hAnsi="Arial" w:cs="Arial"/>
                <w:color w:val="auto"/>
                <w:kern w:val="0"/>
                <w:sz w:val="20"/>
                <w:szCs w:val="20"/>
                <w:lang w:bidi="ar"/>
              </w:rPr>
              <w:t>487200</w:t>
            </w:r>
          </w:p>
        </w:tc>
      </w:tr>
    </w:tbl>
    <w:p>
      <w:pPr>
        <w:spacing w:line="560" w:lineRule="exact"/>
        <w:ind w:firstLine="640" w:firstLineChars="200"/>
        <w:rPr>
          <w:rFonts w:ascii="彩虹黑体" w:hAnsi="彩虹黑体" w:eastAsia="彩虹黑体" w:cs="彩虹黑体"/>
          <w:color w:val="auto"/>
          <w:sz w:val="32"/>
          <w:szCs w:val="32"/>
        </w:rPr>
      </w:pPr>
      <w:r>
        <w:rPr>
          <w:rFonts w:hint="eastAsia" w:ascii="彩虹黑体" w:hAnsi="彩虹黑体" w:eastAsia="彩虹黑体" w:cs="彩虹黑体"/>
          <w:color w:val="auto"/>
          <w:sz w:val="32"/>
          <w:szCs w:val="32"/>
        </w:rPr>
        <w:t>九、其他要求</w:t>
      </w:r>
    </w:p>
    <w:p>
      <w:pPr>
        <w:adjustRightInd w:val="0"/>
        <w:snapToGrid w:val="0"/>
        <w:spacing w:line="560" w:lineRule="exact"/>
        <w:ind w:firstLine="633" w:firstLineChars="198"/>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协议期间,因网点增加或减少增加车辆，据实支付.</w:t>
      </w:r>
    </w:p>
    <w:p>
      <w:pPr>
        <w:widowControl/>
        <w:jc w:val="left"/>
        <w:rPr>
          <w:b/>
          <w:bCs/>
          <w:snapToGrid w:val="0"/>
          <w:color w:val="auto"/>
          <w:kern w:val="44"/>
          <w:sz w:val="44"/>
          <w:szCs w:val="44"/>
        </w:rPr>
      </w:pPr>
      <w:r>
        <w:rPr>
          <w:snapToGrid w:val="0"/>
          <w:color w:val="auto"/>
        </w:rPr>
        <w:br w:type="page"/>
      </w:r>
    </w:p>
    <w:p>
      <w:pPr>
        <w:pStyle w:val="2"/>
        <w:rPr>
          <w:snapToGrid w:val="0"/>
        </w:rPr>
      </w:pPr>
      <w:r>
        <w:rPr>
          <w:rFonts w:hint="eastAsia"/>
          <w:snapToGrid w:val="0"/>
        </w:rPr>
        <w:t>标段二：三门峡分行保安服务外包项目的采购需求</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sz w:val="32"/>
        </w:rPr>
        <w:t>。</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（三）财务状况良好，</w:t>
      </w:r>
      <w:r>
        <w:rPr>
          <w:rFonts w:hint="eastAsia" w:ascii="彩虹粗仿宋" w:eastAsia="彩虹粗仿宋"/>
          <w:sz w:val="32"/>
          <w:szCs w:val="32"/>
        </w:rPr>
        <w:t>提供近三年（</w:t>
      </w:r>
      <w:r>
        <w:rPr>
          <w:rFonts w:hint="eastAsia" w:ascii="彩虹粗仿宋" w:eastAsia="彩虹粗仿宋"/>
          <w:color w:val="auto"/>
          <w:sz w:val="32"/>
          <w:szCs w:val="32"/>
        </w:rPr>
        <w:t>202</w:t>
      </w:r>
      <w:r>
        <w:rPr>
          <w:rFonts w:hint="eastAsia" w:ascii="彩虹粗仿宋" w:eastAsia="彩虹粗仿宋"/>
          <w:color w:val="auto"/>
          <w:sz w:val="32"/>
          <w:szCs w:val="32"/>
          <w:lang w:val="en-US" w:eastAsia="zh-CN"/>
        </w:rPr>
        <w:t>0</w:t>
      </w:r>
      <w:r>
        <w:rPr>
          <w:rFonts w:hint="eastAsia" w:ascii="彩虹粗仿宋" w:eastAsia="彩虹粗仿宋"/>
          <w:color w:val="auto"/>
          <w:sz w:val="32"/>
          <w:szCs w:val="32"/>
        </w:rPr>
        <w:t>年-202</w:t>
      </w:r>
      <w:r>
        <w:rPr>
          <w:rFonts w:hint="eastAsia" w:ascii="彩虹粗仿宋" w:eastAsia="彩虹粗仿宋"/>
          <w:color w:val="auto"/>
          <w:sz w:val="32"/>
          <w:szCs w:val="32"/>
          <w:lang w:val="en-US" w:eastAsia="zh-CN"/>
        </w:rPr>
        <w:t>2</w:t>
      </w:r>
      <w:r>
        <w:rPr>
          <w:rFonts w:hint="eastAsia" w:ascii="彩虹粗仿宋" w:eastAsia="彩虹粗仿宋"/>
          <w:sz w:val="32"/>
          <w:szCs w:val="32"/>
        </w:rPr>
        <w:t>年）的经审计的财务报告或财务报表（新成立企业从成立日计算）</w:t>
      </w:r>
      <w:r>
        <w:rPr>
          <w:rFonts w:hint="eastAsia" w:ascii="彩虹粗仿宋" w:eastAsia="彩虹粗仿宋"/>
          <w:sz w:val="32"/>
        </w:rPr>
        <w:t>；</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（六）外商独资、中外合资、中外合作的保安公司不得参与（根据保安服务管理条例第二十二条规定）。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w:t>
            </w:r>
          </w:p>
        </w:tc>
        <w:tc>
          <w:tcPr>
            <w:tcW w:w="3240" w:type="dxa"/>
            <w:vAlign w:val="center"/>
          </w:tcPr>
          <w:p>
            <w:pPr>
              <w:adjustRightInd w:val="0"/>
              <w:snapToGrid w:val="0"/>
              <w:spacing w:line="560" w:lineRule="exac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保安服务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C210203</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营业办公楼保安执勤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C2103</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监控值守服务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C2107</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消防值守服务</w:t>
            </w:r>
          </w:p>
        </w:tc>
      </w:tr>
    </w:tbl>
    <w:p>
      <w:pPr>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kern w:val="0"/>
          <w:sz w:val="32"/>
          <w:szCs w:val="32"/>
        </w:rPr>
        <w:t>保安服务：本次保安服务内容是三门峡分行所辖7栋办公楼、24个营业网点、应急处置分队、</w:t>
      </w:r>
      <w:r>
        <w:rPr>
          <w:rFonts w:hint="eastAsia" w:ascii="彩虹粗仿宋" w:hAnsi="宋体" w:eastAsia="彩虹粗仿宋" w:cs="Times New Roman"/>
          <w:snapToGrid w:val="0"/>
          <w:color w:val="FF0000"/>
          <w:kern w:val="0"/>
          <w:sz w:val="32"/>
          <w:szCs w:val="32"/>
        </w:rPr>
        <w:t>1</w:t>
      </w:r>
      <w:r>
        <w:rPr>
          <w:rFonts w:hint="eastAsia" w:ascii="彩虹粗仿宋" w:hAnsi="宋体" w:eastAsia="彩虹粗仿宋" w:cs="Times New Roman"/>
          <w:snapToGrid w:val="0"/>
          <w:color w:val="auto"/>
          <w:kern w:val="0"/>
          <w:sz w:val="32"/>
          <w:szCs w:val="32"/>
        </w:rPr>
        <w:t>个监控中心、3个消防控制室共需配备127个保安岗位。</w:t>
      </w:r>
    </w:p>
    <w:p>
      <w:pPr>
        <w:spacing w:line="560" w:lineRule="exact"/>
        <w:ind w:firstLine="320" w:firstLineChars="100"/>
        <w:contextualSpacing/>
        <w:jc w:val="left"/>
        <w:rPr>
          <w:rFonts w:ascii="彩虹楷体" w:hAnsi="Courier New" w:eastAsia="彩虹楷体" w:cs="Courier New"/>
          <w:sz w:val="32"/>
          <w:szCs w:val="32"/>
        </w:rPr>
      </w:pPr>
      <w:r>
        <w:rPr>
          <w:rFonts w:hint="eastAsia" w:ascii="彩虹楷体" w:hAnsi="Courier New" w:eastAsia="彩虹楷体" w:cs="Courier New"/>
          <w:sz w:val="32"/>
          <w:szCs w:val="32"/>
        </w:rPr>
        <w:t>（二）服务具体内容</w:t>
      </w:r>
    </w:p>
    <w:p>
      <w:pPr>
        <w:spacing w:line="560" w:lineRule="exact"/>
        <w:ind w:firstLine="640" w:firstLineChars="200"/>
        <w:rPr>
          <w:rFonts w:ascii="彩虹粗仿宋" w:hAnsi="宋体" w:eastAsia="彩虹粗仿宋" w:cs="Times New Roman"/>
          <w:snapToGrid w:val="0"/>
          <w:sz w:val="32"/>
          <w:szCs w:val="32"/>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1.办公楼保安服务岗需完成对</w:t>
      </w:r>
      <w:r>
        <w:rPr>
          <w:rFonts w:hint="eastAsia" w:ascii="彩虹粗仿宋" w:hAnsi="宋体" w:eastAsia="彩虹粗仿宋" w:cs="Times New Roman"/>
          <w:snapToGrid w:val="0"/>
          <w:sz w:val="32"/>
          <w:szCs w:val="32"/>
        </w:rPr>
        <w:t>进出人员、车辆和物品进行检查；参与处置发生在的上访和闹访、治安案件和事件、盗抢和暴恐、人身安全和自然灾害等突发事件，维护正常办公秩序；组建义务消防队，处置办公楼范围内的初起火灾并配合消防部门开展火灾扑救和消防救援；配合安全生产工作牵头部门进行安全生产检查等相关工作。</w:t>
      </w:r>
    </w:p>
    <w:p>
      <w:pPr>
        <w:adjustRightInd w:val="0"/>
        <w:snapToGrid w:val="0"/>
        <w:spacing w:line="560" w:lineRule="exact"/>
        <w:ind w:firstLine="473" w:firstLineChars="148"/>
        <w:rPr>
          <w:rFonts w:ascii="彩虹粗仿宋" w:hAnsi="宋体" w:eastAsia="彩虹粗仿宋" w:cs="Times New Roman"/>
          <w:snapToGrid w:val="0"/>
          <w:sz w:val="32"/>
          <w:szCs w:val="32"/>
        </w:rPr>
      </w:pPr>
      <w:r>
        <w:rPr>
          <w:rFonts w:hint="eastAsia" w:ascii="彩虹粗仿宋" w:hAnsi="宋体" w:eastAsia="彩虹粗仿宋" w:cs="Times New Roman"/>
          <w:snapToGrid w:val="0"/>
          <w:sz w:val="32"/>
          <w:szCs w:val="32"/>
        </w:rPr>
        <w:t>2.营业网点保安</w:t>
      </w:r>
      <w:r>
        <w:rPr>
          <w:rFonts w:hint="eastAsia" w:ascii="彩虹粗仿宋" w:hAnsi="Times New Roman" w:eastAsia="彩虹粗仿宋" w:cs="Times New Roman"/>
          <w:sz w:val="32"/>
          <w:szCs w:val="32"/>
        </w:rPr>
        <w:t>服务岗</w:t>
      </w:r>
      <w:r>
        <w:rPr>
          <w:rFonts w:hint="eastAsia" w:ascii="彩虹粗仿宋" w:eastAsia="彩虹粗仿宋" w:cs="CHCFS"/>
          <w:kern w:val="0"/>
          <w:sz w:val="32"/>
          <w:szCs w:val="32"/>
        </w:rPr>
        <w:t>负责</w:t>
      </w:r>
      <w:r>
        <w:rPr>
          <w:rFonts w:hint="eastAsia" w:ascii="彩虹粗仿宋" w:hAnsi="Times New Roman" w:eastAsia="彩虹粗仿宋" w:cs="Times New Roman"/>
          <w:sz w:val="32"/>
          <w:szCs w:val="32"/>
        </w:rPr>
        <w:t>三门峡分（支）行</w:t>
      </w:r>
      <w:r>
        <w:rPr>
          <w:rFonts w:hint="eastAsia" w:ascii="Times New Roman" w:hAnsi="Calibri" w:eastAsia="彩虹粗仿宋" w:cs="宋体"/>
          <w:kern w:val="0"/>
          <w:sz w:val="32"/>
          <w:szCs w:val="32"/>
        </w:rPr>
        <w:t>的营业网点正常营业期间驻点值守，</w:t>
      </w:r>
      <w:r>
        <w:rPr>
          <w:rFonts w:hint="eastAsia" w:ascii="彩虹粗仿宋" w:hAnsi="宋体" w:eastAsia="彩虹粗仿宋" w:cs="Times New Roman"/>
          <w:snapToGrid w:val="0"/>
          <w:sz w:val="32"/>
          <w:szCs w:val="32"/>
        </w:rPr>
        <w:t>处置发生在营业网点范围内的人员非正常聚集和挤兑、治安案件和事件、盗抢和暴恐、人身安全和自然灾害以及消防火灾及安全生产事故等突发事件，维护营业网点的正常营业秩序；配合安全员进行营业网点日常安全检查和接送款的清场警戒等相关工作。</w:t>
      </w:r>
    </w:p>
    <w:p>
      <w:pPr>
        <w:adjustRightInd w:val="0"/>
        <w:snapToGrid w:val="0"/>
        <w:spacing w:line="560" w:lineRule="exact"/>
        <w:ind w:firstLine="473" w:firstLineChars="148"/>
        <w:rPr>
          <w:rFonts w:ascii="彩虹粗仿宋" w:hAnsi="宋体" w:eastAsia="彩虹粗仿宋" w:cs="Times New Roman"/>
          <w:kern w:val="0"/>
          <w:sz w:val="32"/>
          <w:szCs w:val="32"/>
        </w:rPr>
      </w:pPr>
      <w:r>
        <w:rPr>
          <w:rFonts w:hint="eastAsia" w:ascii="彩虹粗仿宋" w:eastAsia="彩虹粗仿宋"/>
          <w:color w:val="000000" w:themeColor="text1"/>
          <w:sz w:val="32"/>
          <w:szCs w:val="32"/>
          <w14:textFill>
            <w14:solidFill>
              <w14:schemeClr w14:val="tx1"/>
            </w14:solidFill>
          </w14:textFill>
        </w:rPr>
        <w:t>3.监控指挥中心值守保安负责</w:t>
      </w:r>
      <w:r>
        <w:rPr>
          <w:rFonts w:hint="eastAsia" w:ascii="彩虹粗仿宋" w:hAnsi="宋体" w:eastAsia="彩虹粗仿宋" w:cs="Times New Roman"/>
          <w:kern w:val="0"/>
          <w:sz w:val="32"/>
          <w:szCs w:val="32"/>
        </w:rPr>
        <w:t>严密注视平台监控区域的情况，对不同时段、不同重点部位采用实时监控、轮巡监控、抽检监控等三种不同的监控模式。（1）负责远程监控报警联网系统的值守工作，按照我行的相关规章制度、安全管理、操作规范等要求，对我行全市（含县区）的所有营业场所、自助设备、金库、运钞车、办公楼、设备间等重要单位（部位）实时全程监控，并对发现的有关情况和问题及时处理或报告。（2）负责对有关部门（内部）和外部单位对监控录像资料的查询和复制事项进行处理并进行登记存档。（3）负责对远程监控报警系统的设备进行巡检，发现问题及时处理或报告。（4）按照监控中心工作要求，完成每日值守工作，并做好值班交接。（5）我行安排的其它临时性工作。</w:t>
      </w:r>
    </w:p>
    <w:p>
      <w:pPr>
        <w:spacing w:line="560" w:lineRule="exact"/>
        <w:ind w:firstLine="320" w:firstLineChars="100"/>
        <w:contextualSpacing/>
        <w:jc w:val="left"/>
        <w:rPr>
          <w:rFonts w:ascii="彩虹粗仿宋" w:hAnsi="Courier New" w:eastAsia="彩虹粗仿宋" w:cs="Courier New"/>
          <w:sz w:val="32"/>
          <w:szCs w:val="32"/>
        </w:rPr>
      </w:pPr>
      <w:r>
        <w:rPr>
          <w:rFonts w:hint="eastAsia" w:ascii="彩虹粗仿宋" w:hAnsi="Courier New" w:eastAsia="彩虹粗仿宋" w:cs="Courier New"/>
          <w:sz w:val="32"/>
          <w:szCs w:val="32"/>
        </w:rPr>
        <w:t>4.消防控制室值班内容</w:t>
      </w:r>
    </w:p>
    <w:p>
      <w:pPr>
        <w:spacing w:line="560" w:lineRule="exact"/>
        <w:ind w:firstLine="640" w:firstLineChars="200"/>
        <w:rPr>
          <w:rFonts w:ascii="彩虹粗仿宋" w:hAnsi="仿宋_GB2312" w:eastAsia="彩虹粗仿宋" w:cs="Courier New"/>
          <w:kern w:val="0"/>
          <w:sz w:val="32"/>
          <w:szCs w:val="32"/>
        </w:rPr>
      </w:pPr>
      <w:r>
        <w:rPr>
          <w:rFonts w:hint="eastAsia" w:ascii="彩虹粗仿宋" w:hAnsi="Courier New" w:eastAsia="彩虹粗仿宋" w:cs="彩虹粗仿宋"/>
          <w:snapToGrid w:val="0"/>
          <w:kern w:val="0"/>
          <w:sz w:val="32"/>
          <w:szCs w:val="32"/>
        </w:rPr>
        <w:t>消防控制室，</w:t>
      </w:r>
      <w:r>
        <w:rPr>
          <w:rFonts w:hint="eastAsia" w:ascii="彩虹粗仿宋" w:hAnsi="仿宋_GB2312" w:eastAsia="彩虹粗仿宋" w:cs="Courier New"/>
          <w:kern w:val="0"/>
          <w:sz w:val="32"/>
          <w:szCs w:val="32"/>
        </w:rPr>
        <w:t>实行24小时值守。值守每班不少于2人，负责</w:t>
      </w:r>
      <w:r>
        <w:rPr>
          <w:rFonts w:hint="eastAsia" w:ascii="彩虹粗仿宋" w:hAnsi="宋体" w:eastAsia="彩虹粗仿宋"/>
          <w:snapToGrid w:val="0"/>
          <w:kern w:val="0"/>
          <w:sz w:val="30"/>
          <w:szCs w:val="30"/>
        </w:rPr>
        <w:t>分行本部消防控制室内对办公大楼及支行办公楼消防系统实施24小时不间断守护值班及办公大楼消防设施的检查、巡查。</w:t>
      </w:r>
      <w:r>
        <w:rPr>
          <w:rFonts w:hint="eastAsia" w:ascii="彩虹粗仿宋" w:hAnsi="仿宋_GB2312" w:eastAsia="彩虹粗仿宋" w:cs="Courier New"/>
          <w:kern w:val="0"/>
          <w:sz w:val="32"/>
          <w:szCs w:val="32"/>
        </w:rPr>
        <w:t>遇有消防报警，迅速查明情况，确有火情，及时上报，并按应急处置预案进行处置，准确启动相关的消防设备实施灭火，熟练操作以下系统：</w:t>
      </w:r>
    </w:p>
    <w:p>
      <w:pPr>
        <w:spacing w:line="560" w:lineRule="exact"/>
        <w:ind w:firstLine="640" w:firstLineChars="200"/>
        <w:rPr>
          <w:rFonts w:ascii="彩虹粗仿宋" w:hAnsi="仿宋_GB2312" w:eastAsia="彩虹粗仿宋" w:cs="Courier New"/>
          <w:kern w:val="0"/>
          <w:sz w:val="32"/>
          <w:szCs w:val="32"/>
        </w:rPr>
      </w:pPr>
      <w:r>
        <w:rPr>
          <w:rFonts w:hint="eastAsia" w:ascii="彩虹粗仿宋" w:hAnsi="仿宋_GB2312" w:eastAsia="彩虹粗仿宋" w:cs="Courier New"/>
          <w:kern w:val="0"/>
          <w:sz w:val="32"/>
          <w:szCs w:val="32"/>
        </w:rPr>
        <w:t>（1）火灾自动报警及消防联动控制系统；</w:t>
      </w:r>
    </w:p>
    <w:p>
      <w:pPr>
        <w:spacing w:line="560" w:lineRule="exact"/>
        <w:ind w:firstLine="640" w:firstLineChars="200"/>
        <w:rPr>
          <w:rFonts w:ascii="彩虹粗仿宋" w:hAnsi="仿宋_GB2312" w:eastAsia="彩虹粗仿宋" w:cs="Courier New"/>
          <w:kern w:val="0"/>
          <w:sz w:val="32"/>
          <w:szCs w:val="32"/>
        </w:rPr>
      </w:pPr>
      <w:r>
        <w:rPr>
          <w:rFonts w:hint="eastAsia" w:ascii="彩虹粗仿宋" w:hAnsi="仿宋_GB2312" w:eastAsia="彩虹粗仿宋" w:cs="Courier New"/>
          <w:kern w:val="0"/>
          <w:sz w:val="32"/>
          <w:szCs w:val="32"/>
        </w:rPr>
        <w:t>（2）消火栓系统；</w:t>
      </w:r>
    </w:p>
    <w:p>
      <w:pPr>
        <w:spacing w:line="560" w:lineRule="exact"/>
        <w:ind w:firstLine="640" w:firstLineChars="200"/>
        <w:rPr>
          <w:rFonts w:ascii="彩虹粗仿宋" w:hAnsi="仿宋_GB2312" w:eastAsia="彩虹粗仿宋" w:cs="Courier New"/>
          <w:kern w:val="0"/>
          <w:sz w:val="32"/>
          <w:szCs w:val="32"/>
        </w:rPr>
      </w:pPr>
      <w:r>
        <w:rPr>
          <w:rFonts w:hint="eastAsia" w:ascii="彩虹粗仿宋" w:hAnsi="仿宋_GB2312" w:eastAsia="彩虹粗仿宋" w:cs="Courier New"/>
          <w:kern w:val="0"/>
          <w:sz w:val="32"/>
          <w:szCs w:val="32"/>
        </w:rPr>
        <w:t>（3）应急照明与疏散指示系统；</w:t>
      </w:r>
    </w:p>
    <w:p>
      <w:pPr>
        <w:spacing w:line="560" w:lineRule="exact"/>
        <w:ind w:firstLine="640" w:firstLineChars="200"/>
        <w:rPr>
          <w:rFonts w:ascii="彩虹粗仿宋" w:hAnsi="仿宋_GB2312" w:eastAsia="彩虹粗仿宋" w:cs="Courier New"/>
          <w:kern w:val="0"/>
          <w:sz w:val="32"/>
          <w:szCs w:val="32"/>
        </w:rPr>
      </w:pPr>
      <w:r>
        <w:rPr>
          <w:rFonts w:hint="eastAsia" w:ascii="彩虹粗仿宋" w:hAnsi="仿宋_GB2312" w:eastAsia="彩虹粗仿宋" w:cs="Courier New"/>
          <w:kern w:val="0"/>
          <w:sz w:val="32"/>
          <w:szCs w:val="32"/>
        </w:rPr>
        <w:t>（4）自动喷水灭火系统；</w:t>
      </w:r>
    </w:p>
    <w:p>
      <w:pPr>
        <w:spacing w:line="560" w:lineRule="exact"/>
        <w:ind w:firstLine="640" w:firstLineChars="200"/>
        <w:rPr>
          <w:rFonts w:ascii="彩虹粗仿宋" w:hAnsi="仿宋_GB2312" w:eastAsia="彩虹粗仿宋" w:cs="Courier New"/>
          <w:kern w:val="0"/>
          <w:sz w:val="32"/>
          <w:szCs w:val="32"/>
        </w:rPr>
      </w:pPr>
      <w:r>
        <w:rPr>
          <w:rFonts w:hint="eastAsia" w:ascii="彩虹粗仿宋" w:hAnsi="仿宋_GB2312" w:eastAsia="彩虹粗仿宋" w:cs="Courier New"/>
          <w:kern w:val="0"/>
          <w:sz w:val="32"/>
          <w:szCs w:val="32"/>
        </w:rPr>
        <w:t>（5）排烟系统；</w:t>
      </w:r>
    </w:p>
    <w:p>
      <w:pPr>
        <w:spacing w:line="560" w:lineRule="exact"/>
        <w:ind w:firstLine="640" w:firstLineChars="200"/>
        <w:rPr>
          <w:rFonts w:ascii="彩虹粗仿宋" w:hAnsi="仿宋_GB2312" w:eastAsia="彩虹粗仿宋" w:cs="Courier New"/>
          <w:kern w:val="0"/>
          <w:sz w:val="32"/>
          <w:szCs w:val="32"/>
        </w:rPr>
      </w:pPr>
      <w:r>
        <w:rPr>
          <w:rFonts w:hint="eastAsia" w:ascii="彩虹粗仿宋" w:hAnsi="仿宋_GB2312" w:eastAsia="彩虹粗仿宋" w:cs="Courier New"/>
          <w:kern w:val="0"/>
          <w:sz w:val="32"/>
          <w:szCs w:val="32"/>
        </w:rPr>
        <w:t>（6）消防用水泵、水池、水箱及配电设备。</w:t>
      </w:r>
    </w:p>
    <w:p>
      <w:pPr>
        <w:ind w:firstLine="640" w:firstLineChars="200"/>
        <w:rPr>
          <w:rFonts w:ascii="彩虹粗仿宋" w:hAnsi="宋体" w:eastAsia="彩虹粗仿宋" w:cs="Courier New"/>
          <w:kern w:val="0"/>
          <w:sz w:val="32"/>
          <w:szCs w:val="32"/>
        </w:rPr>
      </w:pPr>
      <w:r>
        <w:rPr>
          <w:rFonts w:hint="eastAsia" w:ascii="彩虹粗仿宋" w:hAnsi="宋体" w:eastAsia="彩虹粗仿宋" w:cs="Courier New"/>
          <w:kern w:val="0"/>
          <w:sz w:val="32"/>
          <w:szCs w:val="32"/>
        </w:rPr>
        <w:t>（7）按要求做好其相关工作。</w:t>
      </w:r>
    </w:p>
    <w:p>
      <w:pPr>
        <w:adjustRightInd w:val="0"/>
        <w:snapToGrid w:val="0"/>
        <w:spacing w:line="560" w:lineRule="exact"/>
        <w:ind w:firstLine="800" w:firstLineChars="25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spacing w:line="560" w:lineRule="exact"/>
        <w:ind w:firstLine="800" w:firstLineChars="250"/>
        <w:rPr>
          <w:rFonts w:ascii="彩虹粗仿宋" w:hAnsi="黑体" w:eastAsia="彩虹粗仿宋"/>
          <w:color w:val="000000" w:themeColor="text1"/>
          <w:sz w:val="32"/>
          <w:szCs w:val="32"/>
          <w14:textFill>
            <w14:solidFill>
              <w14:schemeClr w14:val="tx1"/>
            </w14:solidFill>
          </w14:textFill>
        </w:rPr>
      </w:pPr>
      <w:r>
        <w:rPr>
          <w:rFonts w:hint="eastAsia" w:ascii="彩虹粗仿宋" w:hAnsi="宋体" w:eastAsia="彩虹粗仿宋"/>
          <w:snapToGrid w:val="0"/>
          <w:sz w:val="32"/>
          <w:szCs w:val="32"/>
        </w:rPr>
        <w:t>1.</w:t>
      </w:r>
      <w:r>
        <w:rPr>
          <w:rFonts w:hint="eastAsia" w:ascii="彩虹粗仿宋" w:hAnsi="黑体" w:eastAsia="彩虹粗仿宋"/>
          <w:color w:val="000000" w:themeColor="text1"/>
          <w:sz w:val="32"/>
          <w:szCs w:val="32"/>
          <w14:textFill>
            <w14:solidFill>
              <w14:schemeClr w14:val="tx1"/>
            </w14:solidFill>
          </w14:textFill>
        </w:rPr>
        <w:t>监控中心值守：监控中心设置值守岗位不少于4个，人员需高中以上学历，能熟练操作电脑，年龄不超过50周岁，身体健康。</w:t>
      </w:r>
    </w:p>
    <w:p>
      <w:pPr>
        <w:adjustRightInd w:val="0"/>
        <w:snapToGrid w:val="0"/>
        <w:spacing w:line="580" w:lineRule="atLeast"/>
        <w:ind w:firstLine="640" w:firstLineChars="200"/>
        <w:rPr>
          <w:rFonts w:ascii="彩虹粗仿宋" w:hAnsi="黑体" w:eastAsia="彩虹粗仿宋"/>
          <w:sz w:val="32"/>
          <w:szCs w:val="32"/>
        </w:rPr>
      </w:pPr>
      <w:r>
        <w:rPr>
          <w:rFonts w:hint="eastAsia" w:ascii="彩虹粗仿宋" w:hAnsi="黑体" w:eastAsia="彩虹粗仿宋"/>
          <w:color w:val="000000" w:themeColor="text1"/>
          <w:sz w:val="32"/>
          <w:szCs w:val="32"/>
          <w14:textFill>
            <w14:solidFill>
              <w14:schemeClr w14:val="tx1"/>
            </w14:solidFill>
          </w14:textFill>
        </w:rPr>
        <w:t>2.消防控制室值守：消防控制室设置值守岗位不少于6个岗位,</w:t>
      </w:r>
      <w:r>
        <w:rPr>
          <w:rFonts w:hint="eastAsia" w:ascii="彩虹粗仿宋" w:hAnsi="宋体" w:eastAsia="彩虹粗仿宋"/>
          <w:snapToGrid w:val="0"/>
          <w:kern w:val="0"/>
          <w:sz w:val="32"/>
          <w:szCs w:val="32"/>
        </w:rPr>
        <w:t>消防控室值班员续通过消防行业特有工种职业技术鉴定，持有消防设施操作员中级证书</w:t>
      </w:r>
      <w:r>
        <w:rPr>
          <w:rFonts w:hint="eastAsia" w:ascii="彩虹粗仿宋" w:hAnsi="黑体" w:eastAsia="彩虹粗仿宋"/>
          <w:sz w:val="32"/>
          <w:szCs w:val="32"/>
        </w:rPr>
        <w:t>。</w:t>
      </w:r>
    </w:p>
    <w:p>
      <w:pPr>
        <w:adjustRightInd w:val="0"/>
        <w:snapToGrid w:val="0"/>
        <w:spacing w:line="580" w:lineRule="atLeast"/>
        <w:ind w:firstLine="640" w:firstLineChars="200"/>
        <w:rPr>
          <w:rFonts w:ascii="彩虹粗仿宋" w:hAnsi="黑体" w:eastAsia="彩虹粗仿宋"/>
          <w:sz w:val="32"/>
          <w:szCs w:val="32"/>
        </w:rPr>
      </w:pPr>
      <w:r>
        <w:rPr>
          <w:rFonts w:hint="eastAsia" w:ascii="彩虹粗仿宋" w:hAnsi="黑体" w:eastAsia="彩虹粗仿宋"/>
          <w:sz w:val="32"/>
          <w:szCs w:val="32"/>
        </w:rPr>
        <w:t>3.服务团队至少设置1名负责人与我行进行对接，负责团队管理和业务培训，负责人应能具有2年以上管理经验。</w:t>
      </w:r>
    </w:p>
    <w:p>
      <w:pPr>
        <w:adjustRightInd w:val="0"/>
        <w:snapToGrid w:val="0"/>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4.</w:t>
      </w:r>
      <w:r>
        <w:rPr>
          <w:rFonts w:hint="eastAsia" w:ascii="彩虹粗仿宋" w:hAnsi="宋体" w:eastAsia="彩虹粗仿宋" w:cs="Times New Roman"/>
          <w:snapToGrid w:val="0"/>
          <w:kern w:val="0"/>
          <w:sz w:val="32"/>
          <w:szCs w:val="32"/>
        </w:rPr>
        <w:t xml:space="preserve"> 营业办公楼保安</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所派人员须按国家规定持保安员证上岗，必须认真执行国家有关规定及要求。如由于所派人员违反规定，造成财产损失和人员伤亡的，供应商负全部责任。</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四、服务质量要求</w:t>
      </w:r>
    </w:p>
    <w:p>
      <w:pPr>
        <w:spacing w:line="560" w:lineRule="exact"/>
        <w:ind w:firstLine="643" w:firstLineChars="200"/>
        <w:rPr>
          <w:rFonts w:ascii="彩虹楷体" w:hAnsi="宋体" w:eastAsia="彩虹楷体" w:cs="Times New Roman"/>
          <w:b/>
          <w:snapToGrid w:val="0"/>
          <w:color w:val="000000" w:themeColor="text1"/>
          <w:kern w:val="0"/>
          <w:sz w:val="32"/>
          <w:szCs w:val="32"/>
          <w14:textFill>
            <w14:solidFill>
              <w14:schemeClr w14:val="tx1"/>
            </w14:solidFill>
          </w14:textFill>
        </w:rPr>
      </w:pPr>
      <w:r>
        <w:rPr>
          <w:rFonts w:hint="eastAsia" w:ascii="彩虹楷体" w:hAnsi="宋体" w:eastAsia="彩虹楷体" w:cs="Times New Roman"/>
          <w:b/>
          <w:snapToGrid w:val="0"/>
          <w:color w:val="000000" w:themeColor="text1"/>
          <w:kern w:val="0"/>
          <w:sz w:val="32"/>
          <w:szCs w:val="32"/>
          <w14:textFill>
            <w14:solidFill>
              <w14:schemeClr w14:val="tx1"/>
            </w14:solidFill>
          </w14:textFill>
        </w:rPr>
        <w:t>（一）服务质量要求：</w:t>
      </w:r>
    </w:p>
    <w:p>
      <w:pPr>
        <w:tabs>
          <w:tab w:val="left" w:pos="720"/>
        </w:tabs>
        <w:adjustRightInd w:val="0"/>
        <w:snapToGrid w:val="0"/>
        <w:spacing w:line="560" w:lineRule="atLeas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2.严格按照我行的服务需求，配备和提供外包人员。不得泄漏任何我行的业务信息。</w:t>
      </w:r>
    </w:p>
    <w:p>
      <w:pPr>
        <w:tabs>
          <w:tab w:val="left" w:pos="720"/>
        </w:tabs>
        <w:adjustRightInd w:val="0"/>
        <w:snapToGrid w:val="0"/>
        <w:spacing w:line="560" w:lineRule="atLeas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cs="Times New Roman"/>
          <w:sz w:val="32"/>
          <w:szCs w:val="32"/>
        </w:rPr>
      </w:pPr>
      <w:r>
        <w:rPr>
          <w:rFonts w:hint="eastAsia" w:ascii="彩虹粗仿宋" w:hAnsi="Times New Roman" w:eastAsia="彩虹粗仿宋" w:cs="Times New Roman"/>
          <w:sz w:val="32"/>
          <w:szCs w:val="32"/>
        </w:rPr>
        <w:t>5.供应商应对派驻我行的人员进行业务知识培训，并达到国家承认的上岗资格，做到持证上岗。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cs="Times New Roman"/>
          <w:sz w:val="32"/>
          <w:szCs w:val="32"/>
        </w:rPr>
        <w:t>定期进行应急预案演练。</w:t>
      </w:r>
    </w:p>
    <w:p>
      <w:pPr>
        <w:tabs>
          <w:tab w:val="left" w:pos="720"/>
        </w:tabs>
        <w:adjustRightInd w:val="0"/>
        <w:snapToGrid w:val="0"/>
        <w:spacing w:line="560" w:lineRule="atLeas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27" w:firstLineChars="196"/>
        <w:rPr>
          <w:rFonts w:ascii="彩虹粗仿宋" w:hAnsi="华文楷体" w:eastAsia="彩虹粗仿宋"/>
          <w:sz w:val="32"/>
          <w:szCs w:val="32"/>
        </w:rPr>
      </w:pPr>
      <w:r>
        <w:rPr>
          <w:rFonts w:hint="eastAsia" w:ascii="彩虹粗仿宋" w:hAnsi="Times New Roman" w:eastAsia="彩虹粗仿宋" w:cs="Times New Roman"/>
          <w:sz w:val="32"/>
          <w:szCs w:val="32"/>
        </w:rPr>
        <w:t>7.</w:t>
      </w:r>
      <w:r>
        <w:rPr>
          <w:rFonts w:hint="eastAsia" w:ascii="彩虹粗仿宋" w:hAnsi="华文楷体" w:eastAsia="彩虹粗仿宋"/>
          <w:sz w:val="32"/>
          <w:szCs w:val="32"/>
        </w:rPr>
        <w:t xml:space="preserve"> 供应商履行的职责</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320" w:firstLineChars="1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8. 职业道德要求</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（1）恪守职业道德，自觉维护我行利益。</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320" w:firstLineChars="1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9. 仪容仪表要求</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（2）男性不得蓄长发、留胡须、佩戴项链。</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320" w:firstLineChars="1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（4）供应商制定自身的员工礼仪规范，应要求外包服务人员严格执行。</w:t>
      </w:r>
    </w:p>
    <w:p>
      <w:pPr>
        <w:spacing w:line="600" w:lineRule="exact"/>
        <w:ind w:firstLine="643" w:firstLineChars="200"/>
        <w:jc w:val="left"/>
        <w:rPr>
          <w:rFonts w:ascii="彩虹楷体" w:hAnsi="宋体" w:eastAsia="彩虹楷体" w:cs="Times New Roman"/>
          <w:b/>
          <w:color w:val="000000"/>
          <w:kern w:val="0"/>
          <w:sz w:val="32"/>
          <w:szCs w:val="32"/>
        </w:rPr>
      </w:pPr>
      <w:r>
        <w:rPr>
          <w:rFonts w:hint="eastAsia" w:ascii="彩虹楷体" w:hAnsi="Times New Roman" w:eastAsia="彩虹楷体" w:cs="Times New Roman"/>
          <w:b/>
          <w:sz w:val="32"/>
          <w:szCs w:val="32"/>
        </w:rPr>
        <w:t>（二）</w:t>
      </w:r>
      <w:r>
        <w:rPr>
          <w:rFonts w:hint="eastAsia" w:ascii="彩虹楷体" w:hAnsi="宋体" w:eastAsia="彩虹楷体" w:cs="Times New Roman"/>
          <w:b/>
          <w:color w:val="000000"/>
          <w:kern w:val="0"/>
          <w:sz w:val="32"/>
          <w:szCs w:val="32"/>
        </w:rPr>
        <w:t>风险控制和应急措施</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为保证我行权益和商业机密，需采取以下风险控制和应急措施。</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 风险控制措施：禁止供应商以我行名义进行用工管理或开展生产经营活动，外包服务人员必须与公司依法订立了劳动合同，防范外包业务用工风险。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a.我行负责外包人员的业务培训和规范操作，指导、监督保安服务人员按章办事，在安保服务过程中协助做好办公、营业场所经营秩序的同时，维护员工、客户的人身和财产安全，不得从事岗位职责以外的工作。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b.监督管理实行“对事不对人”，明确人员招聘、管理、考核、薪酬发放等均由供应商负责，我行负责监督检查服务质量和应急处置。</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c.供应商通过工作合同、规章对外包服务人员的行为做出约束，与服务人员签订《保密协议》，防范客户信息泄露的风险，严格防范操作风险、声誉风险及其它风险。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 应急措施</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（1）日常应急管理</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b.因供应商原因造成我行经济损失的，应按照相关法律法规、合同约定进行赔偿。造成我行声誉损失的，应积极配合我行采取措施消除影响、恢复声誉。涉嫌违法犯罪的，应及时向公安机关报案。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c.在处理事（案）件过程中要时刻向我行报告进展情况，待风险解除后，形成书面报告报送我行，我行综合评估后确定是否继续开展外包事项。</w:t>
      </w:r>
    </w:p>
    <w:p>
      <w:pPr>
        <w:spacing w:line="600" w:lineRule="exact"/>
        <w:ind w:firstLine="643" w:firstLineChars="200"/>
        <w:jc w:val="left"/>
        <w:rPr>
          <w:rFonts w:ascii="彩虹楷体" w:hAnsi="Times New Roman" w:eastAsia="彩虹楷体" w:cs="Times New Roman"/>
          <w:b/>
          <w:sz w:val="32"/>
          <w:szCs w:val="32"/>
        </w:rPr>
      </w:pPr>
      <w:r>
        <w:rPr>
          <w:rFonts w:hint="eastAsia" w:ascii="彩虹楷体" w:hAnsi="Times New Roman" w:eastAsia="彩虹楷体" w:cs="Times New Roman"/>
          <w:b/>
          <w:sz w:val="32"/>
          <w:szCs w:val="32"/>
        </w:rPr>
        <w:t>（三）违约责任</w:t>
      </w:r>
    </w:p>
    <w:p>
      <w:pPr>
        <w:spacing w:line="600" w:lineRule="exact"/>
        <w:ind w:firstLine="640" w:firstLineChars="200"/>
        <w:jc w:val="left"/>
        <w:rPr>
          <w:rFonts w:ascii="彩虹粗仿宋" w:hAnsi="宋体" w:eastAsia="彩虹粗仿宋" w:cs="Times New Roman"/>
          <w:sz w:val="32"/>
          <w:szCs w:val="32"/>
        </w:rPr>
      </w:pPr>
      <w:r>
        <w:rPr>
          <w:rFonts w:hint="eastAsia" w:ascii="彩虹粗仿宋" w:hAnsi="Times New Roman" w:eastAsia="彩虹粗仿宋" w:cs="Times New Roman"/>
          <w:sz w:val="32"/>
          <w:szCs w:val="32"/>
        </w:rPr>
        <w:t>（1）若由于供应商原因导致发生安全事故或安全隐患，使我行蒙受损失的，由供应商承担损失赔偿责任，每次事故或事件的赔偿金额不低于人民币伍万元整（￥50，000.00）。</w:t>
      </w:r>
      <w:r>
        <w:rPr>
          <w:rFonts w:hint="eastAsia" w:ascii="彩虹粗仿宋" w:hAnsi="宋体" w:eastAsia="彩虹粗仿宋" w:cs="Times New Roman"/>
          <w:sz w:val="32"/>
          <w:szCs w:val="32"/>
        </w:rPr>
        <w:t>供应商应当支付违约金或赔偿金的，应当在接到索赔通知后10日之内支付，或从未支付款项中抵扣相应数额的款项。</w:t>
      </w:r>
    </w:p>
    <w:p>
      <w:pPr>
        <w:spacing w:line="600" w:lineRule="exact"/>
        <w:ind w:firstLine="640" w:firstLineChars="200"/>
        <w:jc w:val="left"/>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（2）凡违反保密约定的，应承担违约责任，赔偿对方违约金人民币</w:t>
      </w:r>
      <w:bookmarkStart w:id="1" w:name="OLE_LINK1"/>
      <w:bookmarkStart w:id="2" w:name="OLE_LINK2"/>
      <w:r>
        <w:rPr>
          <w:rFonts w:hint="eastAsia" w:ascii="彩虹粗仿宋" w:hAnsi="Times New Roman" w:eastAsia="彩虹粗仿宋" w:cs="Times New Roman"/>
          <w:sz w:val="32"/>
          <w:szCs w:val="32"/>
        </w:rPr>
        <w:t>伍仟元整（￥5，000.00）</w:t>
      </w:r>
      <w:bookmarkEnd w:id="1"/>
      <w:bookmarkEnd w:id="2"/>
      <w:r>
        <w:rPr>
          <w:rFonts w:hint="eastAsia" w:ascii="彩虹粗仿宋" w:hAnsi="Times New Roman" w:eastAsia="彩虹粗仿宋" w:cs="Times New Roman"/>
          <w:sz w:val="32"/>
          <w:szCs w:val="32"/>
        </w:rPr>
        <w:t>。若违约金不足以弥补对方损失的，违约方还需承担由此引发的一切后果及对方的全部损失。</w:t>
      </w:r>
    </w:p>
    <w:p>
      <w:pPr>
        <w:spacing w:line="600" w:lineRule="exact"/>
        <w:ind w:firstLine="640" w:firstLineChars="200"/>
        <w:jc w:val="left"/>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（3）若供应商不能提供符合我行业务需要的安保服务，我行有权终止合作，且无需向供应商继续支付剩余款项。</w:t>
      </w:r>
    </w:p>
    <w:p>
      <w:pPr>
        <w:spacing w:line="600" w:lineRule="exact"/>
        <w:ind w:firstLine="643" w:firstLineChars="200"/>
        <w:jc w:val="left"/>
        <w:rPr>
          <w:rFonts w:ascii="彩虹楷体" w:hAnsi="Times New Roman" w:eastAsia="彩虹楷体" w:cs="Times New Roman"/>
          <w:b/>
          <w:sz w:val="32"/>
          <w:szCs w:val="32"/>
        </w:rPr>
      </w:pPr>
      <w:r>
        <w:rPr>
          <w:rFonts w:hint="eastAsia" w:ascii="彩虹楷体" w:hAnsi="Times New Roman" w:eastAsia="彩虹楷体" w:cs="Times New Roman"/>
          <w:b/>
          <w:sz w:val="32"/>
          <w:szCs w:val="32"/>
        </w:rPr>
        <w:t>（四）验收方法</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黑体" w:eastAsia="彩虹粗仿宋" w:cs="Times New Roman"/>
          <w:sz w:val="32"/>
          <w:szCs w:val="32"/>
        </w:rPr>
        <w:t>1.三门峡分行安全保卫部每月组织开展服务测评，并根据《保安服务测评表》出具测评结果，</w:t>
      </w:r>
      <w:r>
        <w:rPr>
          <w:rFonts w:hint="eastAsia" w:ascii="彩虹粗仿宋" w:hAnsi="宋体" w:eastAsia="彩虹粗仿宋" w:cs="Times New Roman"/>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cs="Times New Roman"/>
          <w:kern w:val="0"/>
          <w:sz w:val="32"/>
          <w:szCs w:val="32"/>
        </w:rPr>
        <w:t>。合格档次支付全额服务费用，基本合格、不合格档次所有岗位均分别调减50元、100元服务费用支付，并进行约谈，连续三次不合格甲方有权终止合同。</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黑体" w:eastAsia="彩虹粗仿宋" w:cs="Times New Roman"/>
          <w:sz w:val="32"/>
          <w:szCs w:val="32"/>
        </w:rPr>
        <w:t>2.</w:t>
      </w:r>
      <w:r>
        <w:rPr>
          <w:rFonts w:hint="eastAsia" w:ascii="彩虹粗仿宋" w:eastAsia="彩虹粗仿宋"/>
          <w:color w:val="000000" w:themeColor="text1"/>
          <w:sz w:val="32"/>
          <w:szCs w:val="32"/>
          <w14:textFill>
            <w14:solidFill>
              <w14:schemeClr w14:val="tx1"/>
            </w14:solidFill>
          </w14:textFill>
        </w:rPr>
        <w:t>监控指挥中心值守</w:t>
      </w:r>
      <w:r>
        <w:rPr>
          <w:rFonts w:hint="eastAsia" w:ascii="彩虹粗仿宋" w:hAnsi="黑体" w:eastAsia="彩虹粗仿宋" w:cs="Times New Roman"/>
          <w:sz w:val="32"/>
          <w:szCs w:val="32"/>
        </w:rPr>
        <w:t>服务验收标准：</w:t>
      </w:r>
      <w:r>
        <w:rPr>
          <w:rFonts w:hint="eastAsia" w:ascii="彩虹粗仿宋" w:hAnsi="Times New Roman" w:eastAsia="彩虹粗仿宋" w:cs="Times New Roman"/>
          <w:kern w:val="0"/>
          <w:sz w:val="32"/>
          <w:szCs w:val="32"/>
        </w:rPr>
        <w:t>每月依据</w:t>
      </w:r>
      <w:r>
        <w:rPr>
          <w:rFonts w:hint="eastAsia" w:ascii="彩虹粗仿宋" w:hAnsi="黑体" w:eastAsia="彩虹粗仿宋" w:cs="Times New Roman"/>
          <w:kern w:val="0"/>
          <w:sz w:val="32"/>
          <w:szCs w:val="32"/>
        </w:rPr>
        <w:t>《</w:t>
      </w:r>
      <w:r>
        <w:rPr>
          <w:rFonts w:hint="eastAsia" w:ascii="彩虹粗仿宋" w:hAnsi="Times New Roman" w:eastAsia="彩虹粗仿宋" w:cs="Times New Roman"/>
          <w:kern w:val="0"/>
          <w:sz w:val="32"/>
          <w:szCs w:val="32"/>
        </w:rPr>
        <w:t>*月监控中心值守服务测评表</w:t>
      </w:r>
      <w:r>
        <w:rPr>
          <w:rFonts w:hint="eastAsia" w:ascii="彩虹粗仿宋" w:hAnsi="黑体" w:eastAsia="彩虹粗仿宋" w:cs="Times New Roman"/>
          <w:kern w:val="0"/>
          <w:sz w:val="32"/>
          <w:szCs w:val="32"/>
        </w:rPr>
        <w:t>》</w:t>
      </w:r>
      <w:r>
        <w:rPr>
          <w:rFonts w:hint="eastAsia" w:ascii="彩虹粗仿宋" w:hAnsi="Times New Roman" w:eastAsia="彩虹粗仿宋" w:cs="Times New Roman"/>
          <w:kern w:val="0"/>
          <w:sz w:val="32"/>
          <w:szCs w:val="32"/>
        </w:rPr>
        <w:t>的打分情况，</w:t>
      </w:r>
      <w:r>
        <w:rPr>
          <w:rFonts w:hint="eastAsia" w:ascii="彩虹粗仿宋" w:hAnsi="宋体" w:eastAsia="彩虹粗仿宋" w:cs="Times New Roman"/>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cs="Times New Roman"/>
          <w:kern w:val="0"/>
          <w:sz w:val="32"/>
          <w:szCs w:val="32"/>
        </w:rPr>
        <w:t>。合格档次支付全额服务费用，基本合格、不合格档次所有岗位均分别调减50元、100元服务费用支付，并进行约谈，连续三次不合格甲方有权终止合作。</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黑体" w:eastAsia="彩虹粗仿宋" w:cs="Times New Roman"/>
          <w:kern w:val="0"/>
          <w:sz w:val="32"/>
          <w:szCs w:val="32"/>
        </w:rPr>
        <w:t>3.消防值守服务验收标准：</w:t>
      </w:r>
      <w:r>
        <w:rPr>
          <w:rFonts w:hint="eastAsia" w:ascii="彩虹粗仿宋" w:hAnsi="微软雅黑" w:eastAsia="彩虹粗仿宋" w:cs="宋体"/>
          <w:kern w:val="0"/>
          <w:sz w:val="32"/>
          <w:szCs w:val="32"/>
        </w:rPr>
        <w:t>根据《中华人民共和国消防法》和《建筑消防设施的维护管理》（GB25201-2010）等消防法律法规的规定和</w:t>
      </w:r>
      <w:r>
        <w:rPr>
          <w:rFonts w:hint="eastAsia" w:ascii="彩虹粗仿宋" w:hAnsi="Times New Roman" w:eastAsia="彩虹粗仿宋" w:cs="Times New Roman"/>
          <w:kern w:val="0"/>
          <w:sz w:val="32"/>
          <w:szCs w:val="32"/>
        </w:rPr>
        <w:t>《河南省消防控制室管理制度》有关规定，依据《*月消防控制室值守服务测评表》，招标人</w:t>
      </w:r>
      <w:r>
        <w:rPr>
          <w:rFonts w:hint="eastAsia" w:ascii="彩虹粗仿宋" w:hAnsi="宋体" w:eastAsia="彩虹粗仿宋" w:cs="Times New Roman"/>
          <w:kern w:val="0"/>
          <w:sz w:val="32"/>
          <w:szCs w:val="32"/>
        </w:rPr>
        <w:t>根据测评情况对服务公司进行综合评价，评分在90分以上为合格、80分以上90分（不含）以下为基本合格、80分（不含）以下为不合格，按合格、基本合格、不合格三个档次支付服务费用。合格档次支付全额服务费用，基本合格、不合格档次所有岗位均分别调减50元、100元服务费用支付，并进行约谈，连续三次不合格甲方有权终止合同。</w:t>
      </w:r>
    </w:p>
    <w:p>
      <w:pPr>
        <w:spacing w:line="560" w:lineRule="exact"/>
        <w:ind w:firstLine="636"/>
        <w:rPr>
          <w:rFonts w:ascii="彩虹楷体" w:hAnsi="宋体" w:eastAsia="彩虹楷体"/>
          <w:b/>
          <w:sz w:val="32"/>
          <w:szCs w:val="32"/>
        </w:rPr>
      </w:pPr>
      <w:r>
        <w:rPr>
          <w:rFonts w:hint="eastAsia" w:ascii="彩虹楷体" w:hAnsi="Times New Roman" w:eastAsia="彩虹楷体" w:cs="Times New Roman"/>
          <w:b/>
          <w:sz w:val="32"/>
          <w:szCs w:val="32"/>
        </w:rPr>
        <w:t>（五）</w:t>
      </w:r>
      <w:r>
        <w:rPr>
          <w:rFonts w:hint="eastAsia" w:ascii="彩虹楷体" w:hAnsi="宋体" w:eastAsia="彩虹楷体"/>
          <w:b/>
          <w:sz w:val="32"/>
          <w:szCs w:val="32"/>
        </w:rPr>
        <w:t>消保条款要求</w:t>
      </w:r>
    </w:p>
    <w:p>
      <w:pPr>
        <w:spacing w:line="560" w:lineRule="exact"/>
        <w:ind w:firstLine="636"/>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楷体" w:hAnsi="Times New Roman" w:eastAsia="彩虹楷体" w:cs="Times New Roman"/>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ind w:firstLine="640" w:firstLineChars="200"/>
        <w:rPr>
          <w:rFonts w:ascii="彩虹黑体" w:eastAsia="彩虹黑体"/>
          <w:sz w:val="32"/>
          <w:szCs w:val="32"/>
        </w:rPr>
      </w:pPr>
      <w:r>
        <w:rPr>
          <w:rFonts w:hint="eastAsia" w:ascii="彩虹黑体" w:eastAsia="彩虹黑体"/>
          <w:sz w:val="32"/>
          <w:szCs w:val="32"/>
        </w:rPr>
        <w:t>五、服务供应安排</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1.负责为三门峡分行7栋办公楼、分行远程监控中心提供保安24小时轮班制值守服务、营业网点营业期间保安执勤及应急分队全天候应急处突服务。</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w:t>
      </w:r>
      <w:r>
        <w:rPr>
          <w:rFonts w:hint="eastAsia"/>
        </w:rPr>
        <w:t xml:space="preserve"> </w:t>
      </w:r>
      <w:r>
        <w:rPr>
          <w:rFonts w:hint="eastAsia" w:ascii="彩虹粗仿宋" w:hAnsi="宋体" w:eastAsia="彩虹粗仿宋" w:cs="Times New Roman"/>
          <w:snapToGrid w:val="0"/>
          <w:kern w:val="0"/>
          <w:sz w:val="32"/>
          <w:szCs w:val="32"/>
        </w:rPr>
        <w:t>7栋办公楼、分行远程监控中心、24个营业网点保安岗执勤的工作时间与网点营业时间保持一致，每人每周工作时间符合国家法定工作时间。</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除支付供应商服务费用外，其他费用均由供应商负责。</w:t>
      </w:r>
    </w:p>
    <w:p>
      <w:pPr>
        <w:spacing w:line="560" w:lineRule="exact"/>
        <w:ind w:firstLine="640" w:firstLineChars="200"/>
        <w:rPr>
          <w:rFonts w:ascii="彩虹黑体" w:eastAsia="彩虹黑体"/>
          <w:sz w:val="32"/>
          <w:szCs w:val="32"/>
        </w:rPr>
      </w:pPr>
      <w:r>
        <w:rPr>
          <w:rFonts w:hint="eastAsia" w:ascii="彩虹黑体" w:eastAsia="彩虹黑体"/>
          <w:sz w:val="32"/>
          <w:szCs w:val="32"/>
        </w:rPr>
        <w:t>六、服务数量要求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（一）服务区域</w:t>
      </w:r>
    </w:p>
    <w:p>
      <w:pPr>
        <w:adjustRightInd w:val="0"/>
        <w:snapToGrid w:val="0"/>
        <w:spacing w:line="560" w:lineRule="exact"/>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kern w:val="0"/>
          <w:sz w:val="32"/>
          <w:szCs w:val="32"/>
        </w:rPr>
        <w:t>三门峡分行7栋办公楼、分行远程监控中心、应急分队及所</w:t>
      </w:r>
      <w:r>
        <w:rPr>
          <w:rFonts w:hint="eastAsia" w:ascii="彩虹粗仿宋" w:hAnsi="宋体" w:eastAsia="彩虹粗仿宋" w:cs="Times New Roman"/>
          <w:snapToGrid w:val="0"/>
          <w:color w:val="auto"/>
          <w:kern w:val="0"/>
          <w:sz w:val="32"/>
          <w:szCs w:val="32"/>
        </w:rPr>
        <w:t>辖24个营业机构及12个离行式自助银行。</w:t>
      </w:r>
    </w:p>
    <w:p>
      <w:pPr>
        <w:adjustRightInd w:val="0"/>
        <w:snapToGrid w:val="0"/>
        <w:spacing w:line="560" w:lineRule="exact"/>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（二）岗位数量</w:t>
      </w:r>
    </w:p>
    <w:p>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color w:val="auto"/>
          <w:kern w:val="0"/>
          <w:sz w:val="32"/>
          <w:szCs w:val="32"/>
        </w:rPr>
        <w:t>三门峡分行所辖7栋办公楼、24个营业网点、应急处置分队、1个监控中心、3个消防控制室共需配备127个保</w:t>
      </w:r>
      <w:r>
        <w:rPr>
          <w:rFonts w:hint="eastAsia" w:ascii="彩虹粗仿宋" w:hAnsi="宋体" w:eastAsia="彩虹粗仿宋" w:cs="Times New Roman"/>
          <w:snapToGrid w:val="0"/>
          <w:kern w:val="0"/>
          <w:sz w:val="32"/>
          <w:szCs w:val="32"/>
        </w:rPr>
        <w:t>安岗位。</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eastAsia="彩虹黑体"/>
          <w:sz w:val="32"/>
          <w:szCs w:val="32"/>
        </w:rPr>
        <w:t>七、</w:t>
      </w:r>
      <w:r>
        <w:rPr>
          <w:rFonts w:hint="eastAsia" w:ascii="彩虹黑体" w:hAnsi="宋体" w:eastAsia="彩虹黑体" w:cs="Times New Roman"/>
          <w:snapToGrid w:val="0"/>
          <w:color w:val="000000" w:themeColor="text1"/>
          <w:kern w:val="0"/>
          <w:sz w:val="32"/>
          <w:szCs w:val="32"/>
          <w14:textFill>
            <w14:solidFill>
              <w14:schemeClr w14:val="tx1"/>
            </w14:solidFill>
          </w14:textFill>
        </w:rPr>
        <w:t>款项支付要求</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kern w:val="0"/>
          <w:sz w:val="32"/>
          <w:szCs w:val="32"/>
        </w:rPr>
        <w:t>按月据实支付</w:t>
      </w:r>
      <w:r>
        <w:rPr>
          <w:rFonts w:hint="eastAsia" w:ascii="彩虹粗仿宋" w:hAnsi="黑体" w:eastAsia="彩虹粗仿宋" w:cs="Times New Roman"/>
          <w:snapToGrid w:val="0"/>
          <w:sz w:val="32"/>
          <w:szCs w:val="32"/>
        </w:rPr>
        <w:t>，根据月度考核情况，</w:t>
      </w:r>
      <w:r>
        <w:rPr>
          <w:rFonts w:hint="eastAsia" w:ascii="彩虹粗仿宋" w:hAnsi="黑体" w:eastAsia="彩虹粗仿宋" w:cs="Times New Roman"/>
          <w:sz w:val="32"/>
          <w:szCs w:val="32"/>
        </w:rPr>
        <w:t>供应商出具相应的增值税专用发票，</w:t>
      </w:r>
      <w:r>
        <w:rPr>
          <w:rFonts w:hint="eastAsia" w:ascii="彩虹粗仿宋" w:hAnsi="宋体" w:eastAsia="彩虹粗仿宋" w:cs="Times New Roman"/>
          <w:snapToGrid w:val="0"/>
          <w:kern w:val="0"/>
          <w:sz w:val="32"/>
          <w:szCs w:val="32"/>
        </w:rPr>
        <w:t>如遇增加或减少岗位数量,服务金额按对应岗位价格和数量进行增减。</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八、报价要求</w:t>
      </w:r>
    </w:p>
    <w:p>
      <w:pPr>
        <w:adjustRightInd w:val="0"/>
        <w:snapToGrid w:val="0"/>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按照服务岗位（单位：元/岗/月）报含税单价和服务含税总价。超过预算为无效报价。</w:t>
      </w:r>
    </w:p>
    <w:tbl>
      <w:tblPr>
        <w:tblStyle w:val="3"/>
        <w:tblW w:w="7978" w:type="dxa"/>
        <w:tblInd w:w="494" w:type="dxa"/>
        <w:tblLayout w:type="autofit"/>
        <w:tblCellMar>
          <w:top w:w="0" w:type="dxa"/>
          <w:left w:w="108" w:type="dxa"/>
          <w:bottom w:w="0" w:type="dxa"/>
          <w:right w:w="108" w:type="dxa"/>
        </w:tblCellMar>
      </w:tblPr>
      <w:tblGrid>
        <w:gridCol w:w="820"/>
        <w:gridCol w:w="1840"/>
        <w:gridCol w:w="1420"/>
        <w:gridCol w:w="700"/>
        <w:gridCol w:w="1240"/>
        <w:gridCol w:w="1958"/>
      </w:tblGrid>
      <w:tr>
        <w:tblPrEx>
          <w:tblCellMar>
            <w:top w:w="0" w:type="dxa"/>
            <w:left w:w="108" w:type="dxa"/>
            <w:bottom w:w="0" w:type="dxa"/>
            <w:right w:w="108" w:type="dxa"/>
          </w:tblCellMar>
        </w:tblPrEx>
        <w:trPr>
          <w:trHeight w:val="825" w:hRule="atLeast"/>
        </w:trPr>
        <w:tc>
          <w:tcPr>
            <w:tcW w:w="7978"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彩虹黑体" w:hAnsi="宋体" w:eastAsia="彩虹黑体" w:cs="宋体"/>
                <w:color w:val="auto"/>
                <w:kern w:val="0"/>
                <w:sz w:val="32"/>
                <w:szCs w:val="32"/>
              </w:rPr>
            </w:pPr>
            <w:r>
              <w:rPr>
                <w:rFonts w:hint="eastAsia" w:ascii="彩虹黑体" w:hAnsi="宋体" w:eastAsia="彩虹黑体" w:cs="宋体"/>
                <w:color w:val="auto"/>
                <w:kern w:val="0"/>
                <w:sz w:val="32"/>
                <w:szCs w:val="32"/>
              </w:rPr>
              <w:t xml:space="preserve">2024年度三门峡分行保安服务明细表   </w:t>
            </w:r>
          </w:p>
        </w:tc>
      </w:tr>
      <w:tr>
        <w:tblPrEx>
          <w:tblCellMar>
            <w:top w:w="0" w:type="dxa"/>
            <w:left w:w="108" w:type="dxa"/>
            <w:bottom w:w="0" w:type="dxa"/>
            <w:right w:w="108" w:type="dxa"/>
          </w:tblCellMar>
        </w:tblPrEx>
        <w:trPr>
          <w:trHeight w:val="840"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 w:val="22"/>
              </w:rPr>
            </w:pPr>
            <w:r>
              <w:rPr>
                <w:rFonts w:hint="eastAsia" w:ascii="宋体" w:hAnsi="宋体" w:cs="宋体"/>
                <w:b/>
                <w:bCs/>
                <w:color w:val="auto"/>
                <w:kern w:val="0"/>
                <w:sz w:val="22"/>
              </w:rPr>
              <w:t>序号</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 w:val="22"/>
              </w:rPr>
            </w:pPr>
            <w:r>
              <w:rPr>
                <w:rFonts w:hint="eastAsia" w:ascii="宋体" w:hAnsi="宋体" w:cs="宋体"/>
                <w:b/>
                <w:bCs/>
                <w:color w:val="auto"/>
                <w:kern w:val="0"/>
                <w:sz w:val="22"/>
              </w:rPr>
              <w:t>单位</w:t>
            </w:r>
          </w:p>
        </w:tc>
        <w:tc>
          <w:tcPr>
            <w:tcW w:w="1420" w:type="dxa"/>
            <w:tcBorders>
              <w:top w:val="nil"/>
              <w:left w:val="nil"/>
              <w:bottom w:val="single" w:color="auto" w:sz="4" w:space="0"/>
              <w:right w:val="single" w:color="auto" w:sz="4" w:space="0"/>
            </w:tcBorders>
            <w:shd w:val="clear" w:color="auto" w:fill="auto"/>
            <w:vAlign w:val="center"/>
          </w:tcPr>
          <w:p>
            <w:pPr>
              <w:widowControl/>
              <w:jc w:val="center"/>
              <w:rPr>
                <w:rFonts w:ascii="彩虹小标宋" w:hAnsi="宋体" w:eastAsia="彩虹小标宋" w:cs="宋体"/>
                <w:color w:val="auto"/>
                <w:kern w:val="0"/>
                <w:sz w:val="22"/>
              </w:rPr>
            </w:pPr>
            <w:r>
              <w:rPr>
                <w:rFonts w:hint="eastAsia" w:ascii="彩虹小标宋" w:hAnsi="宋体" w:eastAsia="彩虹小标宋" w:cs="宋体"/>
                <w:color w:val="auto"/>
                <w:kern w:val="0"/>
                <w:sz w:val="22"/>
              </w:rPr>
              <w:t>单价 （元/岗/月）</w:t>
            </w:r>
          </w:p>
        </w:tc>
        <w:tc>
          <w:tcPr>
            <w:tcW w:w="700" w:type="dxa"/>
            <w:tcBorders>
              <w:top w:val="nil"/>
              <w:left w:val="nil"/>
              <w:bottom w:val="single" w:color="auto" w:sz="4" w:space="0"/>
              <w:right w:val="single" w:color="auto" w:sz="4" w:space="0"/>
            </w:tcBorders>
            <w:shd w:val="clear" w:color="auto" w:fill="auto"/>
            <w:vAlign w:val="center"/>
          </w:tcPr>
          <w:p>
            <w:pPr>
              <w:widowControl/>
              <w:jc w:val="center"/>
              <w:rPr>
                <w:rFonts w:ascii="彩虹小标宋" w:hAnsi="宋体" w:eastAsia="彩虹小标宋" w:cs="宋体"/>
                <w:color w:val="auto"/>
                <w:kern w:val="0"/>
                <w:sz w:val="22"/>
              </w:rPr>
            </w:pPr>
            <w:r>
              <w:rPr>
                <w:rFonts w:hint="eastAsia" w:ascii="彩虹小标宋" w:hAnsi="宋体" w:eastAsia="彩虹小标宋" w:cs="宋体"/>
                <w:color w:val="auto"/>
                <w:kern w:val="0"/>
                <w:sz w:val="22"/>
              </w:rPr>
              <w:t>岗位数量</w:t>
            </w:r>
          </w:p>
        </w:tc>
        <w:tc>
          <w:tcPr>
            <w:tcW w:w="1240" w:type="dxa"/>
            <w:tcBorders>
              <w:top w:val="nil"/>
              <w:left w:val="nil"/>
              <w:bottom w:val="single" w:color="auto" w:sz="4" w:space="0"/>
              <w:right w:val="single" w:color="auto" w:sz="4" w:space="0"/>
            </w:tcBorders>
            <w:shd w:val="clear" w:color="auto" w:fill="auto"/>
            <w:vAlign w:val="center"/>
          </w:tcPr>
          <w:p>
            <w:pPr>
              <w:widowControl/>
              <w:jc w:val="center"/>
              <w:rPr>
                <w:rFonts w:ascii="彩虹小标宋" w:hAnsi="宋体" w:eastAsia="彩虹小标宋" w:cs="宋体"/>
                <w:color w:val="auto"/>
                <w:kern w:val="0"/>
                <w:sz w:val="22"/>
              </w:rPr>
            </w:pPr>
            <w:r>
              <w:rPr>
                <w:rFonts w:hint="eastAsia" w:ascii="彩虹小标宋" w:hAnsi="宋体" w:eastAsia="彩虹小标宋" w:cs="宋体"/>
                <w:color w:val="auto"/>
                <w:kern w:val="0"/>
                <w:sz w:val="22"/>
              </w:rPr>
              <w:t>金额</w:t>
            </w:r>
          </w:p>
        </w:tc>
        <w:tc>
          <w:tcPr>
            <w:tcW w:w="1958" w:type="dxa"/>
            <w:tcBorders>
              <w:top w:val="nil"/>
              <w:left w:val="nil"/>
              <w:bottom w:val="single" w:color="auto" w:sz="4" w:space="0"/>
              <w:right w:val="single" w:color="auto" w:sz="4" w:space="0"/>
            </w:tcBorders>
            <w:shd w:val="clear" w:color="auto" w:fill="auto"/>
            <w:vAlign w:val="center"/>
          </w:tcPr>
          <w:p>
            <w:pPr>
              <w:widowControl/>
              <w:jc w:val="center"/>
              <w:rPr>
                <w:rFonts w:ascii="彩虹小标宋" w:hAnsi="宋体" w:eastAsia="彩虹小标宋" w:cs="宋体"/>
                <w:color w:val="auto"/>
                <w:kern w:val="0"/>
                <w:sz w:val="22"/>
              </w:rPr>
            </w:pPr>
            <w:r>
              <w:rPr>
                <w:rFonts w:hint="eastAsia" w:ascii="彩虹小标宋" w:hAnsi="宋体" w:eastAsia="彩虹小标宋" w:cs="宋体"/>
                <w:color w:val="auto"/>
                <w:kern w:val="0"/>
                <w:sz w:val="22"/>
              </w:rPr>
              <w:t>岗位年费用</w:t>
            </w:r>
          </w:p>
        </w:tc>
      </w:tr>
      <w:tr>
        <w:tblPrEx>
          <w:tblCellMar>
            <w:top w:w="0" w:type="dxa"/>
            <w:left w:w="108" w:type="dxa"/>
            <w:bottom w:w="0" w:type="dxa"/>
            <w:right w:w="108" w:type="dxa"/>
          </w:tblCellMar>
        </w:tblPrEx>
        <w:trPr>
          <w:trHeight w:val="480"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 xml:space="preserve">1 </w:t>
            </w:r>
          </w:p>
        </w:tc>
        <w:tc>
          <w:tcPr>
            <w:tcW w:w="18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 xml:space="preserve"> 三门峡分行办公楼及营业网点保安服务外包事项</w:t>
            </w:r>
          </w:p>
        </w:tc>
        <w:tc>
          <w:tcPr>
            <w:tcW w:w="142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2500</w:t>
            </w:r>
          </w:p>
        </w:tc>
        <w:tc>
          <w:tcPr>
            <w:tcW w:w="7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97</w:t>
            </w:r>
          </w:p>
        </w:tc>
        <w:tc>
          <w:tcPr>
            <w:tcW w:w="12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242500</w:t>
            </w:r>
          </w:p>
        </w:tc>
        <w:tc>
          <w:tcPr>
            <w:tcW w:w="195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2910000</w:t>
            </w:r>
          </w:p>
        </w:tc>
      </w:tr>
      <w:tr>
        <w:tblPrEx>
          <w:tblCellMar>
            <w:top w:w="0" w:type="dxa"/>
            <w:left w:w="108" w:type="dxa"/>
            <w:bottom w:w="0" w:type="dxa"/>
            <w:right w:w="108" w:type="dxa"/>
          </w:tblCellMar>
        </w:tblPrEx>
        <w:trPr>
          <w:trHeight w:val="480"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2</w:t>
            </w:r>
          </w:p>
        </w:tc>
        <w:tc>
          <w:tcPr>
            <w:tcW w:w="18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三门峡分行监控中心值守服务</w:t>
            </w:r>
          </w:p>
        </w:tc>
        <w:tc>
          <w:tcPr>
            <w:tcW w:w="142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2900</w:t>
            </w:r>
          </w:p>
        </w:tc>
        <w:tc>
          <w:tcPr>
            <w:tcW w:w="7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12</w:t>
            </w:r>
          </w:p>
        </w:tc>
        <w:tc>
          <w:tcPr>
            <w:tcW w:w="12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34800</w:t>
            </w:r>
          </w:p>
        </w:tc>
        <w:tc>
          <w:tcPr>
            <w:tcW w:w="195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417600</w:t>
            </w:r>
          </w:p>
        </w:tc>
      </w:tr>
      <w:tr>
        <w:tblPrEx>
          <w:tblCellMar>
            <w:top w:w="0" w:type="dxa"/>
            <w:left w:w="108" w:type="dxa"/>
            <w:bottom w:w="0" w:type="dxa"/>
            <w:right w:w="108" w:type="dxa"/>
          </w:tblCellMar>
        </w:tblPrEx>
        <w:trPr>
          <w:trHeight w:val="480"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3</w:t>
            </w:r>
          </w:p>
        </w:tc>
        <w:tc>
          <w:tcPr>
            <w:tcW w:w="18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三门峡分行消防控制室值守服务</w:t>
            </w:r>
          </w:p>
        </w:tc>
        <w:tc>
          <w:tcPr>
            <w:tcW w:w="142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2750</w:t>
            </w:r>
          </w:p>
        </w:tc>
        <w:tc>
          <w:tcPr>
            <w:tcW w:w="7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18</w:t>
            </w:r>
          </w:p>
        </w:tc>
        <w:tc>
          <w:tcPr>
            <w:tcW w:w="12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49500</w:t>
            </w:r>
          </w:p>
        </w:tc>
        <w:tc>
          <w:tcPr>
            <w:tcW w:w="195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594000</w:t>
            </w:r>
          </w:p>
        </w:tc>
      </w:tr>
      <w:tr>
        <w:tblPrEx>
          <w:tblCellMar>
            <w:top w:w="0" w:type="dxa"/>
            <w:left w:w="108" w:type="dxa"/>
            <w:bottom w:w="0" w:type="dxa"/>
            <w:right w:w="108" w:type="dxa"/>
          </w:tblCellMar>
        </w:tblPrEx>
        <w:trPr>
          <w:trHeight w:val="480"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　</w:t>
            </w:r>
          </w:p>
        </w:tc>
        <w:tc>
          <w:tcPr>
            <w:tcW w:w="184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合计</w:t>
            </w:r>
          </w:p>
        </w:tc>
        <w:tc>
          <w:tcPr>
            <w:tcW w:w="142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　</w:t>
            </w:r>
          </w:p>
        </w:tc>
        <w:tc>
          <w:tcPr>
            <w:tcW w:w="7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127</w:t>
            </w:r>
          </w:p>
        </w:tc>
        <w:tc>
          <w:tcPr>
            <w:tcW w:w="12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　</w:t>
            </w:r>
          </w:p>
        </w:tc>
        <w:tc>
          <w:tcPr>
            <w:tcW w:w="195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auto"/>
                <w:kern w:val="0"/>
                <w:sz w:val="22"/>
              </w:rPr>
            </w:pPr>
            <w:r>
              <w:rPr>
                <w:rFonts w:hint="eastAsia" w:ascii="宋体" w:hAnsi="宋体" w:cs="宋体"/>
                <w:color w:val="auto"/>
                <w:kern w:val="0"/>
                <w:sz w:val="22"/>
              </w:rPr>
              <w:t>3921600</w:t>
            </w:r>
          </w:p>
        </w:tc>
      </w:tr>
    </w:tbl>
    <w:p>
      <w:pPr>
        <w:spacing w:line="560" w:lineRule="exact"/>
        <w:ind w:firstLine="640" w:firstLineChars="200"/>
        <w:rPr>
          <w:rFonts w:ascii="彩虹黑体" w:eastAsia="彩虹黑体"/>
          <w:sz w:val="32"/>
          <w:szCs w:val="32"/>
        </w:rPr>
      </w:pPr>
      <w:r>
        <w:rPr>
          <w:rFonts w:hint="eastAsia" w:ascii="彩虹黑体" w:eastAsia="彩虹黑体"/>
          <w:sz w:val="32"/>
          <w:szCs w:val="32"/>
        </w:rPr>
        <w:t>九、其他要求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协议期间,如需增加或减少保安岗位,以签订补充协议为准.</w:t>
      </w:r>
    </w:p>
    <w:p>
      <w:pPr>
        <w:widowControl/>
        <w:jc w:val="lef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附件：</w:t>
      </w:r>
      <w:r>
        <w:rPr>
          <w:rFonts w:ascii="彩虹粗仿宋" w:hAnsi="宋体" w:eastAsia="彩虹粗仿宋" w:cs="Times New Roman"/>
          <w:snapToGrid w:val="0"/>
          <w:kern w:val="0"/>
          <w:sz w:val="32"/>
          <w:szCs w:val="32"/>
        </w:rPr>
        <w:br w:type="page"/>
      </w:r>
    </w:p>
    <w:tbl>
      <w:tblPr>
        <w:tblStyle w:val="3"/>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Times New Roman" w:hAnsi="Times New Roman"/>
                <w:b/>
                <w:bCs/>
                <w:kern w:val="0"/>
                <w:sz w:val="36"/>
                <w:szCs w:val="36"/>
              </w:rPr>
            </w:pP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*月监控中心值守服务测评表</w:t>
      </w:r>
    </w:p>
    <w:tbl>
      <w:tblPr>
        <w:tblStyle w:val="4"/>
        <w:tblW w:w="90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1"/>
        <w:gridCol w:w="1512"/>
        <w:gridCol w:w="1512"/>
        <w:gridCol w:w="1512"/>
        <w:gridCol w:w="1513"/>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vAlign w:val="center"/>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日期</w:t>
            </w:r>
          </w:p>
        </w:tc>
        <w:tc>
          <w:tcPr>
            <w:tcW w:w="5681" w:type="dxa"/>
            <w:gridSpan w:val="4"/>
            <w:vAlign w:val="center"/>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违规内容及次数</w:t>
            </w:r>
          </w:p>
        </w:tc>
        <w:tc>
          <w:tcPr>
            <w:tcW w:w="1421"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jc w:val="center"/>
              <w:rPr>
                <w:rFonts w:ascii="彩虹粗仿宋" w:hAnsi="Times New Roman" w:eastAsia="彩虹粗仿宋" w:cs="Times New Roman"/>
                <w:kern w:val="0"/>
                <w:sz w:val="32"/>
                <w:szCs w:val="32"/>
              </w:rPr>
            </w:pPr>
          </w:p>
        </w:tc>
        <w:tc>
          <w:tcPr>
            <w:tcW w:w="1420" w:type="dxa"/>
            <w:vAlign w:val="center"/>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仪容仪表</w:t>
            </w:r>
          </w:p>
        </w:tc>
        <w:tc>
          <w:tcPr>
            <w:tcW w:w="1420" w:type="dxa"/>
            <w:vAlign w:val="center"/>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警情处置是否及时</w:t>
            </w:r>
          </w:p>
        </w:tc>
        <w:tc>
          <w:tcPr>
            <w:tcW w:w="1420" w:type="dxa"/>
            <w:vAlign w:val="center"/>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值班期间是否脱岗</w:t>
            </w:r>
          </w:p>
        </w:tc>
        <w:tc>
          <w:tcPr>
            <w:tcW w:w="1421" w:type="dxa"/>
            <w:vAlign w:val="center"/>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值班期间做与工作无关的事情</w:t>
            </w: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1号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2号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3号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4号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31号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pPr>
              <w:jc w:val="center"/>
              <w:rPr>
                <w:rFonts w:ascii="彩虹粗仿宋" w:hAnsi="Times New Roman" w:eastAsia="彩虹粗仿宋" w:cs="Times New Roman"/>
                <w:kern w:val="0"/>
                <w:sz w:val="32"/>
                <w:szCs w:val="32"/>
              </w:rPr>
            </w:pPr>
            <w:r>
              <w:rPr>
                <w:rFonts w:hint="eastAsia" w:ascii="宋体" w:hAnsi="宋体" w:cs="宋体"/>
                <w:kern w:val="0"/>
                <w:sz w:val="24"/>
                <w:szCs w:val="24"/>
              </w:rPr>
              <w:t>违犯规定10次以下为合格；10次（不含）以上20次以下为基本合格；20次（不含）以上为不合格。</w:t>
            </w:r>
          </w:p>
        </w:tc>
      </w:tr>
    </w:tbl>
    <w:tbl>
      <w:tblPr>
        <w:tblStyle w:val="3"/>
        <w:tblW w:w="9073" w:type="dxa"/>
        <w:tblInd w:w="93" w:type="dxa"/>
        <w:tblLayout w:type="autofit"/>
        <w:tblCellMar>
          <w:top w:w="0" w:type="dxa"/>
          <w:left w:w="108" w:type="dxa"/>
          <w:bottom w:w="0" w:type="dxa"/>
          <w:right w:w="108" w:type="dxa"/>
        </w:tblCellMar>
      </w:tblPr>
      <w:tblGrid>
        <w:gridCol w:w="748"/>
        <w:gridCol w:w="2566"/>
        <w:gridCol w:w="748"/>
        <w:gridCol w:w="1132"/>
        <w:gridCol w:w="2384"/>
        <w:gridCol w:w="727"/>
        <w:gridCol w:w="768"/>
      </w:tblGrid>
      <w:tr>
        <w:tblPrEx>
          <w:tblCellMar>
            <w:top w:w="0" w:type="dxa"/>
            <w:left w:w="108" w:type="dxa"/>
            <w:bottom w:w="0" w:type="dxa"/>
            <w:right w:w="108" w:type="dxa"/>
          </w:tblCellMar>
        </w:tblPrEx>
        <w:trPr>
          <w:trHeight w:val="348" w:hRule="atLeast"/>
        </w:trPr>
        <w:tc>
          <w:tcPr>
            <w:tcW w:w="748"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66" w:type="dxa"/>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负责人：</w:t>
            </w:r>
          </w:p>
        </w:tc>
        <w:tc>
          <w:tcPr>
            <w:tcW w:w="748" w:type="dxa"/>
            <w:tcBorders>
              <w:top w:val="nil"/>
              <w:left w:val="nil"/>
              <w:bottom w:val="nil"/>
              <w:right w:val="nil"/>
            </w:tcBorders>
            <w:noWrap/>
            <w:vAlign w:val="bottom"/>
          </w:tcPr>
          <w:p>
            <w:pPr>
              <w:widowControl/>
              <w:jc w:val="left"/>
              <w:rPr>
                <w:rFonts w:ascii="宋体" w:hAnsi="宋体" w:cs="宋体"/>
                <w:kern w:val="0"/>
                <w:sz w:val="24"/>
                <w:szCs w:val="24"/>
              </w:rPr>
            </w:pPr>
          </w:p>
        </w:tc>
        <w:tc>
          <w:tcPr>
            <w:tcW w:w="1132" w:type="dxa"/>
            <w:tcBorders>
              <w:top w:val="nil"/>
              <w:left w:val="nil"/>
              <w:bottom w:val="nil"/>
              <w:right w:val="nil"/>
            </w:tcBorders>
            <w:noWrap/>
            <w:vAlign w:val="bottom"/>
          </w:tcPr>
          <w:p>
            <w:pPr>
              <w:widowControl/>
              <w:jc w:val="left"/>
              <w:rPr>
                <w:rFonts w:ascii="宋体" w:hAnsi="宋体" w:cs="宋体"/>
                <w:kern w:val="0"/>
                <w:sz w:val="24"/>
                <w:szCs w:val="24"/>
              </w:rPr>
            </w:pPr>
          </w:p>
        </w:tc>
        <w:tc>
          <w:tcPr>
            <w:tcW w:w="2384" w:type="dxa"/>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7" w:type="dxa"/>
            <w:tcBorders>
              <w:top w:val="nil"/>
              <w:left w:val="nil"/>
              <w:bottom w:val="nil"/>
              <w:right w:val="nil"/>
            </w:tcBorders>
            <w:noWrap/>
            <w:vAlign w:val="bottom"/>
          </w:tcPr>
          <w:p>
            <w:pPr>
              <w:widowControl/>
              <w:jc w:val="left"/>
              <w:rPr>
                <w:rFonts w:ascii="宋体" w:hAnsi="宋体" w:cs="宋体"/>
                <w:kern w:val="0"/>
                <w:sz w:val="24"/>
                <w:szCs w:val="24"/>
              </w:rPr>
            </w:pPr>
          </w:p>
        </w:tc>
        <w:tc>
          <w:tcPr>
            <w:tcW w:w="768" w:type="dxa"/>
            <w:tcBorders>
              <w:top w:val="nil"/>
              <w:left w:val="nil"/>
              <w:bottom w:val="nil"/>
              <w:right w:val="nil"/>
            </w:tcBorders>
            <w:noWrap/>
            <w:vAlign w:val="bottom"/>
          </w:tcPr>
          <w:p>
            <w:pPr>
              <w:widowControl/>
              <w:jc w:val="left"/>
              <w:rPr>
                <w:rFonts w:ascii="宋体" w:hAnsi="宋体" w:cs="宋体"/>
                <w:kern w:val="0"/>
                <w:sz w:val="24"/>
                <w:szCs w:val="24"/>
              </w:rPr>
            </w:pPr>
          </w:p>
        </w:tc>
      </w:tr>
    </w:tbl>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*月消防控制室值守服务测评表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Merge w:val="restart"/>
            <w:vAlign w:val="center"/>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日期</w:t>
            </w:r>
          </w:p>
        </w:tc>
        <w:tc>
          <w:tcPr>
            <w:tcW w:w="5681" w:type="dxa"/>
            <w:gridSpan w:val="4"/>
            <w:vAlign w:val="center"/>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违规内容及次数</w:t>
            </w:r>
          </w:p>
        </w:tc>
        <w:tc>
          <w:tcPr>
            <w:tcW w:w="1421"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jc w:val="center"/>
              <w:rPr>
                <w:rFonts w:ascii="彩虹粗仿宋" w:hAnsi="Times New Roman" w:eastAsia="彩虹粗仿宋" w:cs="Times New Roman"/>
                <w:kern w:val="0"/>
                <w:sz w:val="32"/>
                <w:szCs w:val="32"/>
              </w:rPr>
            </w:pPr>
          </w:p>
        </w:tc>
        <w:tc>
          <w:tcPr>
            <w:tcW w:w="1420" w:type="dxa"/>
            <w:vAlign w:val="center"/>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仪容仪表</w:t>
            </w:r>
          </w:p>
        </w:tc>
        <w:tc>
          <w:tcPr>
            <w:tcW w:w="1420" w:type="dxa"/>
            <w:vAlign w:val="center"/>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警情处置是否及时</w:t>
            </w:r>
          </w:p>
        </w:tc>
        <w:tc>
          <w:tcPr>
            <w:tcW w:w="1420" w:type="dxa"/>
            <w:vAlign w:val="center"/>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值班期间是否脱岗</w:t>
            </w:r>
          </w:p>
        </w:tc>
        <w:tc>
          <w:tcPr>
            <w:tcW w:w="1421" w:type="dxa"/>
            <w:vAlign w:val="center"/>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值班期间做与工作无关的事情</w:t>
            </w: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1号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2号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3号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4号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31号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6"/>
          </w:tcPr>
          <w:p>
            <w:pPr>
              <w:jc w:val="center"/>
              <w:rPr>
                <w:rFonts w:ascii="彩虹粗仿宋" w:hAnsi="Times New Roman" w:eastAsia="彩虹粗仿宋" w:cs="Times New Roman"/>
                <w:kern w:val="0"/>
                <w:sz w:val="32"/>
                <w:szCs w:val="32"/>
              </w:rPr>
            </w:pPr>
            <w:r>
              <w:rPr>
                <w:rFonts w:hint="eastAsia" w:ascii="宋体" w:hAnsi="宋体" w:cs="宋体"/>
                <w:kern w:val="0"/>
                <w:sz w:val="24"/>
                <w:szCs w:val="24"/>
              </w:rPr>
              <w:t>违犯规定10次以下为合格；10次（不含）以上20次以下为基本合格；20次（不含）以上为不合格。</w:t>
            </w:r>
          </w:p>
        </w:tc>
      </w:tr>
    </w:tbl>
    <w:p>
      <w:pPr>
        <w:jc w:val="center"/>
        <w:rPr>
          <w:rFonts w:ascii="彩虹粗仿宋" w:hAnsi="Times New Roman" w:eastAsia="彩虹粗仿宋" w:cs="Times New Roman"/>
          <w:kern w:val="0"/>
          <w:sz w:val="32"/>
          <w:szCs w:val="32"/>
          <w:highlight w:val="yellow"/>
        </w:rPr>
      </w:pPr>
    </w:p>
    <w:tbl>
      <w:tblPr>
        <w:tblStyle w:val="3"/>
        <w:tblW w:w="8980" w:type="dxa"/>
        <w:tblInd w:w="93" w:type="dxa"/>
        <w:tblLayout w:type="autofit"/>
        <w:tblCellMar>
          <w:top w:w="0" w:type="dxa"/>
          <w:left w:w="108" w:type="dxa"/>
          <w:bottom w:w="0" w:type="dxa"/>
          <w:right w:w="108" w:type="dxa"/>
        </w:tblCellMar>
      </w:tblPr>
      <w:tblGrid>
        <w:gridCol w:w="740"/>
        <w:gridCol w:w="2540"/>
        <w:gridCol w:w="740"/>
        <w:gridCol w:w="1120"/>
        <w:gridCol w:w="2360"/>
        <w:gridCol w:w="720"/>
        <w:gridCol w:w="760"/>
      </w:tblGrid>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Pr>
        <w:ind w:firstLine="420" w:firstLineChars="200"/>
      </w:pPr>
    </w:p>
    <w:p>
      <w:pPr>
        <w:adjustRightInd w:val="0"/>
        <w:snapToGrid w:val="0"/>
        <w:spacing w:line="360" w:lineRule="auto"/>
        <w:jc w:val="center"/>
      </w:pPr>
    </w:p>
    <w:p/>
    <w:p>
      <w:pPr>
        <w:adjustRightInd w:val="0"/>
        <w:snapToGrid w:val="0"/>
        <w:spacing w:line="360" w:lineRule="auto"/>
        <w:jc w:val="cente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 w:name="CHCFS">
    <w:altName w:val="微软雅黑"/>
    <w:panose1 w:val="00000000000000000000"/>
    <w:charset w:val="86"/>
    <w:family w:val="swiss"/>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F173B1"/>
    <w:rsid w:val="72472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2024-05-22T02:04:45Z</dcterms:created>
  <dc:creator>haccb</dc:creator>
  <cp:lastModifiedBy>haccb</cp:lastModifiedBy>
  <dcterms:modified xsi:type="dcterms:W3CDTF">2024-05-22T02:07:33Z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74E476B547F04BD689D71C24E87BAF5D_12</vt:lpwstr>
  </property>
</Properties>
</file>