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F5E" w:rsidRDefault="00BF526C">
      <w:pPr>
        <w:adjustRightInd w:val="0"/>
        <w:snapToGrid w:val="0"/>
        <w:spacing w:line="560" w:lineRule="atLeast"/>
        <w:jc w:val="center"/>
        <w:rPr>
          <w:rFonts w:ascii="彩虹小标宋" w:eastAsia="彩虹小标宋" w:hAnsi="宋体"/>
          <w:bCs/>
          <w:snapToGrid w:val="0"/>
          <w:kern w:val="0"/>
          <w:sz w:val="44"/>
          <w:szCs w:val="44"/>
        </w:rPr>
      </w:pPr>
      <w:r>
        <w:rPr>
          <w:rFonts w:ascii="彩虹小标宋" w:eastAsia="彩虹小标宋" w:hAnsi="宋体" w:hint="eastAsia"/>
          <w:bCs/>
          <w:snapToGrid w:val="0"/>
          <w:kern w:val="0"/>
          <w:sz w:val="44"/>
          <w:szCs w:val="44"/>
        </w:rPr>
        <w:t>中国建设银行大连市分行</w:t>
      </w:r>
      <w:r>
        <w:rPr>
          <w:rFonts w:ascii="彩虹小标宋" w:eastAsia="彩虹小标宋" w:hAnsi="宋体" w:hint="eastAsia"/>
          <w:bCs/>
          <w:snapToGrid w:val="0"/>
          <w:kern w:val="0"/>
          <w:sz w:val="44"/>
          <w:szCs w:val="44"/>
        </w:rPr>
        <w:t>2025-2027</w:t>
      </w:r>
      <w:r>
        <w:rPr>
          <w:rFonts w:ascii="彩虹小标宋" w:eastAsia="彩虹小标宋" w:hAnsi="宋体" w:hint="eastAsia"/>
          <w:bCs/>
          <w:snapToGrid w:val="0"/>
          <w:kern w:val="0"/>
          <w:sz w:val="44"/>
          <w:szCs w:val="44"/>
        </w:rPr>
        <w:t>年度个人客户观影服务采购项目集中采购需求</w:t>
      </w:r>
    </w:p>
    <w:p w:rsidR="00A63F5E" w:rsidRDefault="00A63F5E">
      <w:pPr>
        <w:adjustRightInd w:val="0"/>
        <w:snapToGrid w:val="0"/>
        <w:spacing w:line="560" w:lineRule="atLeast"/>
        <w:rPr>
          <w:rFonts w:ascii="彩虹粗仿宋" w:hAnsi="宋体"/>
          <w:snapToGrid w:val="0"/>
          <w:kern w:val="0"/>
          <w:szCs w:val="32"/>
        </w:rPr>
      </w:pP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一、服务供应商要求</w:t>
      </w:r>
    </w:p>
    <w:p w:rsidR="00A63F5E" w:rsidRDefault="00BF526C">
      <w:pPr>
        <w:pStyle w:val="a6"/>
        <w:numPr>
          <w:ilvl w:val="0"/>
          <w:numId w:val="1"/>
        </w:numPr>
        <w:shd w:val="clear" w:color="auto" w:fill="FFFFFF"/>
        <w:spacing w:before="0" w:beforeAutospacing="0" w:after="0" w:afterAutospacing="0" w:line="450" w:lineRule="atLeast"/>
        <w:rPr>
          <w:rStyle w:val="a7"/>
          <w:rFonts w:ascii="彩虹粗仿宋" w:eastAsia="彩虹粗仿宋" w:hAnsi="彩虹粗仿宋" w:cs="Segoe UI"/>
          <w:color w:val="333333"/>
          <w:sz w:val="32"/>
          <w:szCs w:val="32"/>
        </w:rPr>
      </w:pPr>
      <w:r>
        <w:rPr>
          <w:rStyle w:val="a7"/>
          <w:rFonts w:ascii="彩虹粗仿宋" w:eastAsia="彩虹粗仿宋" w:hAnsi="彩虹粗仿宋" w:cs="Segoe UI" w:hint="eastAsia"/>
          <w:color w:val="333333"/>
          <w:sz w:val="32"/>
          <w:szCs w:val="32"/>
        </w:rPr>
        <w:t>基本条件</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Cambria" w:eastAsia="彩虹粗仿宋" w:hAnsi="Cambria" w:cs="Cambria"/>
          <w:color w:val="333333"/>
          <w:sz w:val="32"/>
          <w:szCs w:val="32"/>
        </w:rPr>
        <w:t> </w:t>
      </w:r>
      <w:r>
        <w:rPr>
          <w:rFonts w:ascii="彩虹粗仿宋" w:eastAsia="彩虹粗仿宋" w:hAnsi="彩虹粗仿宋" w:cs="Segoe UI" w:hint="eastAsia"/>
          <w:color w:val="333333"/>
          <w:sz w:val="32"/>
          <w:szCs w:val="32"/>
        </w:rPr>
        <w:t>1.</w:t>
      </w:r>
      <w:r>
        <w:rPr>
          <w:rFonts w:ascii="彩虹粗仿宋" w:eastAsia="彩虹粗仿宋" w:hAnsi="彩虹粗仿宋" w:cs="Segoe UI" w:hint="eastAsia"/>
          <w:color w:val="333333"/>
          <w:sz w:val="32"/>
          <w:szCs w:val="32"/>
        </w:rPr>
        <w:t>供应商具有独立承担民事责任的能力，遵守国家有关法律、法规，具有良好的商业信誉和健全的财务会计制度。</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Cambria" w:eastAsia="彩虹粗仿宋" w:hAnsi="Cambria" w:cs="Cambria"/>
          <w:color w:val="333333"/>
          <w:sz w:val="32"/>
          <w:szCs w:val="32"/>
        </w:rPr>
        <w:t> </w:t>
      </w:r>
      <w:r>
        <w:rPr>
          <w:rFonts w:ascii="彩虹粗仿宋" w:eastAsia="彩虹粗仿宋" w:hAnsi="彩虹粗仿宋" w:cs="Segoe UI" w:hint="eastAsia"/>
          <w:color w:val="333333"/>
          <w:sz w:val="32"/>
          <w:szCs w:val="32"/>
        </w:rPr>
        <w:t>2.</w:t>
      </w:r>
      <w:r>
        <w:rPr>
          <w:rFonts w:ascii="彩虹粗仿宋" w:eastAsia="彩虹粗仿宋" w:hAnsi="彩虹粗仿宋" w:cs="Segoe UI" w:hint="eastAsia"/>
          <w:color w:val="333333"/>
          <w:sz w:val="32"/>
          <w:szCs w:val="32"/>
        </w:rPr>
        <w:t>供应商当前未处于限制开展生产经营活动、责令停产停业、责令关闭、限制从业等重大行政处罚期内。</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Cambria" w:eastAsia="彩虹粗仿宋" w:hAnsi="Cambria" w:cs="Cambria"/>
          <w:color w:val="333333"/>
          <w:sz w:val="32"/>
          <w:szCs w:val="32"/>
        </w:rPr>
        <w:t> </w:t>
      </w:r>
      <w:r>
        <w:rPr>
          <w:rFonts w:ascii="彩虹粗仿宋" w:eastAsia="彩虹粗仿宋" w:hAnsi="彩虹粗仿宋" w:cs="Segoe UI" w:hint="eastAsia"/>
          <w:color w:val="333333"/>
          <w:sz w:val="32"/>
          <w:szCs w:val="32"/>
        </w:rPr>
        <w:t>3.</w:t>
      </w:r>
      <w:r>
        <w:rPr>
          <w:rFonts w:ascii="彩虹粗仿宋" w:eastAsia="彩虹粗仿宋" w:hAnsi="彩虹粗仿宋" w:cs="Segoe UI" w:hint="eastAsia"/>
          <w:color w:val="333333"/>
          <w:sz w:val="32"/>
          <w:szCs w:val="32"/>
        </w:rPr>
        <w:t>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Cambria" w:eastAsia="彩虹粗仿宋" w:hAnsi="Cambria" w:cs="Cambria"/>
          <w:color w:val="333333"/>
          <w:sz w:val="32"/>
          <w:szCs w:val="32"/>
        </w:rPr>
        <w:t> </w:t>
      </w:r>
      <w:r>
        <w:rPr>
          <w:rFonts w:ascii="彩虹粗仿宋" w:eastAsia="彩虹粗仿宋" w:hAnsi="彩虹粗仿宋" w:cs="Segoe UI" w:hint="eastAsia"/>
          <w:color w:val="333333"/>
          <w:sz w:val="32"/>
          <w:szCs w:val="32"/>
        </w:rPr>
        <w:t>4.</w:t>
      </w:r>
      <w:r>
        <w:rPr>
          <w:rFonts w:ascii="彩虹粗仿宋" w:eastAsia="彩虹粗仿宋" w:hAnsi="彩虹粗仿宋" w:cs="Segoe UI" w:hint="eastAsia"/>
          <w:color w:val="333333"/>
          <w:sz w:val="32"/>
          <w:szCs w:val="32"/>
        </w:rPr>
        <w:t>法定代表人（负责人）为同一人或存在控股、管理关系的不同申请人，不得同时参加本项目。</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5.</w:t>
      </w:r>
      <w:r>
        <w:rPr>
          <w:rFonts w:ascii="彩虹粗仿宋" w:eastAsia="彩虹粗仿宋" w:hAnsi="彩虹粗仿宋" w:cs="Segoe UI" w:hint="eastAsia"/>
          <w:color w:val="333333"/>
          <w:sz w:val="32"/>
          <w:szCs w:val="32"/>
        </w:rPr>
        <w:t>供应商与建设银行不存在利益冲突，不存在损害建设银行合法利益和声誉的情形，不存在针对建设银行的重大诚信问题。</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6.</w:t>
      </w:r>
      <w:r>
        <w:rPr>
          <w:rFonts w:ascii="彩虹粗仿宋" w:eastAsia="彩虹粗仿宋" w:hAnsi="彩虹粗仿宋" w:cs="Segoe UI" w:hint="eastAsia"/>
          <w:color w:val="333333"/>
          <w:sz w:val="32"/>
          <w:szCs w:val="32"/>
        </w:rPr>
        <w:t>供应商在资格审查时未处于建设银行供应商禁用或退出期内。</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lastRenderedPageBreak/>
        <w:t>7.</w:t>
      </w:r>
      <w:r>
        <w:rPr>
          <w:rFonts w:ascii="彩虹粗仿宋" w:eastAsia="彩虹粗仿宋" w:hAnsi="彩虹粗仿宋" w:cs="Segoe UI" w:hint="eastAsia"/>
          <w:color w:val="333333"/>
          <w:sz w:val="32"/>
          <w:szCs w:val="32"/>
        </w:rPr>
        <w:t>供应商承诺在本项目采购过</w:t>
      </w:r>
      <w:r>
        <w:rPr>
          <w:rFonts w:ascii="彩虹粗仿宋" w:eastAsia="彩虹粗仿宋" w:hAnsi="彩虹粗仿宋" w:cs="Segoe UI" w:hint="eastAsia"/>
          <w:color w:val="333333"/>
          <w:sz w:val="32"/>
          <w:szCs w:val="32"/>
        </w:rPr>
        <w:t>程中不存在下列情形，如存在下列情形之一，建设银行有权取消其候选资格。情形包括但不限于：</w:t>
      </w:r>
    </w:p>
    <w:p w:rsidR="00A63F5E" w:rsidRDefault="00BF526C">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w:t>
      </w:r>
      <w:r>
        <w:rPr>
          <w:rFonts w:ascii="彩虹粗仿宋" w:eastAsia="彩虹粗仿宋" w:hAnsi="彩虹粗仿宋" w:cs="Segoe UI" w:hint="eastAsia"/>
          <w:color w:val="333333"/>
          <w:sz w:val="32"/>
          <w:szCs w:val="32"/>
        </w:rPr>
        <w:t>1</w:t>
      </w:r>
      <w:r>
        <w:rPr>
          <w:rFonts w:ascii="彩虹粗仿宋" w:eastAsia="彩虹粗仿宋" w:hAnsi="彩虹粗仿宋" w:cs="Segoe UI" w:hint="eastAsia"/>
          <w:color w:val="333333"/>
          <w:sz w:val="32"/>
          <w:szCs w:val="32"/>
        </w:rPr>
        <w:t>）法定代表人（负责人）在生产经营活动中受到刑事处罚；</w:t>
      </w:r>
    </w:p>
    <w:p w:rsidR="00A63F5E" w:rsidRDefault="00BF526C">
      <w:pPr>
        <w:pStyle w:val="a6"/>
        <w:shd w:val="clear" w:color="auto" w:fill="FFFFFF"/>
        <w:spacing w:before="0" w:beforeAutospacing="0" w:after="0" w:afterAutospacing="0"/>
        <w:ind w:left="643"/>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w:t>
      </w:r>
      <w:r>
        <w:rPr>
          <w:rFonts w:ascii="彩虹粗仿宋" w:eastAsia="彩虹粗仿宋" w:hAnsi="彩虹粗仿宋" w:cs="Segoe UI" w:hint="eastAsia"/>
          <w:color w:val="333333"/>
          <w:sz w:val="32"/>
          <w:szCs w:val="32"/>
        </w:rPr>
        <w:t>2</w:t>
      </w:r>
      <w:r>
        <w:rPr>
          <w:rFonts w:ascii="彩虹粗仿宋" w:eastAsia="彩虹粗仿宋" w:hAnsi="彩虹粗仿宋" w:cs="Segoe UI" w:hint="eastAsia"/>
          <w:color w:val="333333"/>
          <w:sz w:val="32"/>
          <w:szCs w:val="32"/>
        </w:rPr>
        <w:t>）重大并购或重组，影响正常生产经营；</w:t>
      </w:r>
    </w:p>
    <w:p w:rsidR="00A63F5E" w:rsidRDefault="00BF526C">
      <w:pPr>
        <w:pStyle w:val="a6"/>
        <w:shd w:val="clear" w:color="auto" w:fill="FFFFFF"/>
        <w:spacing w:before="0" w:beforeAutospacing="0" w:after="0" w:afterAutospacing="0"/>
        <w:ind w:left="643"/>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w:t>
      </w:r>
      <w:r>
        <w:rPr>
          <w:rFonts w:ascii="彩虹粗仿宋" w:eastAsia="彩虹粗仿宋" w:hAnsi="彩虹粗仿宋" w:cs="Segoe UI" w:hint="eastAsia"/>
          <w:color w:val="333333"/>
          <w:sz w:val="32"/>
          <w:szCs w:val="32"/>
        </w:rPr>
        <w:t>3</w:t>
      </w:r>
      <w:r>
        <w:rPr>
          <w:rFonts w:ascii="彩虹粗仿宋" w:eastAsia="彩虹粗仿宋" w:hAnsi="彩虹粗仿宋" w:cs="Segoe UI" w:hint="eastAsia"/>
          <w:color w:val="333333"/>
          <w:sz w:val="32"/>
          <w:szCs w:val="32"/>
        </w:rPr>
        <w:t>）其他重大风险事项，影响正常采购合作。</w:t>
      </w:r>
    </w:p>
    <w:p w:rsidR="00A63F5E" w:rsidRDefault="00BF526C">
      <w:pPr>
        <w:pStyle w:val="a6"/>
        <w:shd w:val="clear" w:color="auto" w:fill="FFFFFF"/>
        <w:spacing w:before="0" w:beforeAutospacing="0" w:after="0" w:afterAutospacing="0"/>
        <w:ind w:left="643"/>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8.</w:t>
      </w:r>
      <w:r>
        <w:rPr>
          <w:rFonts w:ascii="彩虹粗仿宋" w:eastAsia="彩虹粗仿宋" w:hAnsi="彩虹粗仿宋" w:cs="Segoe UI" w:hint="eastAsia"/>
          <w:color w:val="333333"/>
          <w:sz w:val="32"/>
          <w:szCs w:val="32"/>
        </w:rPr>
        <w:t>本项目不接受联合体报名申请。</w:t>
      </w:r>
    </w:p>
    <w:p w:rsidR="00A63F5E" w:rsidRDefault="00BF526C">
      <w:pPr>
        <w:pStyle w:val="a6"/>
        <w:shd w:val="clear" w:color="auto" w:fill="FFFFFF"/>
        <w:spacing w:before="0" w:beforeAutospacing="0" w:after="0" w:afterAutospacing="0" w:line="450" w:lineRule="atLeast"/>
        <w:ind w:firstLineChars="200" w:firstLine="640"/>
        <w:rPr>
          <w:rStyle w:val="a7"/>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9.</w:t>
      </w:r>
      <w:r>
        <w:rPr>
          <w:rFonts w:ascii="彩虹粗仿宋" w:eastAsia="彩虹粗仿宋" w:hAnsi="彩虹粗仿宋" w:cs="Segoe UI" w:hint="eastAsia"/>
          <w:color w:val="333333"/>
          <w:sz w:val="32"/>
          <w:szCs w:val="32"/>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A63F5E" w:rsidRDefault="00BF526C">
      <w:pPr>
        <w:adjustRightInd w:val="0"/>
        <w:snapToGrid w:val="0"/>
        <w:spacing w:line="560" w:lineRule="atLeast"/>
        <w:ind w:firstLineChars="200" w:firstLine="643"/>
        <w:rPr>
          <w:rFonts w:hAnsi="宋体"/>
          <w:b/>
          <w:bCs/>
          <w:snapToGrid w:val="0"/>
          <w:kern w:val="0"/>
        </w:rPr>
      </w:pPr>
      <w:r>
        <w:rPr>
          <w:rFonts w:hAnsi="宋体" w:hint="eastAsia"/>
          <w:b/>
          <w:bCs/>
          <w:snapToGrid w:val="0"/>
          <w:kern w:val="0"/>
        </w:rPr>
        <w:t>（二）供应商资质及其他要求</w:t>
      </w:r>
    </w:p>
    <w:p w:rsidR="00587E9C" w:rsidRDefault="00BF526C" w:rsidP="00587E9C">
      <w:pPr>
        <w:pStyle w:val="a6"/>
        <w:shd w:val="clear" w:color="auto" w:fill="FFFFFF"/>
        <w:spacing w:before="0" w:beforeAutospacing="0" w:after="0" w:afterAutospacing="0" w:line="450" w:lineRule="atLeast"/>
        <w:ind w:firstLineChars="200" w:firstLine="640"/>
        <w:rPr>
          <w:rFonts w:ascii="彩虹粗仿宋" w:eastAsia="彩虹粗仿宋" w:hAnsi="彩虹粗仿宋" w:cs="Segoe UI" w:hint="eastAsia"/>
          <w:color w:val="333333"/>
          <w:sz w:val="32"/>
          <w:szCs w:val="32"/>
        </w:rPr>
      </w:pPr>
      <w:bookmarkStart w:id="0" w:name="_GoBack"/>
      <w:r>
        <w:rPr>
          <w:rFonts w:ascii="彩虹粗仿宋" w:eastAsia="彩虹粗仿宋" w:hAnsi="彩虹粗仿宋" w:cs="Segoe UI"/>
          <w:color w:val="333333"/>
          <w:sz w:val="32"/>
          <w:szCs w:val="32"/>
        </w:rPr>
        <w:t>1.</w:t>
      </w:r>
      <w:r>
        <w:rPr>
          <w:rFonts w:ascii="彩虹粗仿宋" w:eastAsia="彩虹粗仿宋" w:hAnsi="彩虹粗仿宋" w:cs="Segoe UI"/>
          <w:color w:val="333333"/>
          <w:sz w:val="32"/>
          <w:szCs w:val="32"/>
        </w:rPr>
        <w:t>供应商必须是在中华人民共和国境内注册并取得营业执照的，且公司成立时间在三年以上</w:t>
      </w:r>
      <w:r>
        <w:rPr>
          <w:rFonts w:ascii="彩虹粗仿宋" w:eastAsia="彩虹粗仿宋" w:hAnsi="彩虹粗仿宋" w:cs="Segoe UI" w:hint="eastAsia"/>
          <w:color w:val="333333"/>
          <w:sz w:val="32"/>
          <w:szCs w:val="32"/>
        </w:rPr>
        <w:t>。</w:t>
      </w:r>
      <w:r w:rsidR="00587E9C" w:rsidRPr="00587E9C">
        <w:rPr>
          <w:rFonts w:ascii="彩虹粗仿宋" w:eastAsia="彩虹粗仿宋" w:hAnsi="彩虹粗仿宋" w:cs="Segoe UI" w:hint="eastAsia"/>
          <w:color w:val="333333"/>
          <w:sz w:val="32"/>
          <w:szCs w:val="32"/>
        </w:rPr>
        <w:t>供应商经营范围需与本项目相适宜（应包括但不限于电影放映、餐饮服务及食品销售等资质或票务代理资质）。供应商需提供营业执照扫描件。</w:t>
      </w:r>
    </w:p>
    <w:bookmarkEnd w:id="0"/>
    <w:p w:rsidR="00A63F5E" w:rsidRDefault="00BF526C" w:rsidP="00587E9C">
      <w:pPr>
        <w:pStyle w:val="a6"/>
        <w:shd w:val="clear" w:color="auto" w:fill="FFFFFF"/>
        <w:spacing w:before="0" w:beforeAutospacing="0" w:after="0" w:afterAutospacing="0" w:line="450" w:lineRule="atLeast"/>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lastRenderedPageBreak/>
        <w:t>2.</w:t>
      </w:r>
      <w:r>
        <w:rPr>
          <w:rFonts w:ascii="彩虹粗仿宋" w:eastAsia="彩虹粗仿宋" w:hAnsi="彩虹粗仿宋" w:cs="Segoe UI" w:hint="eastAsia"/>
          <w:color w:val="333333"/>
          <w:sz w:val="32"/>
          <w:szCs w:val="32"/>
        </w:rPr>
        <w:t>若供应商为自营或直营影院，应确保持有有效期内的电影放映资格许可证，并提供资格许可证扫描件；若供应商为代理或合作类影院，应确保合作影院持有有效期内的电影放映资格许可证，并提供相关合作合同、代理资格证明及合作影院的资格许可证扫描件。</w:t>
      </w:r>
    </w:p>
    <w:p w:rsidR="00A63F5E" w:rsidRDefault="00BF526C">
      <w:pPr>
        <w:pStyle w:val="a6"/>
        <w:shd w:val="clear" w:color="auto" w:fill="FFFFFF"/>
        <w:spacing w:before="0" w:beforeAutospacing="0" w:after="0" w:afterAutospacing="0" w:line="450" w:lineRule="atLeast"/>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3.</w:t>
      </w:r>
      <w:r>
        <w:rPr>
          <w:rFonts w:ascii="彩虹粗仿宋" w:eastAsia="彩虹粗仿宋" w:hAnsi="彩虹粗仿宋" w:cs="Segoe UI" w:hint="eastAsia"/>
          <w:color w:val="333333"/>
          <w:sz w:val="32"/>
          <w:szCs w:val="32"/>
        </w:rPr>
        <w:t>供应商或合作影院应在大连市下辖区市拥有至少一个可容纳</w:t>
      </w:r>
      <w:r>
        <w:rPr>
          <w:rFonts w:ascii="彩虹粗仿宋" w:eastAsia="彩虹粗仿宋" w:hAnsi="彩虹粗仿宋" w:cs="Segoe UI" w:hint="eastAsia"/>
          <w:color w:val="333333"/>
          <w:sz w:val="32"/>
          <w:szCs w:val="32"/>
        </w:rPr>
        <w:t>200</w:t>
      </w:r>
      <w:r>
        <w:rPr>
          <w:rFonts w:ascii="彩虹粗仿宋" w:eastAsia="彩虹粗仿宋" w:hAnsi="彩虹粗仿宋" w:cs="Segoe UI" w:hint="eastAsia"/>
          <w:color w:val="333333"/>
          <w:sz w:val="32"/>
          <w:szCs w:val="32"/>
        </w:rPr>
        <w:t>人以上的影厅，供应商应提供影厅照片并加盖公章。</w:t>
      </w:r>
    </w:p>
    <w:p w:rsidR="00A63F5E" w:rsidRDefault="00BF526C">
      <w:pPr>
        <w:pStyle w:val="a6"/>
        <w:shd w:val="clear" w:color="auto" w:fill="FFFFFF"/>
        <w:spacing w:before="0" w:beforeAutospacing="0" w:after="0" w:afterAutospacing="0" w:line="450" w:lineRule="atLeast"/>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4.</w:t>
      </w:r>
      <w:r>
        <w:rPr>
          <w:rFonts w:ascii="彩虹粗仿宋" w:eastAsia="彩虹粗仿宋" w:hAnsi="彩虹粗仿宋" w:cs="Segoe UI" w:hint="eastAsia"/>
          <w:color w:val="333333"/>
          <w:sz w:val="32"/>
          <w:szCs w:val="32"/>
        </w:rPr>
        <w:t>有与金融同业、国有企业、政府机构等开展观影服务活动的合作基础，承办过包场活动或在观影券类别</w:t>
      </w:r>
      <w:r>
        <w:rPr>
          <w:rFonts w:ascii="彩虹粗仿宋" w:eastAsia="彩虹粗仿宋" w:hAnsi="彩虹粗仿宋" w:cs="Segoe UI" w:hint="eastAsia"/>
          <w:color w:val="333333"/>
          <w:sz w:val="32"/>
          <w:szCs w:val="32"/>
        </w:rPr>
        <w:t>有成功合作案例。供应商需提供自</w:t>
      </w:r>
      <w:r>
        <w:rPr>
          <w:rFonts w:ascii="彩虹粗仿宋" w:eastAsia="彩虹粗仿宋" w:hAnsi="彩虹粗仿宋" w:cs="Segoe UI" w:hint="eastAsia"/>
          <w:color w:val="333333"/>
          <w:sz w:val="32"/>
          <w:szCs w:val="32"/>
        </w:rPr>
        <w:t>2022</w:t>
      </w:r>
      <w:r>
        <w:rPr>
          <w:rFonts w:ascii="彩虹粗仿宋" w:eastAsia="彩虹粗仿宋" w:hAnsi="彩虹粗仿宋" w:cs="Segoe UI" w:hint="eastAsia"/>
          <w:color w:val="333333"/>
          <w:sz w:val="32"/>
          <w:szCs w:val="32"/>
        </w:rPr>
        <w:t>年</w:t>
      </w:r>
      <w:r>
        <w:rPr>
          <w:rFonts w:ascii="彩虹粗仿宋" w:eastAsia="彩虹粗仿宋" w:hAnsi="彩虹粗仿宋" w:cs="Segoe UI" w:hint="eastAsia"/>
          <w:color w:val="333333"/>
          <w:sz w:val="32"/>
          <w:szCs w:val="32"/>
        </w:rPr>
        <w:t>2</w:t>
      </w:r>
      <w:r>
        <w:rPr>
          <w:rFonts w:ascii="彩虹粗仿宋" w:eastAsia="彩虹粗仿宋" w:hAnsi="彩虹粗仿宋" w:cs="Segoe UI" w:hint="eastAsia"/>
          <w:color w:val="333333"/>
          <w:sz w:val="32"/>
          <w:szCs w:val="32"/>
        </w:rPr>
        <w:t>月</w:t>
      </w:r>
      <w:r>
        <w:rPr>
          <w:rFonts w:ascii="彩虹粗仿宋" w:eastAsia="彩虹粗仿宋" w:hAnsi="彩虹粗仿宋" w:cs="Segoe UI" w:hint="eastAsia"/>
          <w:color w:val="333333"/>
          <w:sz w:val="32"/>
          <w:szCs w:val="32"/>
        </w:rPr>
        <w:t>1</w:t>
      </w:r>
      <w:r>
        <w:rPr>
          <w:rFonts w:ascii="彩虹粗仿宋" w:eastAsia="彩虹粗仿宋" w:hAnsi="彩虹粗仿宋" w:cs="Segoe UI" w:hint="eastAsia"/>
          <w:color w:val="333333"/>
          <w:sz w:val="32"/>
          <w:szCs w:val="32"/>
        </w:rPr>
        <w:t>日起与上述金融同业成功合作案例。</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二、服务品类</w:t>
      </w:r>
    </w:p>
    <w:p w:rsidR="00A63F5E" w:rsidRDefault="00BF526C">
      <w:pPr>
        <w:adjustRightInd w:val="0"/>
        <w:snapToGrid w:val="0"/>
        <w:spacing w:line="560" w:lineRule="atLeast"/>
        <w:ind w:firstLineChars="200" w:firstLine="640"/>
        <w:jc w:val="left"/>
        <w:rPr>
          <w:rFonts w:ascii="彩虹粗仿宋" w:hAnsi="微软雅黑" w:cs="宋体"/>
          <w:color w:val="333333"/>
          <w:kern w:val="0"/>
          <w:szCs w:val="32"/>
        </w:rPr>
      </w:pPr>
      <w:r>
        <w:rPr>
          <w:rFonts w:ascii="彩虹粗仿宋" w:hAnsi="微软雅黑" w:cs="宋体" w:hint="eastAsia"/>
          <w:color w:val="333333"/>
          <w:kern w:val="0"/>
          <w:szCs w:val="32"/>
        </w:rPr>
        <w:t>本次采购针对大连市分行个人客户开展观影服务，具体包括包场服务及影城观影券采购发放等，活动开展区域覆盖大连市下辖区市</w:t>
      </w:r>
    </w:p>
    <w:p w:rsidR="00A63F5E" w:rsidRDefault="00BF526C">
      <w:pPr>
        <w:adjustRightInd w:val="0"/>
        <w:snapToGrid w:val="0"/>
        <w:spacing w:line="560" w:lineRule="atLeast"/>
        <w:ind w:firstLineChars="200" w:firstLine="640"/>
        <w:jc w:val="left"/>
        <w:rPr>
          <w:rFonts w:ascii="彩虹粗仿宋" w:hAnsi="微软雅黑" w:cs="宋体"/>
          <w:color w:val="333333"/>
          <w:kern w:val="0"/>
          <w:szCs w:val="32"/>
        </w:rPr>
      </w:pPr>
      <w:r>
        <w:rPr>
          <w:rFonts w:ascii="彩虹粗仿宋" w:hAnsi="微软雅黑" w:cs="宋体" w:hint="eastAsia"/>
          <w:color w:val="333333"/>
          <w:kern w:val="0"/>
          <w:szCs w:val="32"/>
        </w:rPr>
        <w:t>客户观影服务共分二类，主要包括：</w:t>
      </w:r>
    </w:p>
    <w:p w:rsidR="00A63F5E" w:rsidRDefault="00BF526C">
      <w:pPr>
        <w:adjustRightInd w:val="0"/>
        <w:snapToGrid w:val="0"/>
        <w:spacing w:line="560" w:lineRule="atLeast"/>
        <w:ind w:firstLineChars="200" w:firstLine="640"/>
        <w:jc w:val="left"/>
        <w:rPr>
          <w:rFonts w:ascii="彩虹粗仿宋" w:hAnsi="微软雅黑" w:cs="宋体"/>
          <w:color w:val="333333"/>
          <w:kern w:val="0"/>
          <w:szCs w:val="32"/>
        </w:rPr>
      </w:pPr>
      <w:r>
        <w:rPr>
          <w:rFonts w:ascii="彩虹粗仿宋" w:hAnsi="微软雅黑" w:cs="宋体" w:hint="eastAsia"/>
          <w:color w:val="333333"/>
          <w:kern w:val="0"/>
          <w:szCs w:val="32"/>
        </w:rPr>
        <w:t>（一）包场服务：包场服务形式包括两种，一种为在影院开展；一种为在我行指定地点进行放映。</w:t>
      </w:r>
    </w:p>
    <w:p w:rsidR="00A63F5E" w:rsidRDefault="00BF526C">
      <w:pPr>
        <w:adjustRightInd w:val="0"/>
        <w:snapToGrid w:val="0"/>
        <w:spacing w:line="560" w:lineRule="atLeast"/>
        <w:ind w:firstLineChars="200" w:firstLine="640"/>
        <w:jc w:val="left"/>
        <w:rPr>
          <w:rFonts w:ascii="彩虹粗仿宋" w:hAnsi="微软雅黑" w:cs="宋体"/>
          <w:color w:val="333333"/>
          <w:kern w:val="0"/>
          <w:szCs w:val="32"/>
        </w:rPr>
      </w:pPr>
      <w:r>
        <w:rPr>
          <w:rFonts w:ascii="彩虹粗仿宋" w:hAnsi="微软雅黑" w:cs="宋体" w:hint="eastAsia"/>
          <w:color w:val="333333"/>
          <w:kern w:val="0"/>
          <w:szCs w:val="32"/>
        </w:rPr>
        <w:t>（二）观影券供应：提供观影券供我行各机构进行采购发放。</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三、服务内容</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（一）包场服务具体内容如下：</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lastRenderedPageBreak/>
        <w:t>1.</w:t>
      </w:r>
      <w:r>
        <w:rPr>
          <w:rFonts w:ascii="彩虹粗仿宋" w:hAnsi="宋体" w:hint="eastAsia"/>
          <w:snapToGrid w:val="0"/>
          <w:kern w:val="0"/>
          <w:szCs w:val="32"/>
        </w:rPr>
        <w:t>在影院开展，供应商需结合我行各机构对影片、人次、时间等需求，选择下辖影城适合影厅进行活动承接，并可提供多种小食组合供开展机构选择。</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Pr>
          <w:rFonts w:ascii="彩虹粗仿宋" w:hAnsi="宋体" w:hint="eastAsia"/>
          <w:snapToGrid w:val="0"/>
          <w:kern w:val="0"/>
          <w:szCs w:val="32"/>
        </w:rPr>
        <w:t>在我行指定地点进行放映，供应商需根据我行需求，提供相应设备上门放映，上门区域需覆盖报名中承诺服务片区。</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（二）观影券供应具体内容包括按照我行各机构营销需求，提供通用类观影券。观影券支持凭票至供应商所有门店内观影，除春节档影票及影片方要求支付差价的影片外，均不需要支付任何额外差价。</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四、服务团队</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w:t>
      </w:r>
      <w:r>
        <w:rPr>
          <w:rFonts w:ascii="彩虹粗仿宋" w:hAnsi="宋体" w:hint="eastAsia"/>
          <w:snapToGrid w:val="0"/>
          <w:kern w:val="0"/>
          <w:szCs w:val="32"/>
        </w:rPr>
        <w:t>供应商要明确</w:t>
      </w:r>
      <w:r>
        <w:rPr>
          <w:rFonts w:ascii="彩虹粗仿宋" w:hAnsi="宋体" w:hint="eastAsia"/>
          <w:snapToGrid w:val="0"/>
          <w:kern w:val="0"/>
          <w:szCs w:val="32"/>
        </w:rPr>
        <w:t>1</w:t>
      </w:r>
      <w:r>
        <w:rPr>
          <w:rFonts w:ascii="彩虹粗仿宋" w:hAnsi="宋体" w:hint="eastAsia"/>
          <w:snapToGrid w:val="0"/>
          <w:kern w:val="0"/>
          <w:szCs w:val="32"/>
        </w:rPr>
        <w:t>名专职项目经理，负责我行工作对接，处理三方事务及突发事件。</w:t>
      </w:r>
      <w:r>
        <w:rPr>
          <w:rFonts w:ascii="彩虹粗仿宋" w:hAnsi="宋体" w:hint="eastAsia"/>
          <w:snapToGrid w:val="0"/>
          <w:kern w:val="0"/>
          <w:szCs w:val="32"/>
        </w:rPr>
        <w:t>每次活动须保证</w:t>
      </w:r>
      <w:r>
        <w:rPr>
          <w:rFonts w:ascii="彩虹粗仿宋" w:hAnsi="宋体" w:hint="eastAsia"/>
          <w:snapToGrid w:val="0"/>
          <w:kern w:val="0"/>
          <w:szCs w:val="32"/>
        </w:rPr>
        <w:t>2</w:t>
      </w:r>
      <w:r>
        <w:rPr>
          <w:rFonts w:ascii="彩虹粗仿宋" w:hAnsi="宋体" w:hint="eastAsia"/>
          <w:snapToGrid w:val="0"/>
          <w:kern w:val="0"/>
          <w:szCs w:val="32"/>
        </w:rPr>
        <w:t>人以上的服务团队，负责活动的过程管理及后勤等相关事务。</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Pr>
          <w:rFonts w:ascii="彩虹粗仿宋" w:hAnsi="宋体" w:hint="eastAsia"/>
          <w:snapToGrid w:val="0"/>
          <w:kern w:val="0"/>
          <w:szCs w:val="32"/>
        </w:rPr>
        <w:t>供应商及指派给我行的服务人员应当对服务的内容以及履约过程中知悉或获得的所有有关建设银行商业秘密、客户资料等信息（即“保密信息”）予以保密，不得拷贝、携带我行文件资料，未经我行书面同意，不得将保密信息泄漏给任何第三方，供应商需与指派给我行的服务人员逐一签订保密协议。</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五、服务质量要求</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粗仿宋" w:hAnsi="彩虹粗仿宋" w:cs="Segoe UI" w:hint="eastAsia"/>
          <w:color w:val="333333"/>
          <w:szCs w:val="32"/>
        </w:rPr>
        <w:t>我行观影服务涉及大连市下辖各区市（包含普兰店、瓦房店、庄河等地），服务区域具体划分为</w:t>
      </w:r>
      <w:r>
        <w:rPr>
          <w:rFonts w:ascii="彩虹粗仿宋" w:hAnsi="彩虹粗仿宋" w:cs="Segoe UI" w:hint="eastAsia"/>
          <w:color w:val="333333"/>
          <w:szCs w:val="32"/>
        </w:rPr>
        <w:t>A/B/C</w:t>
      </w:r>
      <w:r>
        <w:rPr>
          <w:rFonts w:ascii="彩虹粗仿宋" w:hAnsi="彩虹粗仿宋" w:cs="Segoe UI" w:hint="eastAsia"/>
          <w:color w:val="333333"/>
          <w:szCs w:val="32"/>
        </w:rPr>
        <w:t>三个片区，其中</w:t>
      </w:r>
      <w:r>
        <w:rPr>
          <w:rFonts w:ascii="彩虹粗仿宋" w:hAnsi="彩虹粗仿宋" w:cs="Segoe UI" w:hint="eastAsia"/>
          <w:color w:val="333333"/>
          <w:szCs w:val="32"/>
        </w:rPr>
        <w:t>A</w:t>
      </w:r>
      <w:r>
        <w:rPr>
          <w:rFonts w:ascii="彩虹粗仿宋" w:hAnsi="彩虹粗仿宋" w:cs="Segoe UI" w:hint="eastAsia"/>
          <w:color w:val="333333"/>
          <w:szCs w:val="32"/>
        </w:rPr>
        <w:t>片区包括中山区、西岗区、沙河口区及甘井子区；</w:t>
      </w:r>
      <w:r>
        <w:rPr>
          <w:rFonts w:ascii="彩虹粗仿宋" w:hAnsi="彩虹粗仿宋" w:cs="Segoe UI" w:hint="eastAsia"/>
          <w:color w:val="333333"/>
          <w:szCs w:val="32"/>
        </w:rPr>
        <w:t>B</w:t>
      </w:r>
      <w:r>
        <w:rPr>
          <w:rFonts w:ascii="彩虹粗仿宋" w:hAnsi="彩虹粗仿宋" w:cs="Segoe UI" w:hint="eastAsia"/>
          <w:color w:val="333333"/>
          <w:szCs w:val="32"/>
        </w:rPr>
        <w:lastRenderedPageBreak/>
        <w:t>片区包括金州区及旅顺区；</w:t>
      </w:r>
      <w:r>
        <w:rPr>
          <w:rFonts w:ascii="彩虹粗仿宋" w:hAnsi="彩虹粗仿宋" w:cs="Segoe UI" w:hint="eastAsia"/>
          <w:color w:val="333333"/>
          <w:szCs w:val="32"/>
        </w:rPr>
        <w:t>C</w:t>
      </w:r>
      <w:r>
        <w:rPr>
          <w:rFonts w:ascii="彩虹粗仿宋" w:hAnsi="彩虹粗仿宋" w:cs="Segoe UI" w:hint="eastAsia"/>
          <w:color w:val="333333"/>
          <w:szCs w:val="32"/>
        </w:rPr>
        <w:t>片区包括普兰店市、瓦房店市及庄河市。供应商所提供服务，应至少</w:t>
      </w:r>
      <w:r>
        <w:rPr>
          <w:rFonts w:ascii="彩虹粗仿宋" w:hAnsi="彩虹粗仿宋" w:cs="Segoe UI" w:hint="eastAsia"/>
          <w:color w:val="333333"/>
          <w:szCs w:val="32"/>
        </w:rPr>
        <w:t>涉及</w:t>
      </w:r>
      <w:r>
        <w:rPr>
          <w:rFonts w:ascii="彩虹粗仿宋" w:hAnsi="彩虹粗仿宋" w:cs="Segoe UI" w:hint="eastAsia"/>
          <w:color w:val="333333"/>
          <w:szCs w:val="32"/>
        </w:rPr>
        <w:t>三个片区中任一片区</w:t>
      </w:r>
      <w:r>
        <w:rPr>
          <w:rFonts w:ascii="彩虹粗仿宋" w:hAnsi="彩虹粗仿宋" w:cs="Segoe UI" w:hint="eastAsia"/>
          <w:color w:val="333333"/>
          <w:szCs w:val="32"/>
        </w:rPr>
        <w:t>的任一具体区域</w:t>
      </w:r>
      <w:r>
        <w:rPr>
          <w:rFonts w:ascii="彩虹粗仿宋" w:hAnsi="彩虹粗仿宋" w:cs="Segoe UI" w:hint="eastAsia"/>
          <w:color w:val="333333"/>
          <w:szCs w:val="32"/>
        </w:rPr>
        <w:t>。</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（一）包场服务方面</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 xml:space="preserve">1. </w:t>
      </w:r>
      <w:r>
        <w:rPr>
          <w:rFonts w:ascii="彩虹粗仿宋" w:hAnsi="宋体" w:hint="eastAsia"/>
          <w:snapToGrid w:val="0"/>
          <w:kern w:val="0"/>
          <w:szCs w:val="32"/>
        </w:rPr>
        <w:t>供应商应确保能够及时承接分行各机构包场需求，按照各机构要求提供影片备选、结合参与活动人数安排适当的影厅，提供的小食应符合相关食品安全要求；能够支持分行辖内全部支行在承诺服务片区开展活动，不得全部或部分转包</w:t>
      </w:r>
      <w:r>
        <w:rPr>
          <w:rFonts w:ascii="彩虹粗仿宋" w:hAnsi="宋体" w:hint="eastAsia"/>
          <w:snapToGrid w:val="0"/>
          <w:kern w:val="0"/>
          <w:szCs w:val="32"/>
        </w:rPr>
        <w:t>。</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移动放映地点应覆盖承诺服务片区，供应商在报价中应包含设备运输等成本，并有专人负责产品售后服务，我行不再单独支付运输等费用；</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Pr>
          <w:rFonts w:ascii="彩虹粗仿宋" w:hAnsi="宋体" w:hint="eastAsia"/>
          <w:snapToGrid w:val="0"/>
          <w:kern w:val="0"/>
          <w:szCs w:val="32"/>
        </w:rPr>
        <w:t>供应商应保证所供物品及服务的质量，及时配合处理因物品及服务问题引起的客户投诉。</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Pr>
          <w:rFonts w:ascii="彩虹粗仿宋" w:hAnsi="宋体" w:hint="eastAsia"/>
          <w:snapToGrid w:val="0"/>
          <w:kern w:val="0"/>
          <w:szCs w:val="32"/>
        </w:rPr>
        <w:t>供应商在服务过程中不得有任何强制销售行为，能够按时履约、不得出现延误、材料短缺、材料质量参差等情况。应保证在订单下达后</w:t>
      </w:r>
      <w:r>
        <w:rPr>
          <w:rFonts w:ascii="彩虹粗仿宋" w:hAnsi="宋体" w:hint="eastAsia"/>
          <w:snapToGrid w:val="0"/>
          <w:kern w:val="0"/>
          <w:szCs w:val="32"/>
        </w:rPr>
        <w:t>5</w:t>
      </w:r>
      <w:r>
        <w:rPr>
          <w:rFonts w:ascii="彩虹粗仿宋" w:hAnsi="宋体" w:hint="eastAsia"/>
          <w:snapToGrid w:val="0"/>
          <w:kern w:val="0"/>
          <w:szCs w:val="32"/>
        </w:rPr>
        <w:t>个工作日内，即可开展活动。</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w:t>
      </w:r>
      <w:r>
        <w:rPr>
          <w:rFonts w:ascii="彩虹粗仿宋" w:hAnsi="宋体" w:hint="eastAsia"/>
          <w:snapToGrid w:val="0"/>
          <w:kern w:val="0"/>
          <w:szCs w:val="32"/>
        </w:rPr>
        <w:t>供应商服务人员对于服务过程中发现的安全隐患，及时采取措施，予以消除。提供服务过程中导致客户和我行工作人员造成损失的，由供应商全权负责。</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w:t>
      </w:r>
      <w:r>
        <w:rPr>
          <w:rFonts w:ascii="彩虹粗仿宋" w:hAnsi="宋体" w:hint="eastAsia"/>
          <w:snapToGrid w:val="0"/>
          <w:kern w:val="0"/>
          <w:szCs w:val="32"/>
        </w:rPr>
        <w:t>供应</w:t>
      </w:r>
      <w:r>
        <w:rPr>
          <w:rFonts w:ascii="彩虹粗仿宋" w:hAnsi="宋体" w:hint="eastAsia"/>
          <w:snapToGrid w:val="0"/>
          <w:kern w:val="0"/>
          <w:szCs w:val="32"/>
        </w:rPr>
        <w:t>商应提供服务电话，安排专人及时处理与服务相关的投诉纠纷，并承诺</w:t>
      </w:r>
      <w:r>
        <w:rPr>
          <w:rFonts w:ascii="彩虹粗仿宋" w:hAnsi="宋体" w:hint="eastAsia"/>
          <w:snapToGrid w:val="0"/>
          <w:kern w:val="0"/>
          <w:szCs w:val="32"/>
        </w:rPr>
        <w:t xml:space="preserve"> 24 </w:t>
      </w:r>
      <w:r>
        <w:rPr>
          <w:rFonts w:ascii="彩虹粗仿宋" w:hAnsi="宋体" w:hint="eastAsia"/>
          <w:snapToGrid w:val="0"/>
          <w:kern w:val="0"/>
          <w:szCs w:val="32"/>
        </w:rPr>
        <w:t>小时内予以解决；如发生与服务有关的事项变更，应配合我行做好客户的解释工作。</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（二）观影券供应方面</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lastRenderedPageBreak/>
        <w:t>1.</w:t>
      </w:r>
      <w:r>
        <w:rPr>
          <w:rFonts w:ascii="彩虹粗仿宋" w:hAnsi="宋体" w:hint="eastAsia"/>
          <w:snapToGrid w:val="0"/>
          <w:kern w:val="0"/>
          <w:szCs w:val="32"/>
        </w:rPr>
        <w:t>我行观影券送货地址为各营业机构，供应商在观影券报价中应包含配送成本，并有专人负责产品售后服务，我行不再单独支付配送费用；</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Pr>
          <w:rFonts w:ascii="彩虹粗仿宋" w:hAnsi="宋体" w:hint="eastAsia"/>
          <w:snapToGrid w:val="0"/>
          <w:kern w:val="0"/>
          <w:szCs w:val="32"/>
        </w:rPr>
        <w:t>供应商接到我行观影券订单后方可发货，应保证在订单下达后</w:t>
      </w:r>
      <w:r>
        <w:rPr>
          <w:rFonts w:ascii="彩虹粗仿宋" w:hAnsi="宋体" w:hint="eastAsia"/>
          <w:snapToGrid w:val="0"/>
          <w:kern w:val="0"/>
          <w:szCs w:val="32"/>
        </w:rPr>
        <w:t>5</w:t>
      </w:r>
      <w:r>
        <w:rPr>
          <w:rFonts w:ascii="彩虹粗仿宋" w:hAnsi="宋体" w:hint="eastAsia"/>
          <w:snapToGrid w:val="0"/>
          <w:kern w:val="0"/>
          <w:szCs w:val="32"/>
        </w:rPr>
        <w:t>个工作日内，将商品送达至建行指定地点，并送货上楼；</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w:t>
      </w:r>
      <w:r>
        <w:rPr>
          <w:rFonts w:ascii="彩虹粗仿宋" w:hAnsi="宋体" w:hint="eastAsia"/>
          <w:snapToGrid w:val="0"/>
          <w:kern w:val="0"/>
          <w:szCs w:val="32"/>
        </w:rPr>
        <w:t>在验收接货时，应双方工作人员同时现场进行，清点数量。</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六、服务供应安排</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能够满足我行业务需求，按具体下</w:t>
      </w:r>
      <w:r>
        <w:rPr>
          <w:rFonts w:ascii="彩虹粗仿宋" w:hAnsi="宋体" w:hint="eastAsia"/>
          <w:snapToGrid w:val="0"/>
          <w:kern w:val="0"/>
          <w:szCs w:val="32"/>
        </w:rPr>
        <w:t>单支行所需要求，在协商好的规定时间、地点，高质量开展好每场活动。</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七、款项支付要求</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w:t>
      </w:r>
      <w:r>
        <w:rPr>
          <w:rFonts w:ascii="彩虹粗仿宋" w:hAnsi="宋体" w:hint="eastAsia"/>
          <w:snapToGrid w:val="0"/>
          <w:kern w:val="0"/>
          <w:szCs w:val="32"/>
        </w:rPr>
        <w:t>在影院开展的包场活动应根据活动的实际参与人数确定支付金额。</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Pr>
          <w:rFonts w:hint="eastAsia"/>
        </w:rPr>
        <w:t xml:space="preserve"> </w:t>
      </w:r>
      <w:r>
        <w:rPr>
          <w:rFonts w:hint="eastAsia"/>
        </w:rPr>
        <w:t>包场服务</w:t>
      </w:r>
      <w:r>
        <w:rPr>
          <w:rFonts w:ascii="彩虹粗仿宋" w:hAnsi="宋体" w:hint="eastAsia"/>
          <w:snapToGrid w:val="0"/>
          <w:kern w:val="0"/>
          <w:szCs w:val="32"/>
        </w:rPr>
        <w:t>金额确定后，供应商开具发票，我行在收到供应商开具的当次支付金额的符合规定的增值税专用发票后，进行全额结算。</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观影券经建行验收合格后，供应商开具发票，我行在收到供应商开具的当次支付金额的符合规定的增值税专用发票后，进行全额结算。</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八、售后服务要求</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供应商应提供服务电话，安排专人及时处理与服务相关的投诉纠纷，并承诺</w:t>
      </w:r>
      <w:r>
        <w:rPr>
          <w:rFonts w:ascii="彩虹粗仿宋" w:hAnsi="宋体" w:hint="eastAsia"/>
          <w:snapToGrid w:val="0"/>
          <w:kern w:val="0"/>
          <w:szCs w:val="32"/>
        </w:rPr>
        <w:t xml:space="preserve"> 24 </w:t>
      </w:r>
      <w:r>
        <w:rPr>
          <w:rFonts w:ascii="彩虹粗仿宋" w:hAnsi="宋体" w:hint="eastAsia"/>
          <w:snapToGrid w:val="0"/>
          <w:kern w:val="0"/>
          <w:szCs w:val="32"/>
        </w:rPr>
        <w:t>小时内予以解决；如发生与服务有</w:t>
      </w:r>
      <w:r>
        <w:rPr>
          <w:rFonts w:ascii="彩虹粗仿宋" w:hAnsi="宋体" w:hint="eastAsia"/>
          <w:snapToGrid w:val="0"/>
          <w:kern w:val="0"/>
          <w:szCs w:val="32"/>
        </w:rPr>
        <w:t>关的事项变更，应配合我行做好客户的解释工作。</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lastRenderedPageBreak/>
        <w:t>九、报价要求</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w:t>
      </w:r>
      <w:r>
        <w:rPr>
          <w:rFonts w:ascii="彩虹粗仿宋" w:hAnsi="宋体" w:hint="eastAsia"/>
          <w:snapToGrid w:val="0"/>
          <w:kern w:val="0"/>
          <w:szCs w:val="32"/>
        </w:rPr>
        <w:t>在影院开展的包场服务可按照每名客户</w:t>
      </w:r>
      <w:r>
        <w:rPr>
          <w:rFonts w:ascii="彩虹粗仿宋" w:hAnsi="宋体" w:hint="eastAsia"/>
          <w:snapToGrid w:val="0"/>
          <w:kern w:val="0"/>
          <w:szCs w:val="32"/>
        </w:rPr>
        <w:t>2</w:t>
      </w:r>
      <w:r>
        <w:rPr>
          <w:rFonts w:ascii="彩虹粗仿宋" w:hAnsi="宋体" w:hint="eastAsia"/>
          <w:snapToGrid w:val="0"/>
          <w:kern w:val="0"/>
          <w:szCs w:val="32"/>
        </w:rPr>
        <w:t>张观影券及小食组合整体金额进行报价，可区分春节档及非春节档两类进行报价，同一价格下，我行下辖机构可自主选择</w:t>
      </w:r>
      <w:r>
        <w:rPr>
          <w:rFonts w:ascii="彩虹粗仿宋" w:hAnsi="宋体" w:hint="eastAsia"/>
          <w:snapToGrid w:val="0"/>
          <w:kern w:val="0"/>
          <w:szCs w:val="32"/>
        </w:rPr>
        <w:t>2D</w:t>
      </w:r>
      <w:r>
        <w:rPr>
          <w:rFonts w:ascii="彩虹粗仿宋" w:hAnsi="宋体" w:hint="eastAsia"/>
          <w:snapToGrid w:val="0"/>
          <w:kern w:val="0"/>
          <w:szCs w:val="32"/>
        </w:rPr>
        <w:t>或</w:t>
      </w:r>
      <w:r>
        <w:rPr>
          <w:rFonts w:ascii="彩虹粗仿宋" w:hAnsi="宋体" w:hint="eastAsia"/>
          <w:snapToGrid w:val="0"/>
          <w:kern w:val="0"/>
          <w:szCs w:val="32"/>
        </w:rPr>
        <w:t>3D</w:t>
      </w:r>
      <w:r>
        <w:rPr>
          <w:rFonts w:ascii="彩虹粗仿宋" w:hAnsi="宋体" w:hint="eastAsia"/>
          <w:snapToGrid w:val="0"/>
          <w:kern w:val="0"/>
          <w:szCs w:val="32"/>
        </w:rPr>
        <w:t>模式。</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Pr>
          <w:rFonts w:ascii="彩虹粗仿宋" w:hAnsi="宋体" w:hint="eastAsia"/>
          <w:snapToGrid w:val="0"/>
          <w:kern w:val="0"/>
          <w:szCs w:val="32"/>
        </w:rPr>
        <w:t>移动放映可按场次进行整体报价，价格应包含设备运输等放映所需全部费用，即我行支付单场费用后，可在大连市下辖市区任一地点开展移动放映。</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w:t>
      </w:r>
      <w:r>
        <w:rPr>
          <w:rFonts w:ascii="彩虹粗仿宋" w:hAnsi="宋体" w:hint="eastAsia"/>
          <w:snapToGrid w:val="0"/>
          <w:kern w:val="0"/>
          <w:szCs w:val="32"/>
        </w:rPr>
        <w:t>观影券供应请按照影票单价进行报价，我行客户持我行赠送的观影券后，可至供应商在大连市内辖内任一影城内观影，除春节档影票及影片方要求支付差价的影片外，均不需要支付任何额外差价。</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报价应包含该商品的成本、包装、保险、税金、配送、安装等一切费用（即包含商品送达到我行指定地址、达到可使用状态前的所有费用）。</w:t>
      </w:r>
    </w:p>
    <w:p w:rsidR="00A63F5E" w:rsidRDefault="00BF526C">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十、其他要求</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（一）拟采用“框架协议</w:t>
      </w:r>
      <w:r>
        <w:rPr>
          <w:rFonts w:ascii="彩虹粗仿宋" w:hAnsi="宋体" w:hint="eastAsia"/>
          <w:snapToGrid w:val="0"/>
          <w:kern w:val="0"/>
          <w:szCs w:val="32"/>
        </w:rPr>
        <w:t>+</w:t>
      </w:r>
      <w:r>
        <w:rPr>
          <w:rFonts w:ascii="彩虹粗仿宋" w:hAnsi="宋体" w:hint="eastAsia"/>
          <w:snapToGrid w:val="0"/>
          <w:kern w:val="0"/>
          <w:szCs w:val="32"/>
        </w:rPr>
        <w:t>订单”模式，自协议签订并生效之日开始，合同期限</w:t>
      </w:r>
      <w:r>
        <w:rPr>
          <w:rFonts w:ascii="彩虹粗仿宋" w:hAnsi="宋体" w:hint="eastAsia"/>
          <w:snapToGrid w:val="0"/>
          <w:kern w:val="0"/>
          <w:szCs w:val="32"/>
        </w:rPr>
        <w:t>2</w:t>
      </w:r>
      <w:r>
        <w:rPr>
          <w:rFonts w:ascii="彩虹粗仿宋" w:hAnsi="宋体" w:hint="eastAsia"/>
          <w:snapToGrid w:val="0"/>
          <w:kern w:val="0"/>
          <w:szCs w:val="32"/>
        </w:rPr>
        <w:t>年；</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（二）有下列情形之一的，将立即终止合作：</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w:t>
      </w:r>
      <w:r>
        <w:rPr>
          <w:rFonts w:ascii="彩虹粗仿宋" w:hAnsi="宋体" w:hint="eastAsia"/>
          <w:snapToGrid w:val="0"/>
          <w:kern w:val="0"/>
          <w:szCs w:val="32"/>
        </w:rPr>
        <w:t>1</w:t>
      </w:r>
      <w:r>
        <w:rPr>
          <w:rFonts w:ascii="彩虹粗仿宋" w:hAnsi="宋体" w:hint="eastAsia"/>
          <w:snapToGrid w:val="0"/>
          <w:kern w:val="0"/>
          <w:szCs w:val="32"/>
        </w:rPr>
        <w:t>）供应商自身经营条件发生变化，无法继续提供符合协议约定标准的服务；</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w:t>
      </w:r>
      <w:r>
        <w:rPr>
          <w:rFonts w:ascii="彩虹粗仿宋" w:hAnsi="宋体" w:hint="eastAsia"/>
          <w:snapToGrid w:val="0"/>
          <w:kern w:val="0"/>
          <w:szCs w:val="32"/>
        </w:rPr>
        <w:t>2</w:t>
      </w:r>
      <w:r>
        <w:rPr>
          <w:rFonts w:ascii="彩虹粗仿宋" w:hAnsi="宋体" w:hint="eastAsia"/>
          <w:snapToGrid w:val="0"/>
          <w:kern w:val="0"/>
          <w:szCs w:val="32"/>
        </w:rPr>
        <w:t>）供应商严重违反我行规章制度或未履行协议规定义务；</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w:t>
      </w:r>
      <w:r>
        <w:rPr>
          <w:rFonts w:ascii="彩虹粗仿宋" w:hAnsi="宋体" w:hint="eastAsia"/>
          <w:snapToGrid w:val="0"/>
          <w:kern w:val="0"/>
          <w:szCs w:val="32"/>
        </w:rPr>
        <w:t>3</w:t>
      </w:r>
      <w:r>
        <w:rPr>
          <w:rFonts w:ascii="彩虹粗仿宋" w:hAnsi="宋体" w:hint="eastAsia"/>
          <w:snapToGrid w:val="0"/>
          <w:kern w:val="0"/>
          <w:szCs w:val="32"/>
        </w:rPr>
        <w:t>）供应商违反信息保密有关规定导致我行业务、产</w:t>
      </w:r>
      <w:r>
        <w:rPr>
          <w:rFonts w:ascii="彩虹粗仿宋" w:hAnsi="宋体" w:hint="eastAsia"/>
          <w:snapToGrid w:val="0"/>
          <w:kern w:val="0"/>
          <w:szCs w:val="32"/>
        </w:rPr>
        <w:lastRenderedPageBreak/>
        <w:t>品信息或客户信息泄露；</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w:t>
      </w:r>
      <w:r>
        <w:rPr>
          <w:rFonts w:ascii="彩虹粗仿宋" w:hAnsi="宋体" w:hint="eastAsia"/>
          <w:snapToGrid w:val="0"/>
          <w:kern w:val="0"/>
          <w:szCs w:val="32"/>
        </w:rPr>
        <w:t>4</w:t>
      </w:r>
      <w:r>
        <w:rPr>
          <w:rFonts w:ascii="彩虹粗仿宋" w:hAnsi="宋体" w:hint="eastAsia"/>
          <w:snapToGrid w:val="0"/>
          <w:kern w:val="0"/>
          <w:szCs w:val="32"/>
        </w:rPr>
        <w:t>）供应商无法达到协议约定的服务标准，责令其限期整改后仍未得到明显改善；</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w:t>
      </w:r>
      <w:r>
        <w:rPr>
          <w:rFonts w:ascii="彩虹粗仿宋" w:hAnsi="宋体" w:hint="eastAsia"/>
          <w:snapToGrid w:val="0"/>
          <w:kern w:val="0"/>
          <w:szCs w:val="32"/>
        </w:rPr>
        <w:t>5</w:t>
      </w:r>
      <w:r>
        <w:rPr>
          <w:rFonts w:ascii="彩虹粗仿宋" w:hAnsi="宋体" w:hint="eastAsia"/>
          <w:snapToGrid w:val="0"/>
          <w:kern w:val="0"/>
          <w:szCs w:val="32"/>
        </w:rPr>
        <w:t>）供应商发生重大事故、案件；</w:t>
      </w:r>
    </w:p>
    <w:p w:rsidR="00A63F5E" w:rsidRDefault="00BF526C">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w:t>
      </w:r>
      <w:r>
        <w:rPr>
          <w:rFonts w:ascii="彩虹粗仿宋" w:hAnsi="宋体" w:hint="eastAsia"/>
          <w:snapToGrid w:val="0"/>
          <w:kern w:val="0"/>
          <w:szCs w:val="32"/>
        </w:rPr>
        <w:t>6</w:t>
      </w:r>
      <w:r>
        <w:rPr>
          <w:rFonts w:ascii="彩虹粗仿宋" w:hAnsi="宋体" w:hint="eastAsia"/>
          <w:snapToGrid w:val="0"/>
          <w:kern w:val="0"/>
          <w:szCs w:val="32"/>
        </w:rPr>
        <w:t>）存在其他国家法律法规、相关政策以及建设银行规定的禁止准入和停止业务关系的情形。</w:t>
      </w:r>
    </w:p>
    <w:p w:rsidR="00A63F5E" w:rsidRDefault="00A63F5E">
      <w:pPr>
        <w:adjustRightInd w:val="0"/>
        <w:snapToGrid w:val="0"/>
        <w:spacing w:line="560" w:lineRule="atLeast"/>
        <w:rPr>
          <w:szCs w:val="32"/>
        </w:rPr>
      </w:pPr>
    </w:p>
    <w:p w:rsidR="00A63F5E" w:rsidRDefault="00A63F5E">
      <w:pPr>
        <w:adjustRightInd w:val="0"/>
        <w:snapToGrid w:val="0"/>
        <w:spacing w:line="560" w:lineRule="atLeast"/>
        <w:rPr>
          <w:szCs w:val="32"/>
        </w:rPr>
      </w:pPr>
    </w:p>
    <w:sectPr w:rsidR="00A63F5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26C" w:rsidRDefault="00BF526C">
      <w:r>
        <w:separator/>
      </w:r>
    </w:p>
  </w:endnote>
  <w:endnote w:type="continuationSeparator" w:id="0">
    <w:p w:rsidR="00BF526C" w:rsidRDefault="00BF5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2010609000101010101"/>
    <w:charset w:val="86"/>
    <w:family w:val="modern"/>
    <w:pitch w:val="fixed"/>
    <w:sig w:usb0="00000001" w:usb1="080E0000" w:usb2="00000010" w:usb3="00000000" w:csb0="00040000" w:csb1="00000000"/>
  </w:font>
  <w:font w:name="彩虹小标宋">
    <w:panose1 w:val="02010609000101010101"/>
    <w:charset w:val="86"/>
    <w:family w:val="modern"/>
    <w:pitch w:val="fixed"/>
    <w:sig w:usb0="00000001" w:usb1="080E0000" w:usb2="00000010" w:usb3="00000000" w:csb0="00040000" w:csb1="00000000"/>
  </w:font>
  <w:font w:name="彩虹黑体">
    <w:panose1 w:val="02010609000101010101"/>
    <w:charset w:val="86"/>
    <w:family w:val="modern"/>
    <w:pitch w:val="fixed"/>
    <w:sig w:usb0="00000001" w:usb1="080E0000" w:usb2="00000010" w:usb3="00000000" w:csb0="00040000" w:csb1="00000000"/>
  </w:font>
  <w:font w:name="Segoe UI">
    <w:altName w:val="Noto Naskh Arabic"/>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
    </w:sdtPr>
    <w:sdtEndPr/>
    <w:sdtContent>
      <w:p w:rsidR="00A63F5E" w:rsidRDefault="00BF526C">
        <w:pPr>
          <w:pStyle w:val="a4"/>
          <w:jc w:val="right"/>
        </w:pPr>
        <w:r>
          <w:fldChar w:fldCharType="begin"/>
        </w:r>
        <w:r>
          <w:instrText>PAGE   \* MERGEFORMAT</w:instrText>
        </w:r>
        <w:r>
          <w:fldChar w:fldCharType="separate"/>
        </w:r>
        <w:r w:rsidR="00587E9C" w:rsidRPr="00587E9C">
          <w:rPr>
            <w:noProof/>
            <w:lang w:val="zh-CN"/>
          </w:rPr>
          <w:t>3</w:t>
        </w:r>
        <w:r>
          <w:fldChar w:fldCharType="end"/>
        </w:r>
      </w:p>
    </w:sdtContent>
  </w:sdt>
  <w:p w:rsidR="00A63F5E" w:rsidRDefault="00A63F5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26C" w:rsidRDefault="00BF526C">
      <w:r>
        <w:separator/>
      </w:r>
    </w:p>
  </w:footnote>
  <w:footnote w:type="continuationSeparator" w:id="0">
    <w:p w:rsidR="00BF526C" w:rsidRDefault="00BF52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9865D4"/>
    <w:multiLevelType w:val="multilevel"/>
    <w:tmpl w:val="739865D4"/>
    <w:lvl w:ilvl="0">
      <w:start w:val="1"/>
      <w:numFmt w:val="japaneseCounting"/>
      <w:lvlText w:val="（%1）"/>
      <w:lvlJc w:val="left"/>
      <w:pPr>
        <w:ind w:left="1723" w:hanging="108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3D4"/>
    <w:rsid w:val="A7DE2898"/>
    <w:rsid w:val="00015D08"/>
    <w:rsid w:val="00033053"/>
    <w:rsid w:val="000351E7"/>
    <w:rsid w:val="00051503"/>
    <w:rsid w:val="00071683"/>
    <w:rsid w:val="000A4B6A"/>
    <w:rsid w:val="000B42DC"/>
    <w:rsid w:val="000E5D83"/>
    <w:rsid w:val="00125CE8"/>
    <w:rsid w:val="00130E98"/>
    <w:rsid w:val="00150852"/>
    <w:rsid w:val="0015149E"/>
    <w:rsid w:val="00152D49"/>
    <w:rsid w:val="00176BEE"/>
    <w:rsid w:val="00184078"/>
    <w:rsid w:val="001B0BAE"/>
    <w:rsid w:val="001C02BF"/>
    <w:rsid w:val="001C13D4"/>
    <w:rsid w:val="001C5BBE"/>
    <w:rsid w:val="001E1CE8"/>
    <w:rsid w:val="001E639F"/>
    <w:rsid w:val="001E6F1A"/>
    <w:rsid w:val="0020712E"/>
    <w:rsid w:val="002B75D0"/>
    <w:rsid w:val="002E171B"/>
    <w:rsid w:val="00317AC6"/>
    <w:rsid w:val="003241E0"/>
    <w:rsid w:val="0032595E"/>
    <w:rsid w:val="00345967"/>
    <w:rsid w:val="00352D2B"/>
    <w:rsid w:val="00396919"/>
    <w:rsid w:val="00396D99"/>
    <w:rsid w:val="003C456C"/>
    <w:rsid w:val="003D37EB"/>
    <w:rsid w:val="003E267E"/>
    <w:rsid w:val="003E3ADE"/>
    <w:rsid w:val="003F1902"/>
    <w:rsid w:val="003F2D30"/>
    <w:rsid w:val="004025E8"/>
    <w:rsid w:val="00411CD8"/>
    <w:rsid w:val="00425AD1"/>
    <w:rsid w:val="004361E7"/>
    <w:rsid w:val="00437CC8"/>
    <w:rsid w:val="0045787D"/>
    <w:rsid w:val="004655F5"/>
    <w:rsid w:val="00473C93"/>
    <w:rsid w:val="00481498"/>
    <w:rsid w:val="00481E18"/>
    <w:rsid w:val="00487449"/>
    <w:rsid w:val="004951D6"/>
    <w:rsid w:val="004B20C9"/>
    <w:rsid w:val="004C0DDA"/>
    <w:rsid w:val="004D4F7D"/>
    <w:rsid w:val="004D7A99"/>
    <w:rsid w:val="004F3402"/>
    <w:rsid w:val="00521E6B"/>
    <w:rsid w:val="005411F6"/>
    <w:rsid w:val="005525BF"/>
    <w:rsid w:val="00565DCF"/>
    <w:rsid w:val="00587E9C"/>
    <w:rsid w:val="005977D9"/>
    <w:rsid w:val="005A1860"/>
    <w:rsid w:val="005B2168"/>
    <w:rsid w:val="005D4587"/>
    <w:rsid w:val="005D458C"/>
    <w:rsid w:val="005E776C"/>
    <w:rsid w:val="005F2B82"/>
    <w:rsid w:val="0060698B"/>
    <w:rsid w:val="00634B63"/>
    <w:rsid w:val="0064057E"/>
    <w:rsid w:val="00641520"/>
    <w:rsid w:val="00657425"/>
    <w:rsid w:val="00666C08"/>
    <w:rsid w:val="006814CD"/>
    <w:rsid w:val="006825FD"/>
    <w:rsid w:val="00692AD8"/>
    <w:rsid w:val="00697341"/>
    <w:rsid w:val="006B34BB"/>
    <w:rsid w:val="006B6D80"/>
    <w:rsid w:val="00701DC2"/>
    <w:rsid w:val="00736824"/>
    <w:rsid w:val="007416D5"/>
    <w:rsid w:val="007530DE"/>
    <w:rsid w:val="0076418A"/>
    <w:rsid w:val="00771181"/>
    <w:rsid w:val="007A4168"/>
    <w:rsid w:val="007C069E"/>
    <w:rsid w:val="007E6D89"/>
    <w:rsid w:val="00813292"/>
    <w:rsid w:val="00852E1E"/>
    <w:rsid w:val="00855BA7"/>
    <w:rsid w:val="00864096"/>
    <w:rsid w:val="00864319"/>
    <w:rsid w:val="00882EDC"/>
    <w:rsid w:val="008908C0"/>
    <w:rsid w:val="008A029C"/>
    <w:rsid w:val="008E5228"/>
    <w:rsid w:val="008F29E8"/>
    <w:rsid w:val="00906C70"/>
    <w:rsid w:val="00907F53"/>
    <w:rsid w:val="00915ABC"/>
    <w:rsid w:val="00934523"/>
    <w:rsid w:val="00966659"/>
    <w:rsid w:val="009B3784"/>
    <w:rsid w:val="009B76E0"/>
    <w:rsid w:val="009C6B17"/>
    <w:rsid w:val="00A13B77"/>
    <w:rsid w:val="00A1494E"/>
    <w:rsid w:val="00A63F5E"/>
    <w:rsid w:val="00A929E3"/>
    <w:rsid w:val="00AA4A4C"/>
    <w:rsid w:val="00AC5263"/>
    <w:rsid w:val="00AE0CAF"/>
    <w:rsid w:val="00AF07A4"/>
    <w:rsid w:val="00B10860"/>
    <w:rsid w:val="00B27BED"/>
    <w:rsid w:val="00B30AB1"/>
    <w:rsid w:val="00B30DF3"/>
    <w:rsid w:val="00B367CD"/>
    <w:rsid w:val="00B64F62"/>
    <w:rsid w:val="00B801AA"/>
    <w:rsid w:val="00B87A7F"/>
    <w:rsid w:val="00BC177D"/>
    <w:rsid w:val="00BD284F"/>
    <w:rsid w:val="00BF526C"/>
    <w:rsid w:val="00C03F8A"/>
    <w:rsid w:val="00C05C96"/>
    <w:rsid w:val="00C1586F"/>
    <w:rsid w:val="00C274C1"/>
    <w:rsid w:val="00C40A1E"/>
    <w:rsid w:val="00C45D82"/>
    <w:rsid w:val="00C511F8"/>
    <w:rsid w:val="00C813FC"/>
    <w:rsid w:val="00C90B72"/>
    <w:rsid w:val="00CB175E"/>
    <w:rsid w:val="00CC61C7"/>
    <w:rsid w:val="00CD3657"/>
    <w:rsid w:val="00CD36A3"/>
    <w:rsid w:val="00D00A2D"/>
    <w:rsid w:val="00D03367"/>
    <w:rsid w:val="00D03491"/>
    <w:rsid w:val="00D1036D"/>
    <w:rsid w:val="00D34862"/>
    <w:rsid w:val="00D35DB4"/>
    <w:rsid w:val="00D5052A"/>
    <w:rsid w:val="00D51B65"/>
    <w:rsid w:val="00D62905"/>
    <w:rsid w:val="00D762C7"/>
    <w:rsid w:val="00D92050"/>
    <w:rsid w:val="00D948D2"/>
    <w:rsid w:val="00DA6235"/>
    <w:rsid w:val="00DD5816"/>
    <w:rsid w:val="00DD6BAE"/>
    <w:rsid w:val="00E0780B"/>
    <w:rsid w:val="00E1364B"/>
    <w:rsid w:val="00E37E89"/>
    <w:rsid w:val="00E40783"/>
    <w:rsid w:val="00E54292"/>
    <w:rsid w:val="00E654E8"/>
    <w:rsid w:val="00E80478"/>
    <w:rsid w:val="00E8324E"/>
    <w:rsid w:val="00EA6D26"/>
    <w:rsid w:val="00EB4F3F"/>
    <w:rsid w:val="00EB6CDB"/>
    <w:rsid w:val="00EC5BE5"/>
    <w:rsid w:val="00ED07A2"/>
    <w:rsid w:val="00EE1170"/>
    <w:rsid w:val="00EF02EE"/>
    <w:rsid w:val="00F0155A"/>
    <w:rsid w:val="00F4228C"/>
    <w:rsid w:val="00F43517"/>
    <w:rsid w:val="00F523C5"/>
    <w:rsid w:val="00F90F8D"/>
    <w:rsid w:val="00F92C08"/>
    <w:rsid w:val="00FC497D"/>
    <w:rsid w:val="00FD4656"/>
    <w:rsid w:val="00FF4995"/>
    <w:rsid w:val="00FF5534"/>
    <w:rsid w:val="3FAFB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qFormat/>
    <w:rPr>
      <w:rFonts w:ascii="Times New Roman" w:eastAsia="彩虹粗仿宋" w:hAnsi="Times New Roman" w:cs="Times New Roman"/>
      <w:sz w:val="18"/>
      <w:szCs w:val="18"/>
    </w:rPr>
  </w:style>
  <w:style w:type="character" w:customStyle="1" w:styleId="info">
    <w:name w:val="info"/>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qFormat/>
    <w:rPr>
      <w:rFonts w:ascii="Times New Roman" w:eastAsia="彩虹粗仿宋" w:hAnsi="Times New Roman" w:cs="Times New Roman"/>
      <w:sz w:val="18"/>
      <w:szCs w:val="18"/>
    </w:rPr>
  </w:style>
  <w:style w:type="character" w:customStyle="1" w:styleId="info">
    <w:name w:val="info"/>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497</Words>
  <Characters>2838</Characters>
  <Application>Microsoft Office Word</Application>
  <DocSecurity>0</DocSecurity>
  <Lines>23</Lines>
  <Paragraphs>6</Paragraphs>
  <ScaleCrop>false</ScaleCrop>
  <Company/>
  <LinksUpToDate>false</LinksUpToDate>
  <CharactersWithSpaces>3329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王妍</dc:creator>
  <cp:lastModifiedBy>徐丹</cp:lastModifiedBy>
  <cp:revision>2</cp:revision>
  <cp:lastPrinted>2025-06-10T17:39:00Z</cp:lastPrinted>
  <dcterms:created xsi:type="dcterms:W3CDTF">2025-10-15T06:28:00Z</dcterms:created>
  <dcterms:modified xsi:type="dcterms:W3CDTF">2025-10-15T06:28:00Z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3E7CA19011141739FC20EE6812BD4F7F_42</vt:lpwstr>
  </property>
</Properties>
</file>