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z w:val="44"/>
          <w:szCs w:val="44"/>
        </w:rPr>
      </w:pPr>
      <w:r>
        <w:rPr>
          <w:rFonts w:hint="eastAsia" w:ascii="彩虹小标宋" w:eastAsia="彩虹小标宋"/>
          <w:sz w:val="44"/>
          <w:szCs w:val="44"/>
        </w:rPr>
        <w:t>采购需求</w:t>
      </w:r>
    </w:p>
    <w:p>
      <w:pPr>
        <w:rPr>
          <w:rFonts w:ascii="彩虹粗仿宋"/>
        </w:rPr>
      </w:pP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一、采购项目名称</w:t>
      </w:r>
    </w:p>
    <w:p>
      <w:pPr>
        <w:spacing w:line="600" w:lineRule="exact"/>
        <w:ind w:firstLine="640" w:firstLineChars="200"/>
        <w:rPr>
          <w:rFonts w:ascii="彩虹粗仿宋" w:hAnsi="Times New Roman" w:eastAsia="彩虹粗仿宋" w:cs="Times New Roman"/>
          <w:sz w:val="32"/>
          <w:szCs w:val="24"/>
        </w:rPr>
      </w:pPr>
      <w:r>
        <w:rPr>
          <w:rFonts w:hint="eastAsia" w:ascii="彩虹粗仿宋" w:hAnsi="Times New Roman" w:eastAsia="彩虹粗仿宋" w:cs="Times New Roman"/>
          <w:sz w:val="32"/>
          <w:szCs w:val="24"/>
        </w:rPr>
        <w:t>塔河十八站支行2026年-2028年寄库服务外包采购项目。</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二、供应商要求</w:t>
      </w:r>
    </w:p>
    <w:p>
      <w:pPr>
        <w:spacing w:line="600" w:lineRule="exact"/>
        <w:ind w:firstLine="640" w:firstLineChars="200"/>
        <w:rPr>
          <w:rFonts w:ascii="彩虹粗仿宋" w:eastAsia="彩虹粗仿宋"/>
          <w:sz w:val="32"/>
        </w:rPr>
      </w:pPr>
      <w:r>
        <w:rPr>
          <w:rFonts w:hint="eastAsia" w:ascii="彩虹粗仿宋" w:hAnsi="Calibri" w:eastAsia="彩虹粗仿宋" w:cs="宋体"/>
          <w:bCs/>
          <w:kern w:val="0"/>
          <w:sz w:val="32"/>
          <w:szCs w:val="32"/>
        </w:rPr>
        <w:t>1.供应商具备营业执照，为中华人民共和国境内合法注册的独立法人或其他组织，具有承担民事责任的能力，</w:t>
      </w:r>
      <w:r>
        <w:rPr>
          <w:rFonts w:hint="eastAsia" w:ascii="彩虹粗仿宋" w:eastAsia="彩虹粗仿宋"/>
          <w:sz w:val="32"/>
        </w:rPr>
        <w:t>具备本项目相应的服务能力。</w:t>
      </w:r>
    </w:p>
    <w:p>
      <w:pPr>
        <w:spacing w:line="600" w:lineRule="exact"/>
        <w:ind w:firstLine="640" w:firstLineChars="200"/>
        <w:rPr>
          <w:rFonts w:ascii="彩虹粗仿宋" w:eastAsia="彩虹粗仿宋"/>
          <w:sz w:val="32"/>
        </w:rPr>
      </w:pPr>
      <w:r>
        <w:rPr>
          <w:rFonts w:hint="eastAsia" w:ascii="彩虹粗仿宋" w:eastAsia="彩虹粗仿宋"/>
          <w:sz w:val="32"/>
        </w:rPr>
        <w:t>2.供应商遵守国家有关法律、法规，具有良好的商业信誉和健全的财务会计制度。</w:t>
      </w:r>
    </w:p>
    <w:p>
      <w:pPr>
        <w:spacing w:line="600" w:lineRule="exact"/>
        <w:ind w:firstLine="640" w:firstLineChars="200"/>
        <w:rPr>
          <w:rFonts w:ascii="彩虹粗仿宋" w:eastAsia="彩虹粗仿宋"/>
          <w:sz w:val="32"/>
        </w:rPr>
      </w:pPr>
      <w:r>
        <w:rPr>
          <w:rFonts w:hint="eastAsia" w:ascii="彩虹粗仿宋" w:eastAsia="彩虹粗仿宋"/>
          <w:sz w:val="32"/>
        </w:rPr>
        <w:t>3.供应商当前未处于限制开展生产经营活动、责令停产停业、责令关闭、限制从业等重大行政处罚期内。</w:t>
      </w:r>
    </w:p>
    <w:p>
      <w:pPr>
        <w:spacing w:line="600" w:lineRule="exact"/>
        <w:ind w:firstLine="640" w:firstLineChars="200"/>
        <w:rPr>
          <w:rFonts w:ascii="彩虹粗仿宋" w:eastAsia="彩虹粗仿宋"/>
          <w:sz w:val="32"/>
        </w:rPr>
      </w:pPr>
      <w:r>
        <w:rPr>
          <w:rFonts w:hint="eastAsia" w:ascii="彩虹粗仿宋" w:eastAsia="彩虹粗仿宋"/>
          <w:sz w:val="32"/>
        </w:rPr>
        <w:t>4. 供应商法定代表人（负责人）为同一人或存在控股、管理关系的不同申请人，不得同时参加本项目。</w:t>
      </w:r>
    </w:p>
    <w:p>
      <w:pPr>
        <w:spacing w:line="600" w:lineRule="exact"/>
        <w:ind w:firstLine="640" w:firstLineChars="200"/>
        <w:rPr>
          <w:rFonts w:ascii="彩虹粗仿宋" w:eastAsia="彩虹粗仿宋"/>
          <w:sz w:val="32"/>
        </w:rPr>
      </w:pPr>
      <w:r>
        <w:rPr>
          <w:rFonts w:hint="eastAsia" w:ascii="彩虹粗仿宋" w:eastAsia="彩虹粗仿宋"/>
          <w:sz w:val="32"/>
        </w:rPr>
        <w:t>5. 供应商与建设银行不存在利益冲突，不存在损害建设银行合法利益和声誉的情形，不存在针对建设银行的重大诚信问题。</w:t>
      </w:r>
    </w:p>
    <w:p>
      <w:pPr>
        <w:spacing w:line="600" w:lineRule="exact"/>
        <w:ind w:firstLine="640" w:firstLineChars="200"/>
        <w:rPr>
          <w:rFonts w:ascii="彩虹粗仿宋" w:eastAsia="彩虹粗仿宋"/>
          <w:sz w:val="32"/>
        </w:rPr>
      </w:pPr>
      <w:r>
        <w:rPr>
          <w:rFonts w:hint="eastAsia" w:ascii="彩虹粗仿宋" w:eastAsia="彩虹粗仿宋"/>
          <w:sz w:val="32"/>
        </w:rPr>
        <w:t>6. 供应商在法律和财务上独立、合法运作并独立于建设银行和招标代理机构。</w:t>
      </w:r>
    </w:p>
    <w:p>
      <w:pPr>
        <w:spacing w:line="600" w:lineRule="exact"/>
        <w:ind w:firstLine="640" w:firstLineChars="200"/>
        <w:rPr>
          <w:rFonts w:ascii="彩虹粗仿宋" w:eastAsia="彩虹粗仿宋"/>
          <w:sz w:val="32"/>
        </w:rPr>
      </w:pPr>
      <w:r>
        <w:rPr>
          <w:rFonts w:hint="eastAsia" w:ascii="彩虹粗仿宋" w:eastAsia="彩虹粗仿宋"/>
          <w:sz w:val="32"/>
        </w:rPr>
        <w:t>7.供应商承诺在本项目招标过程中不存在下列情形，如存在下列情形之一，招标人有权取消其投标或中标资格。情形包括但不限于：</w:t>
      </w:r>
    </w:p>
    <w:p>
      <w:pPr>
        <w:spacing w:line="600" w:lineRule="exact"/>
        <w:ind w:firstLine="640" w:firstLineChars="200"/>
        <w:rPr>
          <w:rFonts w:ascii="彩虹粗仿宋" w:eastAsia="彩虹粗仿宋"/>
          <w:sz w:val="32"/>
        </w:rPr>
      </w:pPr>
      <w:r>
        <w:rPr>
          <w:rFonts w:hint="eastAsia" w:ascii="彩虹粗仿宋" w:eastAsia="彩虹粗仿宋"/>
          <w:sz w:val="32"/>
        </w:rPr>
        <w:t>（1）法定代表人（负责人）在生产经营活动中受到刑事处罚；</w:t>
      </w:r>
    </w:p>
    <w:p>
      <w:pPr>
        <w:spacing w:line="600" w:lineRule="exact"/>
        <w:ind w:firstLine="640" w:firstLineChars="200"/>
        <w:rPr>
          <w:rFonts w:ascii="彩虹粗仿宋" w:eastAsia="彩虹粗仿宋"/>
          <w:sz w:val="32"/>
        </w:rPr>
      </w:pPr>
      <w:r>
        <w:rPr>
          <w:rFonts w:hint="eastAsia" w:ascii="彩虹粗仿宋" w:eastAsia="彩虹粗仿宋"/>
          <w:sz w:val="32"/>
        </w:rPr>
        <w:t>（2）重大并购或重组，影响正常生产经营；</w:t>
      </w:r>
    </w:p>
    <w:p>
      <w:pPr>
        <w:spacing w:line="600" w:lineRule="exact"/>
        <w:ind w:firstLine="640" w:firstLineChars="200"/>
        <w:rPr>
          <w:rFonts w:ascii="彩虹粗仿宋" w:eastAsia="彩虹粗仿宋"/>
          <w:sz w:val="32"/>
        </w:rPr>
      </w:pPr>
      <w:r>
        <w:rPr>
          <w:rFonts w:hint="eastAsia" w:ascii="彩虹粗仿宋" w:eastAsia="彩虹粗仿宋"/>
          <w:sz w:val="32"/>
        </w:rPr>
        <w:t>（3）申请人或其法定代表人（负责人）处于建设银行内部巡视、监察等调查过程中，可能严重影响建设银行声誉或权益；</w:t>
      </w:r>
    </w:p>
    <w:p>
      <w:pPr>
        <w:spacing w:line="600" w:lineRule="exact"/>
        <w:ind w:firstLine="640" w:firstLineChars="200"/>
        <w:rPr>
          <w:rFonts w:ascii="彩虹粗仿宋" w:eastAsia="彩虹粗仿宋"/>
          <w:sz w:val="32"/>
        </w:rPr>
      </w:pPr>
      <w:r>
        <w:rPr>
          <w:rFonts w:hint="eastAsia" w:ascii="彩虹粗仿宋" w:eastAsia="彩虹粗仿宋"/>
          <w:sz w:val="32"/>
        </w:rPr>
        <w:t>（4）其他重大风险事项，影响正常采购合作。</w:t>
      </w:r>
    </w:p>
    <w:p>
      <w:pPr>
        <w:spacing w:line="600" w:lineRule="exact"/>
        <w:ind w:firstLine="640" w:firstLineChars="200"/>
        <w:rPr>
          <w:rFonts w:ascii="彩虹粗仿宋" w:eastAsia="彩虹粗仿宋"/>
          <w:sz w:val="32"/>
        </w:rPr>
      </w:pPr>
      <w:r>
        <w:rPr>
          <w:rFonts w:hint="eastAsia" w:ascii="彩虹粗仿宋" w:eastAsia="彩虹粗仿宋"/>
          <w:sz w:val="32"/>
        </w:rPr>
        <w:t>8. 供应商提供的产品或服务不存在任何侵犯第三方知识产权的情形。如果第三方声称供应商向建设银行提供的产品或服务侵犯其知识产权，并已就此对建设银行或供应商提起（包括威胁提起或很可能提起）法律诉讼程序或知识产权行政执法程序（简称侵权诉讼），一方自知悉上述事项起将立即书面通知另一方，建设银行有权采取相应措施，供应商将依法承担全部责任。</w:t>
      </w:r>
    </w:p>
    <w:p>
      <w:pPr>
        <w:spacing w:line="600" w:lineRule="exact"/>
        <w:ind w:firstLine="640" w:firstLineChars="200"/>
        <w:rPr>
          <w:rFonts w:ascii="彩虹粗仿宋" w:eastAsia="彩虹粗仿宋"/>
          <w:sz w:val="32"/>
        </w:rPr>
      </w:pPr>
      <w:r>
        <w:rPr>
          <w:rFonts w:hint="eastAsia" w:ascii="彩虹粗仿宋" w:eastAsia="彩虹粗仿宋"/>
          <w:sz w:val="32"/>
        </w:rPr>
        <w:t>9.供应商在资格审查时未处于中国建设银行供应商暂停合作、禁用或退出期内。</w:t>
      </w:r>
    </w:p>
    <w:p>
      <w:pPr>
        <w:spacing w:line="600" w:lineRule="exact"/>
        <w:ind w:firstLine="640" w:firstLineChars="200"/>
        <w:rPr>
          <w:rFonts w:ascii="彩虹粗仿宋" w:eastAsia="彩虹粗仿宋"/>
          <w:sz w:val="32"/>
        </w:rPr>
      </w:pPr>
      <w:r>
        <w:rPr>
          <w:rFonts w:hint="eastAsia" w:ascii="彩虹粗仿宋" w:eastAsia="彩虹粗仿宋"/>
          <w:sz w:val="32"/>
        </w:rPr>
        <w:t>10.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spacing w:line="600" w:lineRule="exact"/>
        <w:ind w:firstLine="640" w:firstLineChars="200"/>
        <w:rPr>
          <w:rFonts w:ascii="彩虹粗仿宋" w:eastAsia="彩虹粗仿宋"/>
          <w:sz w:val="32"/>
        </w:rPr>
      </w:pPr>
      <w:r>
        <w:rPr>
          <w:rFonts w:hint="eastAsia" w:ascii="彩虹粗仿宋" w:eastAsia="彩虹粗仿宋"/>
          <w:sz w:val="32"/>
        </w:rPr>
        <w:t>11.供应商近三年（</w:t>
      </w:r>
      <w:r>
        <w:rPr>
          <w:rFonts w:hint="eastAsia" w:ascii="彩虹粗仿宋" w:eastAsia="彩虹粗仿宋"/>
          <w:color w:val="FF0000"/>
          <w:sz w:val="32"/>
        </w:rPr>
        <w:t>2023年1月1日-投标截止时间</w:t>
      </w:r>
      <w:r>
        <w:rPr>
          <w:rFonts w:hint="eastAsia" w:ascii="彩虹粗仿宋" w:eastAsia="彩虹粗仿宋"/>
          <w:sz w:val="32"/>
        </w:rPr>
        <w:t>）具有至少一项单项合同金额在</w:t>
      </w:r>
      <w:r>
        <w:rPr>
          <w:rFonts w:hint="eastAsia" w:ascii="彩虹粗仿宋" w:eastAsia="彩虹粗仿宋"/>
          <w:color w:val="FF0000"/>
          <w:sz w:val="32"/>
        </w:rPr>
        <w:t>10</w:t>
      </w:r>
      <w:bookmarkStart w:id="0" w:name="_GoBack"/>
      <w:bookmarkEnd w:id="0"/>
      <w:r>
        <w:rPr>
          <w:rFonts w:hint="eastAsia" w:ascii="彩虹粗仿宋" w:eastAsia="彩虹粗仿宋"/>
          <w:color w:val="FF0000"/>
          <w:sz w:val="32"/>
        </w:rPr>
        <w:t>万元/年</w:t>
      </w:r>
      <w:r>
        <w:rPr>
          <w:rFonts w:hint="eastAsia" w:ascii="彩虹粗仿宋" w:eastAsia="彩虹粗仿宋"/>
          <w:sz w:val="32"/>
        </w:rPr>
        <w:t>及以上的金融机构钞币押运服务业绩（提供有效的合同证明文件）。</w:t>
      </w:r>
    </w:p>
    <w:p>
      <w:pPr>
        <w:spacing w:line="600" w:lineRule="exact"/>
        <w:ind w:firstLine="640" w:firstLineChars="200"/>
        <w:rPr>
          <w:rFonts w:ascii="彩虹粗仿宋" w:eastAsia="彩虹粗仿宋"/>
          <w:sz w:val="32"/>
        </w:rPr>
      </w:pPr>
      <w:r>
        <w:rPr>
          <w:rFonts w:hint="eastAsia" w:ascii="彩虹粗仿宋" w:eastAsia="彩虹粗仿宋"/>
          <w:sz w:val="32"/>
        </w:rPr>
        <w:t>12.本项目不接受联合体投标。</w:t>
      </w:r>
      <w:r>
        <w:rPr>
          <w:rFonts w:hint="eastAsia" w:ascii="彩虹粗仿宋" w:hAnsi="Calibri" w:eastAsia="彩虹粗仿宋"/>
          <w:sz w:val="32"/>
          <w:szCs w:val="32"/>
        </w:rPr>
        <w:t xml:space="preserve">  </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三、服务品类</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彩虹粗仿宋" w:eastAsia="彩虹粗仿宋" w:cs="彩虹粗仿宋"/>
          <w:sz w:val="32"/>
          <w:szCs w:val="24"/>
          <w:lang w:val="en-US" w:eastAsia="zh-CN"/>
        </w:rPr>
        <w:t>尾箱保管/寄存服务</w:t>
      </w:r>
      <w:r>
        <w:rPr>
          <w:rFonts w:hint="eastAsia" w:ascii="彩虹粗仿宋" w:hAnsi="宋体" w:eastAsia="彩虹粗仿宋" w:cs="Times New Roman"/>
          <w:snapToGrid w:val="0"/>
          <w:sz w:val="32"/>
          <w:szCs w:val="32"/>
        </w:rPr>
        <w:t>。</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四、外包服务事项</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外包事项：金库尾箱寄库。</w:t>
      </w:r>
    </w:p>
    <w:p>
      <w:pPr>
        <w:spacing w:line="600" w:lineRule="exact"/>
        <w:ind w:firstLine="640" w:firstLineChars="200"/>
        <w:rPr>
          <w:rFonts w:ascii="彩虹粗仿宋" w:hAnsi="宋体" w:eastAsia="彩虹粗仿宋" w:cs="Times New Roman"/>
          <w:snapToGrid w:val="0"/>
          <w:sz w:val="32"/>
          <w:szCs w:val="32"/>
        </w:rPr>
      </w:pPr>
      <w:r>
        <w:rPr>
          <w:rFonts w:hint="eastAsia" w:ascii="彩虹粗仿宋" w:hAnsi="宋体" w:eastAsia="彩虹粗仿宋" w:cs="Times New Roman"/>
          <w:snapToGrid w:val="0"/>
          <w:sz w:val="32"/>
          <w:szCs w:val="32"/>
        </w:rPr>
        <w:t>外包内容：</w:t>
      </w:r>
      <w:r>
        <w:rPr>
          <w:rFonts w:hint="eastAsia" w:ascii="彩虹粗仿宋" w:hAnsi="Times New Roman" w:eastAsia="彩虹粗仿宋" w:cs="宋体"/>
          <w:color w:val="000000"/>
          <w:kern w:val="0"/>
          <w:sz w:val="32"/>
          <w:szCs w:val="32"/>
        </w:rPr>
        <w:t>尾箱保管物品(包括现金、黄金、重要空白凭证、重要物品等)应纳入专用箱包(简称尾箱)，加铅封和双锁代理寄存业务</w:t>
      </w:r>
      <w:r>
        <w:rPr>
          <w:rFonts w:hint="eastAsia" w:ascii="彩虹粗仿宋" w:hAnsi="宋体" w:eastAsia="彩虹粗仿宋" w:cs="Times New Roman"/>
          <w:snapToGrid w:val="0"/>
          <w:sz w:val="32"/>
          <w:szCs w:val="32"/>
        </w:rPr>
        <w:t>。</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五、外包服务内容及要求</w:t>
      </w:r>
    </w:p>
    <w:p>
      <w:pPr>
        <w:spacing w:line="600" w:lineRule="exact"/>
        <w:ind w:firstLine="640" w:firstLineChars="200"/>
        <w:rPr>
          <w:rFonts w:ascii="彩虹楷体" w:hAnsi="Times New Roman" w:eastAsia="彩虹楷体" w:cs="Times New Roman"/>
          <w:snapToGrid w:val="0"/>
          <w:sz w:val="32"/>
          <w:szCs w:val="24"/>
        </w:rPr>
      </w:pPr>
      <w:r>
        <w:rPr>
          <w:rFonts w:hint="eastAsia" w:ascii="彩虹楷体" w:hAnsi="Times New Roman" w:eastAsia="彩虹楷体" w:cs="Times New Roman"/>
          <w:snapToGrid w:val="0"/>
          <w:sz w:val="32"/>
          <w:szCs w:val="24"/>
        </w:rPr>
        <w:t>金库尾箱寄库服务</w:t>
      </w:r>
    </w:p>
    <w:p>
      <w:pPr>
        <w:spacing w:line="600" w:lineRule="exact"/>
        <w:ind w:firstLine="640" w:firstLineChars="200"/>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1.供应商按采购方要求时间代理寄存业务，尾箱寄库保管期间，供应商应保证保管物品的安全。</w:t>
      </w:r>
    </w:p>
    <w:p>
      <w:pPr>
        <w:spacing w:line="600" w:lineRule="exact"/>
        <w:ind w:firstLine="640" w:firstLineChars="200"/>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2.供应商对代保管尾箱过程中发生的抢劫、盗窃、涉枪等案件事故承担相应案件、事故责任和经济赔偿责任。</w:t>
      </w:r>
    </w:p>
    <w:p>
      <w:pPr>
        <w:spacing w:line="600" w:lineRule="exact"/>
        <w:ind w:firstLine="640" w:firstLineChars="200"/>
        <w:jc w:val="left"/>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3.供应商应按采购方约定时间，提供尾箱保管服务，采购方有权对供应商寄库服务进行监督。</w:t>
      </w:r>
    </w:p>
    <w:p>
      <w:pPr>
        <w:spacing w:line="600" w:lineRule="exact"/>
        <w:ind w:firstLine="640" w:firstLineChars="200"/>
        <w:jc w:val="left"/>
        <w:rPr>
          <w:rFonts w:ascii="彩虹粗仿宋" w:hAnsi="Times New Roman" w:eastAsia="彩虹粗仿宋" w:cs="宋体"/>
          <w:color w:val="000000"/>
          <w:kern w:val="0"/>
          <w:sz w:val="32"/>
          <w:szCs w:val="32"/>
        </w:rPr>
      </w:pPr>
      <w:r>
        <w:rPr>
          <w:rFonts w:hint="eastAsia" w:ascii="彩虹粗仿宋" w:hAnsi="Times New Roman" w:eastAsia="彩虹粗仿宋" w:cs="宋体"/>
          <w:color w:val="000000"/>
          <w:kern w:val="0"/>
          <w:sz w:val="32"/>
          <w:szCs w:val="32"/>
        </w:rPr>
        <w:t>4.因道路堵塞、交通事故以及灾害性天气等不可抗拒原因而延误取送款时间，供应商应及时通知采购方。</w:t>
      </w:r>
    </w:p>
    <w:p>
      <w:pPr>
        <w:spacing w:line="600" w:lineRule="exact"/>
        <w:ind w:firstLine="640" w:firstLineChars="200"/>
        <w:rPr>
          <w:rFonts w:ascii="彩虹粗仿宋" w:hAnsi="Times New Roman" w:eastAsia="彩虹粗仿宋" w:cs="Times New Roman"/>
          <w:snapToGrid w:val="0"/>
          <w:sz w:val="32"/>
          <w:szCs w:val="24"/>
        </w:rPr>
      </w:pPr>
      <w:r>
        <w:rPr>
          <w:rFonts w:hint="eastAsia" w:ascii="彩虹粗仿宋" w:hAnsi="Times New Roman" w:eastAsia="彩虹粗仿宋" w:cs="宋体"/>
          <w:color w:val="000000"/>
          <w:kern w:val="0"/>
          <w:sz w:val="32"/>
          <w:szCs w:val="32"/>
        </w:rPr>
        <w:t>5.供应商在办理出入库业务过程中，因尾箱发生突发性撕裂破损，供应商人员应及时保护现场，并通知供应商负责人和采购方机构负责人赶到现场处置，一旦发生此种事故，造成尾箱或物品发生短缺，责任在供应商。</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六、外包服务团队要求</w:t>
      </w:r>
    </w:p>
    <w:p>
      <w:pPr>
        <w:spacing w:line="600" w:lineRule="exact"/>
        <w:ind w:firstLine="640" w:firstLineChars="200"/>
        <w:rPr>
          <w:rFonts w:ascii="彩虹粗仿宋" w:hAnsi="Times New Roman" w:eastAsia="彩虹粗仿宋" w:cs="Times New Roman"/>
          <w:snapToGrid w:val="0"/>
          <w:sz w:val="32"/>
          <w:szCs w:val="24"/>
        </w:rPr>
      </w:pPr>
      <w:r>
        <w:rPr>
          <w:rFonts w:hint="eastAsia" w:ascii="彩虹粗仿宋" w:hAnsi="Times New Roman" w:eastAsia="彩虹粗仿宋" w:cs="Times New Roman"/>
          <w:snapToGrid w:val="0"/>
          <w:sz w:val="32"/>
          <w:szCs w:val="24"/>
        </w:rPr>
        <w:t>供应商须派遣的专业人员须通过公安局政审合格后方能上岗。</w:t>
      </w:r>
    </w:p>
    <w:p>
      <w:pPr>
        <w:spacing w:line="600" w:lineRule="exact"/>
        <w:ind w:firstLine="640" w:firstLineChars="200"/>
        <w:rPr>
          <w:rFonts w:ascii="彩虹黑体" w:hAnsi="Times New Roman" w:eastAsia="彩虹黑体" w:cs="Times New Roman"/>
          <w:sz w:val="32"/>
          <w:szCs w:val="24"/>
        </w:rPr>
      </w:pPr>
      <w:r>
        <w:rPr>
          <w:rFonts w:hint="eastAsia" w:ascii="彩虹黑体" w:hAnsi="Times New Roman" w:eastAsia="彩虹黑体" w:cs="Times New Roman"/>
          <w:sz w:val="32"/>
          <w:szCs w:val="24"/>
        </w:rPr>
        <w:t>七、款项支付要求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rPr>
        <w:t>寄库服务费由甲方所辖</w:t>
      </w:r>
      <w:r>
        <w:rPr>
          <w:rFonts w:hint="eastAsia" w:ascii="彩虹粗仿宋" w:hAnsi="彩虹粗仿宋" w:eastAsia="彩虹粗仿宋" w:cs="彩虹粗仿宋"/>
          <w:sz w:val="32"/>
          <w:szCs w:val="32"/>
          <w:lang w:eastAsia="zh-CN"/>
        </w:rPr>
        <w:t>新林</w:t>
      </w:r>
      <w:r>
        <w:rPr>
          <w:rFonts w:hint="eastAsia" w:ascii="彩虹粗仿宋" w:hAnsi="彩虹粗仿宋" w:eastAsia="彩虹粗仿宋" w:cs="彩虹粗仿宋"/>
          <w:sz w:val="32"/>
          <w:szCs w:val="32"/>
        </w:rPr>
        <w:t>支行凭乙方出具的增值税专用发票按</w:t>
      </w:r>
      <w:r>
        <w:rPr>
          <w:rFonts w:hint="eastAsia" w:ascii="彩虹粗仿宋" w:hAnsi="彩虹粗仿宋" w:eastAsia="彩虹粗仿宋" w:cs="彩虹粗仿宋"/>
          <w:sz w:val="32"/>
          <w:szCs w:val="32"/>
          <w:lang w:eastAsia="zh-CN"/>
        </w:rPr>
        <w:t>季度</w:t>
      </w:r>
      <w:r>
        <w:rPr>
          <w:rFonts w:hint="eastAsia" w:ascii="彩虹粗仿宋" w:hAnsi="彩虹粗仿宋" w:eastAsia="彩虹粗仿宋" w:cs="彩虹粗仿宋"/>
          <w:sz w:val="32"/>
          <w:szCs w:val="32"/>
        </w:rPr>
        <w:t>结算</w:t>
      </w:r>
      <w:r>
        <w:rPr>
          <w:rFonts w:hint="eastAsia" w:ascii="彩虹粗仿宋" w:hAnsi="彩虹粗仿宋" w:eastAsia="彩虹粗仿宋" w:cs="彩虹粗仿宋"/>
          <w:sz w:val="32"/>
          <w:szCs w:val="32"/>
          <w:lang w:eastAsia="zh-CN"/>
        </w:rPr>
        <w:t>。</w:t>
      </w:r>
    </w:p>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方正宋体-人口信息">
    <w:panose1 w:val="02000000000000000000"/>
    <w:charset w:val="86"/>
    <w:family w:val="auto"/>
    <w:pitch w:val="default"/>
    <w:sig w:usb0="A00002BF" w:usb1="38CFFCFA" w:usb2="00000016" w:usb3="00000008" w:csb0="6004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4355612"/>
      <w:docPartObj>
        <w:docPartGallery w:val="autotext"/>
      </w:docPartObj>
    </w:sdtPr>
    <w:sdtContent>
      <w:sdt>
        <w:sdtPr>
          <w:id w:val="-1"/>
          <w:docPartObj>
            <w:docPartGallery w:val="autotext"/>
          </w:docPartObj>
        </w:sdtPr>
        <w:sdtContent>
          <w:p>
            <w:pPr>
              <w:pStyle w:val="2"/>
              <w:jc w:val="center"/>
            </w:pP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3BA7"/>
    <w:rsid w:val="00243BA9"/>
    <w:rsid w:val="0056442D"/>
    <w:rsid w:val="005C4B08"/>
    <w:rsid w:val="00743096"/>
    <w:rsid w:val="0076315B"/>
    <w:rsid w:val="00913BA7"/>
    <w:rsid w:val="009A501D"/>
    <w:rsid w:val="009C1797"/>
    <w:rsid w:val="00B47D83"/>
    <w:rsid w:val="00C6283B"/>
    <w:rsid w:val="00E25393"/>
    <w:rsid w:val="1F5F07D0"/>
    <w:rsid w:val="5FF96EE3"/>
    <w:rsid w:val="7FF779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4</Pages>
  <Words>227</Words>
  <Characters>1296</Characters>
  <Lines>10</Lines>
  <Paragraphs>3</Paragraphs>
  <TotalTime>0</TotalTime>
  <ScaleCrop>false</ScaleCrop>
  <LinksUpToDate>false</LinksUpToDate>
  <CharactersWithSpaces>1520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2025-11-20T05:11:00Z</dcterms:created>
  <dc:creator>大兴安岭行办公室综合</dc:creator>
  <cp:lastModifiedBy>ccb</cp:lastModifiedBy>
  <dcterms:modified xsi:type="dcterms:W3CDTF">2025-12-05T10:43:04Z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808DDD1C9C436E76290E2469B5B5A133_42</vt:lpwstr>
  </property>
</Properties>
</file>