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彩虹小标宋" w:hAnsi="彩虹小标宋" w:eastAsia="彩虹小标宋" w:cs="彩虹小标宋"/>
          <w:color w:val="auto"/>
          <w:sz w:val="44"/>
          <w:szCs w:val="44"/>
          <w:highlight w:val="none"/>
        </w:rPr>
      </w:pPr>
    </w:p>
    <w:p>
      <w:pPr>
        <w:spacing w:line="560" w:lineRule="exact"/>
        <w:jc w:val="center"/>
        <w:rPr>
          <w:rFonts w:hint="eastAsia" w:ascii="彩虹小标宋" w:hAnsi="彩虹小标宋" w:eastAsia="彩虹小标宋" w:cs="彩虹小标宋"/>
          <w:color w:val="auto"/>
          <w:sz w:val="44"/>
          <w:szCs w:val="44"/>
          <w:highlight w:val="none"/>
        </w:rPr>
      </w:pPr>
      <w:r>
        <w:rPr>
          <w:rFonts w:hint="eastAsia" w:ascii="彩虹小标宋" w:hAnsi="彩虹小标宋" w:eastAsia="彩虹小标宋" w:cs="彩虹小标宋"/>
          <w:color w:val="auto"/>
          <w:sz w:val="44"/>
          <w:szCs w:val="44"/>
          <w:highlight w:val="none"/>
        </w:rPr>
        <w:t>福州市第二总医院智能化支付结算平台</w:t>
      </w:r>
    </w:p>
    <w:p>
      <w:pPr>
        <w:spacing w:line="560" w:lineRule="exact"/>
        <w:jc w:val="center"/>
        <w:rPr>
          <w:rFonts w:ascii="彩虹小标宋" w:hAnsi="彩虹小标宋" w:eastAsia="彩虹小标宋" w:cs="彩虹小标宋"/>
          <w:color w:val="auto"/>
          <w:sz w:val="44"/>
          <w:szCs w:val="44"/>
          <w:highlight w:val="none"/>
        </w:rPr>
      </w:pPr>
      <w:r>
        <w:rPr>
          <w:rFonts w:hint="eastAsia" w:ascii="彩虹小标宋" w:hAnsi="彩虹小标宋" w:eastAsia="彩虹小标宋" w:cs="彩虹小标宋"/>
          <w:color w:val="auto"/>
          <w:sz w:val="44"/>
          <w:szCs w:val="44"/>
          <w:highlight w:val="none"/>
        </w:rPr>
        <w:t>项目采购需求</w:t>
      </w:r>
    </w:p>
    <w:p>
      <w:pPr>
        <w:adjustRightInd w:val="0"/>
        <w:snapToGrid w:val="0"/>
        <w:spacing w:line="360" w:lineRule="auto"/>
        <w:jc w:val="both"/>
        <w:rPr>
          <w:rFonts w:hint="eastAsia" w:ascii="彩虹黑体" w:hAnsi="彩虹黑体" w:eastAsia="彩虹黑体" w:cs="彩虹黑体"/>
          <w:bCs/>
          <w:snapToGrid w:val="0"/>
          <w:color w:val="auto"/>
          <w:kern w:val="0"/>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黑体" w:hAnsi="彩虹黑体" w:eastAsia="彩虹黑体" w:cs="彩虹黑体"/>
          <w:b w:val="0"/>
          <w:bCs/>
          <w:snapToGrid w:val="0"/>
          <w:color w:val="auto"/>
          <w:kern w:val="0"/>
          <w:sz w:val="32"/>
          <w:szCs w:val="32"/>
          <w:highlight w:val="none"/>
        </w:rPr>
      </w:pPr>
      <w:r>
        <w:rPr>
          <w:rFonts w:hint="eastAsia" w:ascii="彩虹黑体" w:hAnsi="彩虹黑体" w:eastAsia="彩虹黑体" w:cs="彩虹黑体"/>
          <w:b w:val="0"/>
          <w:bCs/>
          <w:snapToGrid w:val="0"/>
          <w:color w:val="auto"/>
          <w:kern w:val="0"/>
          <w:sz w:val="32"/>
          <w:szCs w:val="32"/>
          <w:highlight w:val="none"/>
        </w:rPr>
        <w:t>一、对于候选供应商的要求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 xml:space="preserve">1. </w:t>
      </w:r>
      <w:r>
        <w:rPr>
          <w:rFonts w:hint="eastAsia" w:ascii="彩虹粗仿宋" w:hAnsi="宋体" w:eastAsia="彩虹粗仿宋"/>
          <w:sz w:val="32"/>
          <w:szCs w:val="32"/>
        </w:rPr>
        <w:t>供应商应具备独立的法人资格，</w:t>
      </w:r>
      <w:r>
        <w:rPr>
          <w:rFonts w:hint="eastAsia" w:ascii="彩虹粗仿宋" w:hAnsi="宋体" w:eastAsia="彩虹粗仿宋"/>
          <w:snapToGrid w:val="0"/>
          <w:kern w:val="0"/>
          <w:sz w:val="32"/>
          <w:szCs w:val="32"/>
        </w:rPr>
        <w:t>具有医疗卫生行业信息化建设经验。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b/>
          <w:snapToGrid w:val="0"/>
          <w:kern w:val="0"/>
          <w:sz w:val="32"/>
          <w:szCs w:val="32"/>
        </w:rPr>
      </w:pPr>
      <w:r>
        <w:rPr>
          <w:rFonts w:hint="eastAsia" w:ascii="彩虹粗仿宋" w:hAnsi="宋体" w:eastAsia="彩虹粗仿宋" w:cs="Times New Roman"/>
          <w:snapToGrid w:val="0"/>
          <w:kern w:val="0"/>
          <w:sz w:val="32"/>
          <w:szCs w:val="32"/>
        </w:rPr>
        <w:t>2. 具有良好的商业信誉和健全的财务会计制度，参与建设银行采购活动前五年内，在经营活动中没有重大违法记录；没有处于被责令停业、财产被接管、冻结、破产状态。</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黑体" w:hAnsi="彩虹黑体" w:eastAsia="彩虹黑体" w:cs="彩虹黑体"/>
          <w:b w:val="0"/>
          <w:bCs/>
          <w:snapToGrid w:val="0"/>
          <w:color w:val="auto"/>
          <w:kern w:val="0"/>
          <w:sz w:val="32"/>
          <w:szCs w:val="32"/>
          <w:highlight w:val="none"/>
        </w:rPr>
      </w:pPr>
      <w:r>
        <w:rPr>
          <w:rFonts w:hint="eastAsia" w:ascii="彩虹黑体" w:hAnsi="彩虹黑体" w:eastAsia="彩虹黑体" w:cs="彩虹黑体"/>
          <w:b w:val="0"/>
          <w:bCs/>
          <w:snapToGrid w:val="0"/>
          <w:color w:val="auto"/>
          <w:kern w:val="0"/>
          <w:sz w:val="32"/>
          <w:szCs w:val="32"/>
          <w:highlight w:val="none"/>
        </w:rPr>
        <w:t>二、对于拟采购设备（物品）的要求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楷体" w:hAnsi="彩虹楷体" w:eastAsia="彩虹楷体" w:cs="彩虹楷体"/>
          <w:b/>
          <w:snapToGrid w:val="0"/>
          <w:color w:val="auto"/>
          <w:kern w:val="0"/>
          <w:sz w:val="32"/>
          <w:szCs w:val="32"/>
          <w:highlight w:val="none"/>
        </w:rPr>
      </w:pPr>
      <w:r>
        <w:rPr>
          <w:rFonts w:hint="eastAsia" w:ascii="彩虹楷体" w:hAnsi="彩虹楷体" w:eastAsia="彩虹楷体" w:cs="彩虹楷体"/>
          <w:b/>
          <w:snapToGrid w:val="0"/>
          <w:color w:val="auto"/>
          <w:kern w:val="0"/>
          <w:sz w:val="32"/>
          <w:szCs w:val="32"/>
          <w:highlight w:val="none"/>
        </w:rPr>
        <w:t>（一）基本要求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color w:val="000000" w:themeColor="text1"/>
          <w:sz w:val="32"/>
          <w:szCs w:val="32"/>
          <w:highlight w:val="none"/>
          <w:lang w:val="en-US" w:eastAsia="zh-CN"/>
          <w14:textFill>
            <w14:solidFill>
              <w14:schemeClr w14:val="tx1"/>
            </w14:solidFill>
          </w14:textFill>
        </w:rPr>
      </w:pPr>
      <w:r>
        <w:rPr>
          <w:rFonts w:hint="eastAsia" w:ascii="彩虹粗仿宋" w:hAnsi="宋体" w:eastAsia="彩虹粗仿宋"/>
          <w:color w:val="000000" w:themeColor="text1"/>
          <w:sz w:val="32"/>
          <w:szCs w:val="32"/>
          <w:highlight w:val="none"/>
          <w:lang w:val="en-US" w:eastAsia="zh-CN"/>
          <w14:textFill>
            <w14:solidFill>
              <w14:schemeClr w14:val="tx1"/>
            </w14:solidFill>
          </w14:textFill>
        </w:rPr>
        <w:t>住院移动支付系统和结算智能管理系统相关软硬件</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楷体" w:hAnsi="彩虹楷体" w:eastAsia="彩虹楷体" w:cs="彩虹楷体"/>
          <w:b/>
          <w:snapToGrid w:val="0"/>
          <w:color w:val="auto"/>
          <w:kern w:val="0"/>
          <w:sz w:val="32"/>
          <w:szCs w:val="32"/>
          <w:highlight w:val="none"/>
        </w:rPr>
      </w:pPr>
      <w:r>
        <w:rPr>
          <w:rFonts w:hint="eastAsia" w:ascii="彩虹楷体" w:hAnsi="彩虹楷体" w:eastAsia="彩虹楷体" w:cs="彩虹楷体"/>
          <w:b/>
          <w:snapToGrid w:val="0"/>
          <w:color w:val="auto"/>
          <w:kern w:val="0"/>
          <w:sz w:val="32"/>
          <w:szCs w:val="32"/>
          <w:highlight w:val="none"/>
        </w:rPr>
        <w:t>（二）配置要求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粗仿宋" w:hAnsi="彩虹粗仿宋" w:eastAsia="彩虹粗仿宋" w:cs="彩虹粗仿宋"/>
          <w:b/>
          <w:snapToGrid w:val="0"/>
          <w:color w:val="auto"/>
          <w:kern w:val="0"/>
          <w:sz w:val="32"/>
          <w:szCs w:val="32"/>
          <w:highlight w:val="none"/>
        </w:rPr>
      </w:pPr>
      <w:r>
        <w:rPr>
          <w:rFonts w:hint="eastAsia" w:ascii="彩虹粗仿宋" w:hAnsi="彩虹粗仿宋" w:eastAsia="彩虹粗仿宋" w:cs="彩虹粗仿宋"/>
          <w:b/>
          <w:snapToGrid w:val="0"/>
          <w:color w:val="auto"/>
          <w:kern w:val="0"/>
          <w:sz w:val="32"/>
          <w:szCs w:val="32"/>
          <w:highlight w:val="none"/>
        </w:rPr>
        <w:t>1</w:t>
      </w:r>
      <w:r>
        <w:rPr>
          <w:rFonts w:hint="eastAsia" w:ascii="彩虹粗仿宋" w:hAnsi="彩虹粗仿宋" w:eastAsia="彩虹粗仿宋" w:cs="彩虹粗仿宋"/>
          <w:b/>
          <w:snapToGrid w:val="0"/>
          <w:color w:val="auto"/>
          <w:kern w:val="0"/>
          <w:sz w:val="32"/>
          <w:szCs w:val="32"/>
          <w:highlight w:val="none"/>
          <w:lang w:val="en-US" w:eastAsia="zh-CN"/>
        </w:rPr>
        <w:t>.</w:t>
      </w:r>
      <w:r>
        <w:rPr>
          <w:rFonts w:hint="eastAsia" w:ascii="彩虹粗仿宋" w:hAnsi="彩虹粗仿宋" w:eastAsia="彩虹粗仿宋" w:cs="彩虹粗仿宋"/>
          <w:b/>
          <w:snapToGrid w:val="0"/>
          <w:color w:val="auto"/>
          <w:kern w:val="0"/>
          <w:sz w:val="32"/>
          <w:szCs w:val="32"/>
          <w:highlight w:val="none"/>
        </w:rPr>
        <w:t>软件要求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包含住院移动支付系统和结算智能管理系统系统。具体说明如下：</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粗仿宋" w:hAnsi="彩虹粗仿宋" w:eastAsia="彩虹粗仿宋" w:cs="彩虹粗仿宋"/>
          <w:b/>
          <w:bCs/>
          <w:color w:val="auto"/>
          <w:sz w:val="32"/>
          <w:szCs w:val="32"/>
          <w:highlight w:val="none"/>
          <w:lang w:val="en-US" w:eastAsia="zh-CN"/>
        </w:rPr>
      </w:pPr>
      <w:r>
        <w:rPr>
          <w:rFonts w:hint="eastAsia" w:ascii="彩虹粗仿宋" w:hAnsi="彩虹粗仿宋" w:eastAsia="彩虹粗仿宋" w:cs="彩虹粗仿宋"/>
          <w:b/>
          <w:bCs/>
          <w:color w:val="auto"/>
          <w:sz w:val="32"/>
          <w:szCs w:val="32"/>
          <w:highlight w:val="none"/>
          <w:lang w:val="en-US" w:eastAsia="zh-CN"/>
        </w:rPr>
        <w:t>（1）住院移动支付系统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①院中支付服务系统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院中支付服务系统由每日预结算欠费催缴与院中扫码办模块和院中扫码办模块组成。其中每日预结算欠费催缴模块，包含系统通过微信或支付宝为用户及代办亲友推送欠费催缴信息的功能，以及用户可在线完成院中预交金补缴（金额依据医院最低允许余额确定）的功能。院中扫码办模块，提供医院预交金补缴场景静态二维码的生成、打印及张贴服务，患者或亲友可通过微信或支付宝扫码进行住院预交金缴纳。</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②出院服务办理系统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出院服务办理系统可实现出院医保登记与撤销，修正出院信息上传及错误登记；构建规则库确认患者医保移动支付资格，通过病案首页数据匹配规则库判断结算资格；提供住院医保移动支付全链条功能，含电子凭证激活授权、待结算费用查询、未结费用分批次上传与撤销、在院信息变更同步、预结算结果查询、“医保结算+自费补缴”一键支付等，并通过支付密码认证、人脸识别、GPS定位保障支付安全，同时提供出院带药指引、清单打印流程及相关结算消息推送；支持自费亲情代办绑定解绑、关系人查询及亲友代办自费支付；为自费患者提供微信、支付宝、其他渠道移动支付、住院日清单查询、每日预结算欠费催缴消息查看及押金在线缴纳服务。并搭建支撑管理体系，涵盖T+1模式统计医保移动支付结算笔数、金额、扫码频次等数据并生成趋势分析等等。</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③移动支付收银平台</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依托医院医保移动支付基础服务，建设微信、支付宝移动支付收银台，展示相关收费信息详情。参保用户可通过医保移动支付收银台进行医保结算，同时调用医院支付通道支付自费部分，实现医保+自费的一站式支付。</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粗仿宋" w:hAnsi="彩虹粗仿宋" w:eastAsia="彩虹粗仿宋" w:cs="彩虹粗仿宋"/>
          <w:b/>
          <w:bCs/>
          <w:color w:val="auto"/>
          <w:sz w:val="32"/>
          <w:szCs w:val="32"/>
          <w:highlight w:val="none"/>
          <w:lang w:val="en-US" w:eastAsia="zh-CN"/>
        </w:rPr>
      </w:pPr>
      <w:r>
        <w:rPr>
          <w:rFonts w:hint="eastAsia" w:ascii="彩虹粗仿宋" w:hAnsi="彩虹粗仿宋" w:eastAsia="彩虹粗仿宋" w:cs="彩虹粗仿宋"/>
          <w:b/>
          <w:bCs/>
          <w:color w:val="auto"/>
          <w:sz w:val="32"/>
          <w:szCs w:val="32"/>
          <w:highlight w:val="none"/>
          <w:lang w:val="en-US" w:eastAsia="zh-CN"/>
        </w:rPr>
        <w:t>（2）结算智能管理系统系统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①结算质控系统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建设医生临床助手、在院病人监管、病案首页质控子系统、医保结算清单质控子系统四大模块。在院病人监管实现实时查询病人情况、分析异常病例，按多维度统计违规数据；病案首页质控子系统通过质控挂件、评分、查询等功能，结合卫健及医院规则审核病案首页，分析质量与违规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②结算数据分析系统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系统具备多维度分析与管理功能，从全院、分院区、科室、医师等维度进行费用结构分析与占比异常监控；支持病种指标趋势分析、重点病种自定义配置及盈亏分析；能进行产能、效率、费用、安全等指标分析，通过雷达图可视化对比并借助波士顿矩阵辅助学科发展评价；可从多维度开展盈亏分析，定位亏损原因并支持数据下钻；具备医保对账、分组效能分析功能，核对结算数据与入组情况；提供病种组综合查询，实现医保基金按月份和科室配置、监测及预警。还包含规则引擎与知识数据管理，支持质控规则维护、编码映射转换等智能引擎功能。</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③门诊控费审核系统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开具普通及特慢病门诊处方时，HIS系统自动调用审核服务实时筛查违规疑点并提醒医师；可通过预警时间、违规级别等多条件过滤查询及下载门诊事前疑点清单，查看疑点详情；门诊扣费科室执行费用时调用扣费预审功能，实时提醒并处理违规费用疑点；参保人就诊时通过门诊交易提醒向医生展示其基本信息、就诊历史、开药明细等健康概况，为诊疗判断提供帮助。</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④住院医保控费系统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 xml:space="preserve">涵盖多维度审核及管理功能：事前审核包括住院医嘱实时审核、疑点清单（可按多条件过滤查询及下载）、扣费预审、交易提醒；事中审核包含每晚预审（支持不同模式）及疑点清单（功能同事前）；出科环节有医生站、护士站实时审核及医保办出科复审；出院管理可按条件查看病人列表及详情；医保申诉管理：支持导入扣款数据、下发申诉任务、填写材料、审批及一键上传至两定平台；基于RBAC模型的角色权限（科室、数据角色、菜单、用户管理）、参数与字典管理、定时任务配置等，各模块功能协同实现全流程控费审核与管理。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粗仿宋" w:hAnsi="彩虹粗仿宋" w:eastAsia="彩虹粗仿宋" w:cs="彩虹粗仿宋"/>
          <w:b/>
          <w:snapToGrid w:val="0"/>
          <w:color w:val="auto"/>
          <w:kern w:val="0"/>
          <w:sz w:val="32"/>
          <w:szCs w:val="32"/>
          <w:highlight w:val="none"/>
        </w:rPr>
      </w:pPr>
      <w:r>
        <w:rPr>
          <w:rFonts w:hint="eastAsia" w:ascii="彩虹粗仿宋" w:hAnsi="彩虹粗仿宋" w:eastAsia="彩虹粗仿宋" w:cs="彩虹粗仿宋"/>
          <w:b/>
          <w:snapToGrid w:val="0"/>
          <w:color w:val="auto"/>
          <w:kern w:val="0"/>
          <w:sz w:val="32"/>
          <w:szCs w:val="32"/>
          <w:highlight w:val="none"/>
          <w:lang w:val="en-US" w:eastAsia="zh-CN"/>
        </w:rPr>
        <w:t>2.</w:t>
      </w:r>
      <w:r>
        <w:rPr>
          <w:rFonts w:hint="eastAsia" w:ascii="彩虹粗仿宋" w:hAnsi="彩虹粗仿宋" w:eastAsia="彩虹粗仿宋" w:cs="彩虹粗仿宋"/>
          <w:b/>
          <w:snapToGrid w:val="0"/>
          <w:color w:val="auto"/>
          <w:kern w:val="0"/>
          <w:sz w:val="32"/>
          <w:szCs w:val="32"/>
          <w:highlight w:val="none"/>
        </w:rPr>
        <w:t>硬件要求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（1）防火墙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①性能参数：网络层吞吐量≥30G，应用层吞吐量≥10G，防病毒吞吐量≥1.5G，IPS吞吐量≥1.5G，全威胁吞吐量≥1G，并发连接数≥300万，HTTP新建连接数≥9万。</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②硬件参数：规格≥2U，内存大小≥8G，硬盘容量≥256G SSD，电源为冗余电源，接口≥8千兆电口，≥4万兆光口SFP+。</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③产品支持安全策略有效性分析功能，分析内容至少包括策略冗余分析、策略匹配分析、风险端口分析等内容，提供安全策略优化建议。</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④产品应具备独立的勒索病毒防护模块，非普通防病毒功能，支持对特定的业务进行勒索风险自动化评估，并依据评估结果自动生成防护策略，支持在设备首页独立展示勒索风险板块。</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⑤为防止攻击者利用压缩文件绕过检测，产品应支持对压缩文件进行病毒检测和拦截，压缩层数支持15层及以上。</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恒温恒湿设备</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①风冷型房间级精密空调，上送风，制冷量≥20kW，风量≥5400m3/h，能效比≥3.0（工况：室内侧 干球温度约24℃，湿球温度约17℃）。</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②室内风机：空调机组须标准配置EC风机。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③为满足现场使用，空调加湿系统应具备低能耗，对水质不敏感，不易结垢等特点，空调加湿器应采用湿膜加湿系统，不推荐高耗能的红外加湿及电极加湿方式。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④采用高效可靠压缩机，保障系统运行的可靠性；</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⑤精密空调应能够在设备的正面进行全面维修，空调本体外部应预留各种管道接口（冷媒管、加湿管、凝水管），包括下、后、侧面三方向预留各种管道接口，以便现场安装。</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⑥精密空调应具有良好性能指标，可满足高效节能的要求，精密空调主要指标不应低于以下要求：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1）输入电压允许波动范围：380V±10%z。</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2）空调适应性：室内0℃～40℃，室外-15℃～45℃。</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3）加热加湿性能：加湿量需≥1.5kg/h，加热量需≥3kW。</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楷体" w:hAnsi="彩虹楷体" w:eastAsia="彩虹楷体" w:cs="彩虹楷体"/>
          <w:b/>
          <w:snapToGrid w:val="0"/>
          <w:color w:val="auto"/>
          <w:kern w:val="0"/>
          <w:sz w:val="32"/>
          <w:szCs w:val="32"/>
          <w:highlight w:val="none"/>
        </w:rPr>
      </w:pPr>
      <w:r>
        <w:rPr>
          <w:rFonts w:hint="eastAsia" w:ascii="彩虹楷体" w:hAnsi="彩虹楷体" w:eastAsia="彩虹楷体" w:cs="彩虹楷体"/>
          <w:b/>
          <w:snapToGrid w:val="0"/>
          <w:color w:val="auto"/>
          <w:kern w:val="0"/>
          <w:sz w:val="32"/>
          <w:szCs w:val="32"/>
          <w:highlight w:val="none"/>
        </w:rPr>
        <w:t>（三）技术、环保、质量要求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粗仿宋" w:hAnsi="彩虹粗仿宋" w:eastAsia="彩虹粗仿宋" w:cs="彩虹粗仿宋"/>
          <w:b/>
          <w:bCs w:val="0"/>
          <w:snapToGrid w:val="0"/>
          <w:color w:val="auto"/>
          <w:kern w:val="0"/>
          <w:sz w:val="32"/>
          <w:szCs w:val="32"/>
          <w:highlight w:val="none"/>
        </w:rPr>
      </w:pPr>
      <w:r>
        <w:rPr>
          <w:rFonts w:hint="eastAsia" w:ascii="彩虹粗仿宋" w:hAnsi="彩虹粗仿宋" w:eastAsia="彩虹粗仿宋" w:cs="彩虹粗仿宋"/>
          <w:b/>
          <w:bCs w:val="0"/>
          <w:snapToGrid w:val="0"/>
          <w:color w:val="auto"/>
          <w:kern w:val="0"/>
          <w:sz w:val="32"/>
          <w:szCs w:val="32"/>
          <w:highlight w:val="none"/>
          <w:lang w:val="en-US" w:eastAsia="zh-CN"/>
        </w:rPr>
        <w:t>1.</w:t>
      </w:r>
      <w:r>
        <w:rPr>
          <w:rFonts w:hint="eastAsia" w:ascii="彩虹粗仿宋" w:hAnsi="彩虹粗仿宋" w:eastAsia="彩虹粗仿宋" w:cs="彩虹粗仿宋"/>
          <w:b/>
          <w:bCs w:val="0"/>
          <w:snapToGrid w:val="0"/>
          <w:color w:val="auto"/>
          <w:kern w:val="0"/>
          <w:sz w:val="32"/>
          <w:szCs w:val="32"/>
          <w:highlight w:val="none"/>
        </w:rPr>
        <w:t>平台核心功能需求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核心功能在正常的业务时间内，保证的可用时间是每周的周一到周日，全天候，即7×24小时的服务。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lang w:eastAsia="zh-CN"/>
        </w:rPr>
      </w:pPr>
      <w:r>
        <w:rPr>
          <w:rFonts w:hint="eastAsia" w:ascii="彩虹粗仿宋" w:hAnsi="彩虹粗仿宋" w:eastAsia="彩虹粗仿宋" w:cs="彩虹粗仿宋"/>
          <w:bCs/>
          <w:snapToGrid w:val="0"/>
          <w:color w:val="auto"/>
          <w:kern w:val="0"/>
          <w:sz w:val="32"/>
          <w:szCs w:val="32"/>
          <w:highlight w:val="none"/>
        </w:rPr>
        <w:t>系统在保证可用时间内，停机时间是每次不超过30分钟</w:t>
      </w:r>
      <w:r>
        <w:rPr>
          <w:rFonts w:hint="eastAsia" w:ascii="彩虹粗仿宋" w:hAnsi="彩虹粗仿宋" w:eastAsia="彩虹粗仿宋" w:cs="彩虹粗仿宋"/>
          <w:bCs/>
          <w:snapToGrid w:val="0"/>
          <w:color w:val="auto"/>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当系统所在场所或整个系统发生灾难时，系统恢复服务时间是</w:t>
      </w:r>
      <w:r>
        <w:rPr>
          <w:rFonts w:hint="eastAsia" w:ascii="彩虹粗仿宋" w:hAnsi="彩虹粗仿宋" w:eastAsia="彩虹粗仿宋" w:cs="彩虹粗仿宋"/>
          <w:bCs/>
          <w:snapToGrid w:val="0"/>
          <w:color w:val="auto"/>
          <w:kern w:val="0"/>
          <w:sz w:val="32"/>
          <w:szCs w:val="32"/>
          <w:highlight w:val="none"/>
          <w:lang w:val="en-US" w:eastAsia="zh-CN"/>
        </w:rPr>
        <w:t>小于12</w:t>
      </w:r>
      <w:r>
        <w:rPr>
          <w:rFonts w:hint="eastAsia" w:ascii="彩虹粗仿宋" w:hAnsi="彩虹粗仿宋" w:eastAsia="彩虹粗仿宋" w:cs="彩虹粗仿宋"/>
          <w:bCs/>
          <w:snapToGrid w:val="0"/>
          <w:color w:val="auto"/>
          <w:kern w:val="0"/>
          <w:sz w:val="32"/>
          <w:szCs w:val="32"/>
          <w:highlight w:val="none"/>
        </w:rPr>
        <w:t>小时。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当系统的关键硬件发生灾难导致系统服务或数据不可用时，系统恢复时间目标是</w:t>
      </w:r>
      <w:r>
        <w:rPr>
          <w:rFonts w:hint="eastAsia" w:ascii="彩虹粗仿宋" w:hAnsi="彩虹粗仿宋" w:eastAsia="彩虹粗仿宋" w:cs="彩虹粗仿宋"/>
          <w:bCs/>
          <w:snapToGrid w:val="0"/>
          <w:color w:val="auto"/>
          <w:kern w:val="0"/>
          <w:sz w:val="32"/>
          <w:szCs w:val="32"/>
          <w:highlight w:val="none"/>
          <w:lang w:val="en-US" w:eastAsia="zh-CN"/>
        </w:rPr>
        <w:t>小于12</w:t>
      </w:r>
      <w:r>
        <w:rPr>
          <w:rFonts w:hint="eastAsia" w:ascii="彩虹粗仿宋" w:hAnsi="彩虹粗仿宋" w:eastAsia="彩虹粗仿宋" w:cs="彩虹粗仿宋"/>
          <w:bCs/>
          <w:snapToGrid w:val="0"/>
          <w:color w:val="auto"/>
          <w:kern w:val="0"/>
          <w:sz w:val="32"/>
          <w:szCs w:val="32"/>
          <w:highlight w:val="none"/>
        </w:rPr>
        <w:t>小时。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系统发生灾难后，系统完全恢复到正常的可用性和性能水平的时间目标是</w:t>
      </w:r>
      <w:r>
        <w:rPr>
          <w:rFonts w:hint="eastAsia" w:ascii="彩虹粗仿宋" w:hAnsi="彩虹粗仿宋" w:eastAsia="彩虹粗仿宋" w:cs="彩虹粗仿宋"/>
          <w:bCs/>
          <w:snapToGrid w:val="0"/>
          <w:color w:val="auto"/>
          <w:kern w:val="0"/>
          <w:sz w:val="32"/>
          <w:szCs w:val="32"/>
          <w:highlight w:val="none"/>
          <w:lang w:val="en-US" w:eastAsia="zh-CN"/>
        </w:rPr>
        <w:t>24小时</w:t>
      </w:r>
      <w:r>
        <w:rPr>
          <w:rFonts w:hint="eastAsia" w:ascii="彩虹粗仿宋" w:hAnsi="彩虹粗仿宋" w:eastAsia="彩虹粗仿宋" w:cs="彩虹粗仿宋"/>
          <w:bCs/>
          <w:snapToGrid w:val="0"/>
          <w:color w:val="auto"/>
          <w:kern w:val="0"/>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
          <w:bCs w:val="0"/>
          <w:snapToGrid w:val="0"/>
          <w:color w:val="auto"/>
          <w:kern w:val="0"/>
          <w:sz w:val="32"/>
          <w:szCs w:val="32"/>
          <w:highlight w:val="none"/>
          <w:lang w:val="en-US" w:eastAsia="zh-CN"/>
        </w:rPr>
        <w:t>2.</w:t>
      </w:r>
      <w:r>
        <w:rPr>
          <w:rFonts w:hint="eastAsia" w:ascii="彩虹粗仿宋" w:hAnsi="彩虹粗仿宋" w:eastAsia="彩虹粗仿宋" w:cs="彩虹粗仿宋"/>
          <w:b/>
          <w:bCs w:val="0"/>
          <w:snapToGrid w:val="0"/>
          <w:color w:val="auto"/>
          <w:kern w:val="0"/>
          <w:sz w:val="32"/>
          <w:szCs w:val="32"/>
          <w:highlight w:val="none"/>
        </w:rPr>
        <w:t>系统性能</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 w:val="0"/>
          <w:bCs/>
          <w:snapToGrid w:val="0"/>
          <w:color w:val="auto"/>
          <w:kern w:val="0"/>
          <w:sz w:val="32"/>
          <w:szCs w:val="32"/>
          <w:highlight w:val="none"/>
          <w:lang w:eastAsia="zh-CN"/>
        </w:rPr>
        <w:t>（</w:t>
      </w:r>
      <w:r>
        <w:rPr>
          <w:rFonts w:hint="eastAsia" w:ascii="彩虹粗仿宋" w:hAnsi="彩虹粗仿宋" w:eastAsia="彩虹粗仿宋" w:cs="彩虹粗仿宋"/>
          <w:b w:val="0"/>
          <w:bCs/>
          <w:snapToGrid w:val="0"/>
          <w:color w:val="auto"/>
          <w:kern w:val="0"/>
          <w:sz w:val="32"/>
          <w:szCs w:val="32"/>
          <w:highlight w:val="none"/>
          <w:lang w:val="en-US" w:eastAsia="zh-CN"/>
        </w:rPr>
        <w:t>1</w:t>
      </w:r>
      <w:r>
        <w:rPr>
          <w:rFonts w:hint="eastAsia" w:ascii="彩虹粗仿宋" w:hAnsi="彩虹粗仿宋" w:eastAsia="彩虹粗仿宋" w:cs="彩虹粗仿宋"/>
          <w:b w:val="0"/>
          <w:bCs/>
          <w:snapToGrid w:val="0"/>
          <w:color w:val="auto"/>
          <w:kern w:val="0"/>
          <w:sz w:val="32"/>
          <w:szCs w:val="32"/>
          <w:highlight w:val="none"/>
          <w:lang w:eastAsia="zh-CN"/>
        </w:rPr>
        <w:t>）</w:t>
      </w:r>
      <w:r>
        <w:rPr>
          <w:rFonts w:hint="eastAsia" w:ascii="彩虹粗仿宋" w:hAnsi="彩虹粗仿宋" w:eastAsia="彩虹粗仿宋" w:cs="彩虹粗仿宋"/>
          <w:bCs/>
          <w:snapToGrid w:val="0"/>
          <w:color w:val="auto"/>
          <w:kern w:val="0"/>
          <w:sz w:val="32"/>
          <w:szCs w:val="32"/>
          <w:highlight w:val="none"/>
        </w:rPr>
        <w:t>用户连接数</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支持</w:t>
      </w:r>
      <w:r>
        <w:rPr>
          <w:rFonts w:hint="eastAsia" w:ascii="彩虹粗仿宋" w:hAnsi="彩虹粗仿宋" w:eastAsia="彩虹粗仿宋" w:cs="彩虹粗仿宋"/>
          <w:bCs/>
          <w:snapToGrid w:val="0"/>
          <w:color w:val="auto"/>
          <w:kern w:val="0"/>
          <w:sz w:val="32"/>
          <w:szCs w:val="32"/>
          <w:highlight w:val="none"/>
          <w:lang w:val="en-US" w:eastAsia="zh-CN"/>
        </w:rPr>
        <w:t>大于等于300</w:t>
      </w:r>
      <w:r>
        <w:rPr>
          <w:rFonts w:hint="eastAsia" w:ascii="彩虹粗仿宋" w:hAnsi="彩虹粗仿宋" w:eastAsia="彩虹粗仿宋" w:cs="彩虹粗仿宋"/>
          <w:bCs/>
          <w:snapToGrid w:val="0"/>
          <w:color w:val="auto"/>
          <w:kern w:val="0"/>
          <w:sz w:val="32"/>
          <w:szCs w:val="32"/>
          <w:highlight w:val="none"/>
        </w:rPr>
        <w:t>个用户并发访问，满足</w:t>
      </w:r>
      <w:r>
        <w:rPr>
          <w:rFonts w:hint="eastAsia" w:ascii="彩虹粗仿宋" w:hAnsi="彩虹粗仿宋" w:eastAsia="彩虹粗仿宋" w:cs="彩虹粗仿宋"/>
          <w:bCs/>
          <w:snapToGrid w:val="0"/>
          <w:color w:val="auto"/>
          <w:kern w:val="0"/>
          <w:sz w:val="32"/>
          <w:szCs w:val="32"/>
          <w:highlight w:val="none"/>
          <w:lang w:val="en-US" w:eastAsia="zh-CN"/>
        </w:rPr>
        <w:t>大于等于3000</w:t>
      </w:r>
      <w:r>
        <w:rPr>
          <w:rFonts w:hint="eastAsia" w:ascii="彩虹粗仿宋" w:hAnsi="彩虹粗仿宋" w:eastAsia="彩虹粗仿宋" w:cs="彩虹粗仿宋"/>
          <w:bCs/>
          <w:snapToGrid w:val="0"/>
          <w:color w:val="auto"/>
          <w:kern w:val="0"/>
          <w:sz w:val="32"/>
          <w:szCs w:val="32"/>
          <w:highlight w:val="none"/>
        </w:rPr>
        <w:t>个用户同时在线。</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200" w:firstLine="320" w:firstLineChars="1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lang w:eastAsia="zh-CN"/>
        </w:rPr>
        <w:t>（</w:t>
      </w:r>
      <w:r>
        <w:rPr>
          <w:rFonts w:hint="eastAsia" w:ascii="彩虹粗仿宋" w:hAnsi="彩虹粗仿宋" w:eastAsia="彩虹粗仿宋" w:cs="彩虹粗仿宋"/>
          <w:bCs/>
          <w:snapToGrid w:val="0"/>
          <w:color w:val="auto"/>
          <w:kern w:val="0"/>
          <w:sz w:val="32"/>
          <w:szCs w:val="32"/>
          <w:highlight w:val="none"/>
          <w:lang w:val="en-US" w:eastAsia="zh-CN"/>
        </w:rPr>
        <w:t>2</w:t>
      </w:r>
      <w:r>
        <w:rPr>
          <w:rFonts w:hint="eastAsia" w:ascii="彩虹粗仿宋" w:hAnsi="彩虹粗仿宋" w:eastAsia="彩虹粗仿宋" w:cs="彩虹粗仿宋"/>
          <w:bCs/>
          <w:snapToGrid w:val="0"/>
          <w:color w:val="auto"/>
          <w:kern w:val="0"/>
          <w:sz w:val="32"/>
          <w:szCs w:val="32"/>
          <w:highlight w:val="none"/>
          <w:lang w:eastAsia="zh-CN"/>
        </w:rPr>
        <w:t>）</w:t>
      </w:r>
      <w:r>
        <w:rPr>
          <w:rFonts w:hint="eastAsia" w:ascii="彩虹粗仿宋" w:hAnsi="彩虹粗仿宋" w:eastAsia="彩虹粗仿宋" w:cs="彩虹粗仿宋"/>
          <w:bCs/>
          <w:snapToGrid w:val="0"/>
          <w:color w:val="auto"/>
          <w:kern w:val="0"/>
          <w:sz w:val="32"/>
          <w:szCs w:val="32"/>
          <w:highlight w:val="none"/>
        </w:rPr>
        <w:t>系统吞吐量</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吞吐量（每月交易量、数据量、高峰期每日交易量、数据量）在保证性能的前提下，系统设计能够满足未来五年的交易高峰量。</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lang w:eastAsia="zh-CN"/>
        </w:rPr>
        <w:t>（</w:t>
      </w:r>
      <w:r>
        <w:rPr>
          <w:rFonts w:hint="eastAsia" w:ascii="彩虹粗仿宋" w:hAnsi="彩虹粗仿宋" w:eastAsia="彩虹粗仿宋" w:cs="彩虹粗仿宋"/>
          <w:bCs/>
          <w:snapToGrid w:val="0"/>
          <w:color w:val="auto"/>
          <w:kern w:val="0"/>
          <w:sz w:val="32"/>
          <w:szCs w:val="32"/>
          <w:highlight w:val="none"/>
          <w:lang w:val="en-US" w:eastAsia="zh-CN"/>
        </w:rPr>
        <w:t>3</w:t>
      </w:r>
      <w:r>
        <w:rPr>
          <w:rFonts w:hint="eastAsia" w:ascii="彩虹粗仿宋" w:hAnsi="彩虹粗仿宋" w:eastAsia="彩虹粗仿宋" w:cs="彩虹粗仿宋"/>
          <w:bCs/>
          <w:snapToGrid w:val="0"/>
          <w:color w:val="auto"/>
          <w:kern w:val="0"/>
          <w:sz w:val="32"/>
          <w:szCs w:val="32"/>
          <w:highlight w:val="none"/>
          <w:lang w:eastAsia="zh-CN"/>
        </w:rPr>
        <w:t>）</w:t>
      </w:r>
      <w:r>
        <w:rPr>
          <w:rFonts w:hint="eastAsia" w:ascii="彩虹粗仿宋" w:hAnsi="彩虹粗仿宋" w:eastAsia="彩虹粗仿宋" w:cs="彩虹粗仿宋"/>
          <w:bCs/>
          <w:snapToGrid w:val="0"/>
          <w:color w:val="auto"/>
          <w:kern w:val="0"/>
          <w:sz w:val="32"/>
          <w:szCs w:val="32"/>
          <w:highlight w:val="none"/>
        </w:rPr>
        <w:t>响应时间</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简单业务响应时间≤2s，复杂业务响应时间≤5s。</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lang w:eastAsia="zh-CN"/>
        </w:rPr>
        <w:t>（</w:t>
      </w:r>
      <w:r>
        <w:rPr>
          <w:rFonts w:hint="eastAsia" w:ascii="彩虹粗仿宋" w:hAnsi="彩虹粗仿宋" w:eastAsia="彩虹粗仿宋" w:cs="彩虹粗仿宋"/>
          <w:bCs/>
          <w:snapToGrid w:val="0"/>
          <w:color w:val="auto"/>
          <w:kern w:val="0"/>
          <w:sz w:val="32"/>
          <w:szCs w:val="32"/>
          <w:highlight w:val="none"/>
          <w:lang w:val="en-US" w:eastAsia="zh-CN"/>
        </w:rPr>
        <w:t>4</w:t>
      </w:r>
      <w:r>
        <w:rPr>
          <w:rFonts w:hint="eastAsia" w:ascii="彩虹粗仿宋" w:hAnsi="彩虹粗仿宋" w:eastAsia="彩虹粗仿宋" w:cs="彩虹粗仿宋"/>
          <w:bCs/>
          <w:snapToGrid w:val="0"/>
          <w:color w:val="auto"/>
          <w:kern w:val="0"/>
          <w:sz w:val="32"/>
          <w:szCs w:val="32"/>
          <w:highlight w:val="none"/>
          <w:lang w:eastAsia="zh-CN"/>
        </w:rPr>
        <w:t>）</w:t>
      </w:r>
      <w:r>
        <w:rPr>
          <w:rFonts w:hint="eastAsia" w:ascii="彩虹粗仿宋" w:hAnsi="彩虹粗仿宋" w:eastAsia="彩虹粗仿宋" w:cs="彩虹粗仿宋"/>
          <w:bCs/>
          <w:snapToGrid w:val="0"/>
          <w:color w:val="auto"/>
          <w:kern w:val="0"/>
          <w:sz w:val="32"/>
          <w:szCs w:val="32"/>
          <w:highlight w:val="none"/>
        </w:rPr>
        <w:t>时间窗口需求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200" w:firstLine="320" w:firstLineChars="1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7×24小时不间断运行。</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200" w:firstLine="320" w:firstLineChars="1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（5）数据备份和恢复时间</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系统提供完整的系统数据备份与灾难恢复机制，支持定期自动备份与手工两种备份方式，提供系统数据的全量和增量备份模数据库架构设计。</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hAnsi="彩虹粗仿宋" w:eastAsia="彩虹粗仿宋" w:cs="彩虹粗仿宋"/>
          <w:b/>
          <w:bCs w:val="0"/>
          <w:snapToGrid w:val="0"/>
          <w:color w:val="auto"/>
          <w:kern w:val="0"/>
          <w:sz w:val="32"/>
          <w:szCs w:val="32"/>
          <w:highlight w:val="none"/>
        </w:rPr>
      </w:pPr>
      <w:r>
        <w:rPr>
          <w:rFonts w:hint="eastAsia" w:ascii="彩虹粗仿宋" w:hAnsi="彩虹粗仿宋" w:eastAsia="彩虹粗仿宋" w:cs="彩虹粗仿宋"/>
          <w:b/>
          <w:bCs w:val="0"/>
          <w:snapToGrid w:val="0"/>
          <w:color w:val="auto"/>
          <w:kern w:val="0"/>
          <w:sz w:val="32"/>
          <w:szCs w:val="32"/>
          <w:highlight w:val="none"/>
        </w:rPr>
        <w:t>3.安全保密设计方案</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针对</w:t>
      </w:r>
      <w:r>
        <w:rPr>
          <w:rFonts w:hint="eastAsia" w:ascii="彩虹粗仿宋" w:hAnsi="彩虹粗仿宋" w:eastAsia="彩虹粗仿宋" w:cs="彩虹粗仿宋"/>
          <w:bCs/>
          <w:snapToGrid w:val="0"/>
          <w:color w:val="auto"/>
          <w:kern w:val="0"/>
          <w:sz w:val="32"/>
          <w:szCs w:val="32"/>
          <w:highlight w:val="none"/>
          <w:lang w:val="en-US" w:eastAsia="zh-CN"/>
        </w:rPr>
        <w:t>福州市第二总</w:t>
      </w:r>
      <w:r>
        <w:rPr>
          <w:rFonts w:hint="eastAsia" w:ascii="彩虹粗仿宋" w:hAnsi="彩虹粗仿宋" w:eastAsia="彩虹粗仿宋" w:cs="彩虹粗仿宋"/>
          <w:bCs/>
          <w:snapToGrid w:val="0"/>
          <w:color w:val="auto"/>
          <w:kern w:val="0"/>
          <w:sz w:val="32"/>
          <w:szCs w:val="32"/>
          <w:highlight w:val="none"/>
        </w:rPr>
        <w:t>医院</w:t>
      </w:r>
      <w:r>
        <w:rPr>
          <w:rFonts w:hint="eastAsia" w:ascii="彩虹粗仿宋" w:hAnsi="彩虹粗仿宋" w:eastAsia="彩虹粗仿宋" w:cs="彩虹粗仿宋"/>
          <w:color w:val="auto"/>
          <w:sz w:val="32"/>
          <w:szCs w:val="32"/>
          <w:highlight w:val="none"/>
        </w:rPr>
        <w:t>智能化支付结算平台项目</w:t>
      </w:r>
      <w:r>
        <w:rPr>
          <w:rFonts w:hint="eastAsia" w:ascii="彩虹粗仿宋" w:hAnsi="彩虹粗仿宋" w:eastAsia="彩虹粗仿宋" w:cs="彩虹粗仿宋"/>
          <w:bCs/>
          <w:snapToGrid w:val="0"/>
          <w:color w:val="auto"/>
          <w:kern w:val="0"/>
          <w:sz w:val="32"/>
          <w:szCs w:val="32"/>
          <w:highlight w:val="none"/>
        </w:rPr>
        <w:t>项目遵循安全性设计要求而制定，应满足信息系统安全保护等级三级的各项要求</w:t>
      </w:r>
      <w:r>
        <w:rPr>
          <w:rFonts w:hint="eastAsia" w:ascii="彩虹粗仿宋" w:hAnsi="彩虹粗仿宋" w:eastAsia="彩虹粗仿宋" w:cs="彩虹粗仿宋"/>
          <w:bCs/>
          <w:snapToGrid w:val="0"/>
          <w:color w:val="auto"/>
          <w:kern w:val="0"/>
          <w:sz w:val="32"/>
          <w:szCs w:val="32"/>
          <w:highlight w:val="none"/>
          <w:lang w:eastAsia="zh-CN"/>
        </w:rPr>
        <w:t>。</w:t>
      </w:r>
      <w:r>
        <w:rPr>
          <w:rFonts w:hint="eastAsia" w:ascii="彩虹粗仿宋" w:hAnsi="彩虹粗仿宋" w:eastAsia="彩虹粗仿宋" w:cs="彩虹粗仿宋"/>
          <w:bCs/>
          <w:snapToGrid w:val="0"/>
          <w:color w:val="auto"/>
          <w:kern w:val="0"/>
          <w:sz w:val="32"/>
          <w:szCs w:val="32"/>
          <w:highlight w:val="none"/>
          <w:lang w:val="en-US" w:eastAsia="zh-CN"/>
        </w:rPr>
        <w:t>系统上线前开展代码检查，提供系统代码审查报告，</w:t>
      </w:r>
      <w:r>
        <w:rPr>
          <w:rFonts w:hint="eastAsia" w:ascii="彩虹粗仿宋" w:hAnsi="彩虹粗仿宋" w:eastAsia="彩虹粗仿宋" w:cs="彩虹粗仿宋"/>
          <w:bCs/>
          <w:snapToGrid w:val="0"/>
          <w:color w:val="auto"/>
          <w:kern w:val="0"/>
          <w:sz w:val="32"/>
          <w:szCs w:val="32"/>
          <w:highlight w:val="none"/>
        </w:rPr>
        <w:t>具体包括应用系统安全的基本框架、设计原则、实施要求和实施内容。在不影响系统易用性的前提下，提供良好的用户界面、管理界面和开发界面，确保系统安全、高效、可靠运行。</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hAnsi="彩虹粗仿宋" w:eastAsia="彩虹粗仿宋" w:cs="彩虹粗仿宋"/>
          <w:b/>
          <w:bCs w:val="0"/>
          <w:snapToGrid w:val="0"/>
          <w:color w:val="auto"/>
          <w:kern w:val="0"/>
          <w:sz w:val="32"/>
          <w:szCs w:val="32"/>
          <w:highlight w:val="none"/>
        </w:rPr>
      </w:pPr>
      <w:r>
        <w:rPr>
          <w:rFonts w:hint="eastAsia" w:ascii="彩虹粗仿宋" w:hAnsi="彩虹粗仿宋" w:eastAsia="彩虹粗仿宋" w:cs="彩虹粗仿宋"/>
          <w:b/>
          <w:bCs w:val="0"/>
          <w:snapToGrid w:val="0"/>
          <w:color w:val="auto"/>
          <w:kern w:val="0"/>
          <w:sz w:val="32"/>
          <w:szCs w:val="32"/>
          <w:highlight w:val="none"/>
        </w:rPr>
        <w:t>4.系统维护设计</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系统具有运行日志，记录系统的使用情况、运行状况，能够保留故障现场，提供现场、远程等多种运维服务方式。</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hAnsi="彩虹粗仿宋" w:eastAsia="彩虹粗仿宋" w:cs="彩虹粗仿宋"/>
          <w:b/>
          <w:bCs w:val="0"/>
          <w:snapToGrid w:val="0"/>
          <w:color w:val="auto"/>
          <w:kern w:val="0"/>
          <w:sz w:val="32"/>
          <w:szCs w:val="32"/>
          <w:highlight w:val="none"/>
        </w:rPr>
      </w:pPr>
      <w:r>
        <w:rPr>
          <w:rFonts w:hint="eastAsia" w:ascii="彩虹粗仿宋" w:hAnsi="彩虹粗仿宋" w:eastAsia="彩虹粗仿宋" w:cs="彩虹粗仿宋"/>
          <w:b/>
          <w:bCs w:val="0"/>
          <w:snapToGrid w:val="0"/>
          <w:color w:val="auto"/>
          <w:kern w:val="0"/>
          <w:sz w:val="32"/>
          <w:szCs w:val="32"/>
          <w:highlight w:val="none"/>
        </w:rPr>
        <w:t>5.系统对接</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color w:val="auto"/>
          <w:sz w:val="32"/>
          <w:szCs w:val="32"/>
          <w:highlight w:val="none"/>
        </w:rPr>
        <w:t>智能化支付结算平台项目</w:t>
      </w:r>
      <w:r>
        <w:rPr>
          <w:rFonts w:hint="eastAsia" w:ascii="彩虹粗仿宋" w:hAnsi="彩虹粗仿宋" w:eastAsia="彩虹粗仿宋" w:cs="彩虹粗仿宋"/>
          <w:bCs/>
          <w:snapToGrid w:val="0"/>
          <w:color w:val="auto"/>
          <w:kern w:val="0"/>
          <w:sz w:val="32"/>
          <w:szCs w:val="32"/>
          <w:highlight w:val="none"/>
        </w:rPr>
        <w:t>和医院现行的管理平台系统无缝对接，实现数据共享，保证界面统一、流程统一、避免出现终端系统维护的繁琐性，所需第三方对接费用及改造费用包含在项目总价中。</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粗仿宋" w:hAnsi="彩虹粗仿宋" w:eastAsia="彩虹粗仿宋" w:cs="彩虹粗仿宋"/>
          <w:b/>
          <w:bCs w:val="0"/>
          <w:snapToGrid w:val="0"/>
          <w:color w:val="auto"/>
          <w:kern w:val="0"/>
          <w:sz w:val="32"/>
          <w:szCs w:val="32"/>
          <w:highlight w:val="none"/>
        </w:rPr>
      </w:pPr>
      <w:r>
        <w:rPr>
          <w:rFonts w:hint="eastAsia" w:ascii="彩虹粗仿宋" w:hAnsi="彩虹粗仿宋" w:eastAsia="彩虹粗仿宋" w:cs="彩虹粗仿宋"/>
          <w:b/>
          <w:bCs w:val="0"/>
          <w:snapToGrid w:val="0"/>
          <w:color w:val="auto"/>
          <w:kern w:val="0"/>
          <w:sz w:val="32"/>
          <w:szCs w:val="32"/>
          <w:highlight w:val="none"/>
          <w:lang w:val="en-US" w:eastAsia="zh-CN"/>
        </w:rPr>
        <w:t>6.</w:t>
      </w:r>
      <w:r>
        <w:rPr>
          <w:rFonts w:hint="eastAsia" w:ascii="彩虹粗仿宋" w:hAnsi="彩虹粗仿宋" w:eastAsia="彩虹粗仿宋" w:cs="彩虹粗仿宋"/>
          <w:b/>
          <w:bCs w:val="0"/>
          <w:snapToGrid w:val="0"/>
          <w:color w:val="auto"/>
          <w:kern w:val="0"/>
          <w:sz w:val="32"/>
          <w:szCs w:val="32"/>
          <w:highlight w:val="none"/>
        </w:rPr>
        <w:t>项目实施要求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lang w:val="en-US" w:eastAsia="zh-CN"/>
        </w:rPr>
        <w:t>合同签订</w:t>
      </w:r>
      <w:r>
        <w:rPr>
          <w:rFonts w:hint="eastAsia" w:ascii="彩虹粗仿宋" w:hAnsi="彩虹粗仿宋" w:eastAsia="彩虹粗仿宋" w:cs="彩虹粗仿宋"/>
          <w:bCs/>
          <w:snapToGrid w:val="0"/>
          <w:color w:val="auto"/>
          <w:kern w:val="0"/>
          <w:sz w:val="32"/>
          <w:szCs w:val="32"/>
          <w:highlight w:val="none"/>
        </w:rPr>
        <w:t>后5个工作日内到达项目现场，组建实施团队，明确实施方案，包括项目人员分配、职责分工（需指定专门的项目负责人对项目进行跟踪管理，负责人需具备相关信息化项目建设资质证书或建设经验）、任务分解，项目实施计划、实施内容、实施阶段，项目的重点技术保障，项目验收、后期维护，项目的对接、集成等。搭建起软件应用环境，</w:t>
      </w:r>
      <w:r>
        <w:rPr>
          <w:rFonts w:hint="eastAsia" w:ascii="彩虹粗仿宋" w:hAnsi="彩虹粗仿宋" w:eastAsia="彩虹粗仿宋" w:cs="彩虹粗仿宋"/>
          <w:bCs/>
          <w:snapToGrid w:val="0"/>
          <w:color w:val="auto"/>
          <w:kern w:val="0"/>
          <w:sz w:val="32"/>
          <w:szCs w:val="32"/>
          <w:highlight w:val="none"/>
          <w:lang w:val="en-US" w:eastAsia="zh-CN"/>
        </w:rPr>
        <w:t>30日</w:t>
      </w:r>
      <w:r>
        <w:rPr>
          <w:rFonts w:hint="eastAsia" w:ascii="彩虹粗仿宋" w:hAnsi="彩虹粗仿宋" w:eastAsia="彩虹粗仿宋" w:cs="彩虹粗仿宋"/>
          <w:bCs/>
          <w:snapToGrid w:val="0"/>
          <w:color w:val="auto"/>
          <w:kern w:val="0"/>
          <w:sz w:val="32"/>
          <w:szCs w:val="32"/>
          <w:highlight w:val="none"/>
        </w:rPr>
        <w:t>内完成系统上线工作。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粗仿宋" w:hAnsi="彩虹粗仿宋" w:eastAsia="彩虹粗仿宋" w:cs="彩虹粗仿宋"/>
          <w:b/>
          <w:bCs w:val="0"/>
          <w:snapToGrid w:val="0"/>
          <w:color w:val="auto"/>
          <w:kern w:val="0"/>
          <w:sz w:val="32"/>
          <w:szCs w:val="32"/>
          <w:highlight w:val="none"/>
        </w:rPr>
      </w:pPr>
      <w:r>
        <w:rPr>
          <w:rFonts w:hint="eastAsia" w:ascii="彩虹粗仿宋" w:hAnsi="彩虹粗仿宋" w:eastAsia="彩虹粗仿宋" w:cs="彩虹粗仿宋"/>
          <w:b/>
          <w:bCs w:val="0"/>
          <w:snapToGrid w:val="0"/>
          <w:color w:val="auto"/>
          <w:kern w:val="0"/>
          <w:sz w:val="32"/>
          <w:szCs w:val="32"/>
          <w:highlight w:val="none"/>
          <w:lang w:val="en-US" w:eastAsia="zh-CN"/>
        </w:rPr>
        <w:t>7.</w:t>
      </w:r>
      <w:r>
        <w:rPr>
          <w:rFonts w:hint="eastAsia" w:ascii="彩虹粗仿宋" w:hAnsi="彩虹粗仿宋" w:eastAsia="彩虹粗仿宋" w:cs="彩虹粗仿宋"/>
          <w:b/>
          <w:bCs w:val="0"/>
          <w:snapToGrid w:val="0"/>
          <w:color w:val="auto"/>
          <w:kern w:val="0"/>
          <w:sz w:val="32"/>
          <w:szCs w:val="32"/>
          <w:highlight w:val="none"/>
        </w:rPr>
        <w:t>国产化适配要求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软件系统要符合“信创”工作要求</w:t>
      </w:r>
      <w:r>
        <w:rPr>
          <w:rFonts w:hint="eastAsia" w:ascii="彩虹粗仿宋" w:hAnsi="彩虹粗仿宋" w:eastAsia="彩虹粗仿宋" w:cs="彩虹粗仿宋"/>
          <w:color w:val="auto"/>
          <w:sz w:val="32"/>
          <w:szCs w:val="32"/>
          <w:highlight w:val="none"/>
          <w:lang w:val="en-US" w:eastAsia="zh-CN"/>
        </w:rPr>
        <w:t>（实施范围：所有院区）</w:t>
      </w:r>
      <w:r>
        <w:rPr>
          <w:rFonts w:hint="eastAsia" w:ascii="彩虹粗仿宋" w:hAnsi="彩虹粗仿宋" w:eastAsia="彩虹粗仿宋" w:cs="彩虹粗仿宋"/>
          <w:bCs/>
          <w:snapToGrid w:val="0"/>
          <w:color w:val="auto"/>
          <w:kern w:val="0"/>
          <w:sz w:val="32"/>
          <w:szCs w:val="32"/>
          <w:highlight w:val="none"/>
        </w:rPr>
        <w:t>，须根据甲方工作实际免费提供适配性改造：支持与国产操作系统（如银河麒麟</w:t>
      </w:r>
      <w:r>
        <w:rPr>
          <w:rFonts w:hint="eastAsia" w:ascii="彩虹粗仿宋" w:hAnsi="彩虹粗仿宋" w:eastAsia="彩虹粗仿宋" w:cs="彩虹粗仿宋"/>
          <w:bCs/>
          <w:snapToGrid w:val="0"/>
          <w:color w:val="auto"/>
          <w:kern w:val="0"/>
          <w:sz w:val="32"/>
          <w:szCs w:val="32"/>
          <w:highlight w:val="none"/>
          <w:lang w:eastAsia="zh-CN"/>
        </w:rPr>
        <w:t>、</w:t>
      </w:r>
      <w:r>
        <w:rPr>
          <w:rFonts w:hint="eastAsia" w:ascii="彩虹粗仿宋" w:hAnsi="彩虹粗仿宋" w:eastAsia="彩虹粗仿宋" w:cs="彩虹粗仿宋"/>
          <w:bCs/>
          <w:snapToGrid w:val="0"/>
          <w:color w:val="auto"/>
          <w:kern w:val="0"/>
          <w:sz w:val="32"/>
          <w:szCs w:val="32"/>
          <w:highlight w:val="none"/>
          <w:lang w:val="en-US" w:eastAsia="zh-CN"/>
        </w:rPr>
        <w:t>统信等</w:t>
      </w:r>
      <w:r>
        <w:rPr>
          <w:rFonts w:hint="eastAsia" w:ascii="彩虹粗仿宋" w:hAnsi="彩虹粗仿宋" w:eastAsia="彩虹粗仿宋" w:cs="彩虹粗仿宋"/>
          <w:bCs/>
          <w:snapToGrid w:val="0"/>
          <w:color w:val="auto"/>
          <w:kern w:val="0"/>
          <w:sz w:val="32"/>
          <w:szCs w:val="32"/>
          <w:highlight w:val="none"/>
        </w:rPr>
        <w:t>）、国产化数据库（如南大通用、达梦、人大金仓）、国产化中间件（如东方通）的适配。</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hAnsi="彩虹楷体" w:eastAsia="彩虹楷体" w:cs="彩虹楷体"/>
          <w:b/>
          <w:bCs w:val="0"/>
          <w:snapToGrid w:val="0"/>
          <w:color w:val="auto"/>
          <w:kern w:val="0"/>
          <w:sz w:val="32"/>
          <w:szCs w:val="32"/>
          <w:highlight w:val="none"/>
        </w:rPr>
      </w:pPr>
      <w:r>
        <w:rPr>
          <w:rFonts w:hint="eastAsia" w:ascii="彩虹楷体" w:hAnsi="彩虹楷体" w:eastAsia="彩虹楷体" w:cs="彩虹楷体"/>
          <w:b/>
          <w:bCs w:val="0"/>
          <w:snapToGrid w:val="0"/>
          <w:color w:val="auto"/>
          <w:kern w:val="0"/>
          <w:sz w:val="32"/>
          <w:szCs w:val="32"/>
          <w:highlight w:val="none"/>
        </w:rPr>
        <w:t>（四）供货要求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lang w:val="en-US" w:eastAsia="zh-CN"/>
        </w:rPr>
        <w:t>1.硬件部分：供应商须在合同签订之日起15日内直接部署到医院指定位置，</w:t>
      </w:r>
      <w:r>
        <w:rPr>
          <w:rFonts w:hint="eastAsia" w:ascii="彩虹粗仿宋" w:hAnsi="彩虹粗仿宋" w:eastAsia="彩虹粗仿宋" w:cs="彩虹粗仿宋"/>
          <w:bCs/>
          <w:snapToGrid w:val="0"/>
          <w:color w:val="auto"/>
          <w:kern w:val="0"/>
          <w:sz w:val="32"/>
          <w:szCs w:val="32"/>
          <w:highlight w:val="none"/>
        </w:rPr>
        <w:t>各项功能正常运行且符合采购要求，确保验收合格。</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lang w:val="en-US" w:eastAsia="zh-CN"/>
        </w:rPr>
      </w:pPr>
      <w:r>
        <w:rPr>
          <w:rFonts w:hint="eastAsia" w:ascii="彩虹粗仿宋" w:hAnsi="彩虹粗仿宋" w:eastAsia="彩虹粗仿宋" w:cs="彩虹粗仿宋"/>
          <w:bCs/>
          <w:snapToGrid w:val="0"/>
          <w:color w:val="auto"/>
          <w:kern w:val="0"/>
          <w:sz w:val="32"/>
          <w:szCs w:val="32"/>
          <w:highlight w:val="none"/>
          <w:lang w:val="en-US" w:eastAsia="zh-CN"/>
        </w:rPr>
        <w:t>2.软件部分：合同签订之日起45日内软件产品的各项功能正常运行且符合采购要求，确保验收合格。</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hAnsi="彩虹楷体" w:eastAsia="彩虹楷体" w:cs="彩虹楷体"/>
          <w:b/>
          <w:bCs w:val="0"/>
          <w:snapToGrid w:val="0"/>
          <w:color w:val="auto"/>
          <w:kern w:val="0"/>
          <w:sz w:val="32"/>
          <w:szCs w:val="32"/>
          <w:highlight w:val="none"/>
        </w:rPr>
      </w:pPr>
      <w:r>
        <w:rPr>
          <w:rFonts w:hint="eastAsia" w:ascii="彩虹楷体" w:hAnsi="彩虹楷体" w:eastAsia="彩虹楷体" w:cs="彩虹楷体"/>
          <w:b/>
          <w:bCs w:val="0"/>
          <w:snapToGrid w:val="0"/>
          <w:color w:val="auto"/>
          <w:kern w:val="0"/>
          <w:sz w:val="32"/>
          <w:szCs w:val="32"/>
          <w:highlight w:val="none"/>
        </w:rPr>
        <w:t>（五）售后服务要求</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hAnsi="彩虹粗仿宋" w:eastAsia="彩虹粗仿宋" w:cs="彩虹粗仿宋"/>
          <w:b/>
          <w:bCs w:val="0"/>
          <w:snapToGrid w:val="0"/>
          <w:color w:val="auto"/>
          <w:kern w:val="0"/>
          <w:sz w:val="32"/>
          <w:szCs w:val="32"/>
          <w:highlight w:val="none"/>
          <w:lang w:val="en-US" w:eastAsia="zh-CN" w:bidi="ar-SA"/>
        </w:rPr>
      </w:pPr>
      <w:r>
        <w:rPr>
          <w:rFonts w:hint="eastAsia" w:ascii="彩虹粗仿宋" w:hAnsi="彩虹粗仿宋" w:eastAsia="彩虹粗仿宋" w:cs="彩虹粗仿宋"/>
          <w:b/>
          <w:bCs w:val="0"/>
          <w:snapToGrid w:val="0"/>
          <w:color w:val="auto"/>
          <w:kern w:val="0"/>
          <w:sz w:val="32"/>
          <w:szCs w:val="32"/>
          <w:highlight w:val="none"/>
          <w:lang w:val="en-US" w:eastAsia="zh-CN"/>
        </w:rPr>
        <w:t>1.</w:t>
      </w:r>
      <w:r>
        <w:rPr>
          <w:rFonts w:hint="eastAsia" w:ascii="彩虹粗仿宋" w:hAnsi="彩虹粗仿宋" w:eastAsia="彩虹粗仿宋" w:cs="彩虹粗仿宋"/>
          <w:b/>
          <w:bCs w:val="0"/>
          <w:snapToGrid w:val="0"/>
          <w:color w:val="auto"/>
          <w:kern w:val="0"/>
          <w:sz w:val="32"/>
          <w:szCs w:val="32"/>
          <w:highlight w:val="none"/>
          <w:lang w:val="en-US" w:eastAsia="zh-CN" w:bidi="ar-SA"/>
        </w:rPr>
        <w:t>硬件部分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b w:val="0"/>
          <w:bCs/>
          <w:snapToGrid w:val="0"/>
          <w:color w:val="auto"/>
          <w:kern w:val="0"/>
          <w:sz w:val="32"/>
          <w:szCs w:val="32"/>
          <w:highlight w:val="none"/>
          <w:lang w:val="en-US" w:eastAsia="zh-CN" w:bidi="ar-SA"/>
        </w:rPr>
        <w:t>（1）</w:t>
      </w:r>
      <w:r>
        <w:rPr>
          <w:rFonts w:hint="eastAsia" w:ascii="彩虹粗仿宋" w:hAnsi="彩虹粗仿宋" w:eastAsia="彩虹粗仿宋" w:cs="彩虹粗仿宋"/>
          <w:bCs/>
          <w:snapToGrid w:val="0"/>
          <w:color w:val="auto"/>
          <w:kern w:val="0"/>
          <w:sz w:val="32"/>
          <w:szCs w:val="32"/>
          <w:highlight w:val="none"/>
          <w:lang w:val="en-US" w:eastAsia="zh-CN" w:bidi="ar-SA"/>
        </w:rPr>
        <w:t>硬件(含接口费用）不少于3年免费维护升级。</w:t>
      </w:r>
      <w:r>
        <w:rPr>
          <w:rFonts w:hint="eastAsia" w:ascii="彩虹粗仿宋" w:hAnsi="彩虹粗仿宋" w:eastAsia="彩虹粗仿宋" w:cs="彩虹粗仿宋"/>
          <w:color w:val="auto"/>
          <w:sz w:val="32"/>
          <w:szCs w:val="32"/>
          <w:highlight w:val="none"/>
          <w:lang w:val="en-US" w:eastAsia="zh-CN"/>
        </w:rPr>
        <w:t>质保期满后的每年维护费不高于项目采购金额的5%。</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lang w:val="en-US" w:eastAsia="zh-CN" w:bidi="ar-SA"/>
        </w:rPr>
      </w:pPr>
      <w:r>
        <w:rPr>
          <w:rFonts w:hint="eastAsia" w:ascii="彩虹粗仿宋" w:hAnsi="彩虹粗仿宋" w:eastAsia="彩虹粗仿宋" w:cs="彩虹粗仿宋"/>
          <w:bCs/>
          <w:snapToGrid w:val="0"/>
          <w:color w:val="auto"/>
          <w:kern w:val="0"/>
          <w:sz w:val="32"/>
          <w:szCs w:val="32"/>
          <w:highlight w:val="none"/>
          <w:lang w:val="en-US" w:eastAsia="zh-CN" w:bidi="ar-SA"/>
        </w:rPr>
        <w:t>（2）维护支持服务期内，供应商和维护支持服务提供方提供7×24小时电话、网络等远程支持服务及上门维护支持服务。维护支持服务提供方可通过电话、网络等远程方式对我行在产品使用过程中出现的一般性问题提供咨询解答。产品出现故障时，我行可以通过电话或网络方式向供应商报告故障，维护支持服务提供方应按照本合同约定立即作出响应。</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lang w:val="en-US" w:eastAsia="zh-CN" w:bidi="ar-SA"/>
        </w:rPr>
      </w:pPr>
      <w:r>
        <w:rPr>
          <w:rFonts w:hint="eastAsia" w:ascii="彩虹粗仿宋" w:hAnsi="彩虹粗仿宋" w:eastAsia="彩虹粗仿宋" w:cs="彩虹粗仿宋"/>
          <w:bCs/>
          <w:snapToGrid w:val="0"/>
          <w:color w:val="auto"/>
          <w:kern w:val="0"/>
          <w:sz w:val="32"/>
          <w:szCs w:val="32"/>
          <w:highlight w:val="none"/>
          <w:lang w:val="en-US" w:eastAsia="zh-CN" w:bidi="ar-SA"/>
        </w:rPr>
        <w:t>（3）供应商在提供产品或服务（包括但不限于运输、安装、测试、调试、集成、维护等）过程中，造成产品毁损的，供应商应根据我行要求进行维修或更换产品，维修或更换的费用由供应商承担；无法维修或更换的，由供应商按照产品原价负责赔偿；若供应商产品或供应商在提供产品或服务（包括但不限于运输、安装、测试、调试、集成、维护等）过程中，造成我行或其他第三人的人身、财产损害的，供应商应承担赔偿责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lang w:val="en-US" w:eastAsia="zh-CN" w:bidi="ar-SA"/>
        </w:rPr>
      </w:pPr>
      <w:r>
        <w:rPr>
          <w:rFonts w:hint="eastAsia" w:ascii="彩虹粗仿宋" w:hAnsi="彩虹粗仿宋" w:eastAsia="彩虹粗仿宋" w:cs="彩虹粗仿宋"/>
          <w:bCs/>
          <w:snapToGrid w:val="0"/>
          <w:color w:val="auto"/>
          <w:kern w:val="0"/>
          <w:sz w:val="32"/>
          <w:szCs w:val="32"/>
          <w:highlight w:val="none"/>
          <w:lang w:val="en-US" w:eastAsia="zh-CN" w:bidi="ar-SA"/>
        </w:rPr>
        <w:t>（4）入选供应商未按本项目约定履行技术支持的，我行有权按照合同总金额的1‰扣罚违约金。</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lang w:val="en-US" w:eastAsia="zh-CN" w:bidi="ar-SA"/>
        </w:rPr>
      </w:pPr>
      <w:r>
        <w:rPr>
          <w:rFonts w:hint="eastAsia" w:ascii="彩虹粗仿宋" w:hAnsi="彩虹粗仿宋" w:eastAsia="彩虹粗仿宋" w:cs="彩虹粗仿宋"/>
          <w:bCs/>
          <w:snapToGrid w:val="0"/>
          <w:color w:val="auto"/>
          <w:kern w:val="0"/>
          <w:sz w:val="32"/>
          <w:szCs w:val="32"/>
          <w:highlight w:val="none"/>
          <w:lang w:val="en-US" w:eastAsia="zh-CN" w:bidi="ar-SA"/>
        </w:rPr>
        <w:t>（5）入选供应商未能按期履行对本项目的维保服务，我行有权自维保服务逾期之日起按照合同总金额的0.5‰乘以逾期天数扣罚违约金。</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lang w:val="en-US" w:eastAsia="zh-CN" w:bidi="ar-SA"/>
        </w:rPr>
      </w:pPr>
      <w:r>
        <w:rPr>
          <w:rFonts w:hint="eastAsia" w:ascii="彩虹粗仿宋" w:hAnsi="彩虹粗仿宋" w:eastAsia="彩虹粗仿宋" w:cs="彩虹粗仿宋"/>
          <w:bCs/>
          <w:snapToGrid w:val="0"/>
          <w:color w:val="auto"/>
          <w:kern w:val="0"/>
          <w:sz w:val="32"/>
          <w:szCs w:val="32"/>
          <w:highlight w:val="none"/>
          <w:lang w:val="en-US" w:eastAsia="zh-CN" w:bidi="ar-SA"/>
        </w:rPr>
        <w:t>（6）入选供应商违约行为对本项目造成重大不利影响或我行声誉的，我行有权解除或部分解除合同，并按照合同总金额的5％扣罚违约金，违约金不足以补偿我行损失的，入选供应商还应赔偿我行全部损失。</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粗仿宋" w:hAnsi="彩虹粗仿宋" w:eastAsia="彩虹粗仿宋" w:cs="彩虹粗仿宋"/>
          <w:b/>
          <w:bCs w:val="0"/>
          <w:snapToGrid w:val="0"/>
          <w:color w:val="auto"/>
          <w:kern w:val="0"/>
          <w:sz w:val="32"/>
          <w:szCs w:val="32"/>
          <w:highlight w:val="none"/>
          <w:lang w:val="en-US" w:eastAsia="zh-CN" w:bidi="ar-SA"/>
        </w:rPr>
      </w:pPr>
      <w:r>
        <w:rPr>
          <w:rFonts w:hint="eastAsia" w:ascii="彩虹粗仿宋" w:hAnsi="彩虹粗仿宋" w:eastAsia="彩虹粗仿宋" w:cs="彩虹粗仿宋"/>
          <w:b/>
          <w:bCs w:val="0"/>
          <w:snapToGrid w:val="0"/>
          <w:color w:val="auto"/>
          <w:kern w:val="0"/>
          <w:sz w:val="32"/>
          <w:szCs w:val="32"/>
          <w:highlight w:val="none"/>
          <w:lang w:val="en-US" w:eastAsia="zh-CN" w:bidi="ar-SA"/>
        </w:rPr>
        <w:t>2.软件部分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b w:val="0"/>
          <w:bCs/>
          <w:snapToGrid w:val="0"/>
          <w:color w:val="auto"/>
          <w:kern w:val="0"/>
          <w:sz w:val="32"/>
          <w:szCs w:val="32"/>
          <w:highlight w:val="none"/>
          <w:lang w:val="en-US" w:eastAsia="zh-CN" w:bidi="ar-SA"/>
        </w:rPr>
        <w:t>（1）软件(含接口费用）不少于3年免费维护升级。</w:t>
      </w:r>
      <w:r>
        <w:rPr>
          <w:rFonts w:hint="eastAsia" w:ascii="彩虹粗仿宋" w:hAnsi="彩虹粗仿宋" w:eastAsia="彩虹粗仿宋" w:cs="彩虹粗仿宋"/>
          <w:color w:val="auto"/>
          <w:sz w:val="32"/>
          <w:szCs w:val="32"/>
          <w:highlight w:val="none"/>
          <w:lang w:val="en-US" w:eastAsia="zh-CN"/>
        </w:rPr>
        <w:t>质保期满后的每年维护费不高于项目采购金额的5%。</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lang w:val="en-US" w:eastAsia="zh-CN" w:bidi="ar-SA"/>
        </w:rPr>
      </w:pPr>
      <w:r>
        <w:rPr>
          <w:rFonts w:hint="eastAsia" w:ascii="彩虹粗仿宋" w:hAnsi="彩虹粗仿宋" w:eastAsia="彩虹粗仿宋" w:cs="彩虹粗仿宋"/>
          <w:color w:val="auto"/>
          <w:sz w:val="32"/>
          <w:szCs w:val="32"/>
          <w:highlight w:val="none"/>
          <w:lang w:val="en-US" w:eastAsia="zh-CN"/>
        </w:rPr>
        <w:t>（2）</w:t>
      </w:r>
      <w:r>
        <w:rPr>
          <w:rFonts w:hint="eastAsia" w:ascii="彩虹粗仿宋" w:hAnsi="彩虹粗仿宋" w:eastAsia="彩虹粗仿宋" w:cs="彩虹粗仿宋"/>
          <w:bCs/>
          <w:snapToGrid w:val="0"/>
          <w:color w:val="auto"/>
          <w:kern w:val="0"/>
          <w:sz w:val="32"/>
          <w:szCs w:val="32"/>
          <w:highlight w:val="none"/>
          <w:lang w:val="en-US" w:eastAsia="zh-CN" w:bidi="ar-SA"/>
        </w:rPr>
        <w:t>供应商交付的软件产品介质、技术资料、文档及使用许可证明文件等存在损坏或短缺，或软件产品种类、版本等不符合合同约定的，供应商应当按照我行要求立即进行更换或补足，并承担由此产生的全部费用。在该部分软件产品或其资料文件进行更换或补足前，我行有权拒付相应合同价款。</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lang w:val="en-US" w:eastAsia="zh-CN" w:bidi="ar-SA"/>
        </w:rPr>
      </w:pPr>
      <w:r>
        <w:rPr>
          <w:rFonts w:hint="eastAsia" w:ascii="彩虹粗仿宋" w:hAnsi="彩虹粗仿宋" w:eastAsia="彩虹粗仿宋" w:cs="彩虹粗仿宋"/>
          <w:bCs/>
          <w:snapToGrid w:val="0"/>
          <w:color w:val="auto"/>
          <w:kern w:val="0"/>
          <w:sz w:val="32"/>
          <w:szCs w:val="32"/>
          <w:highlight w:val="none"/>
          <w:lang w:val="en-US" w:eastAsia="zh-CN" w:bidi="ar-SA"/>
        </w:rPr>
        <w:t>（3）供应商接严重级别故障通知后，可在3小时内响应到达现场；接一般级别故障通知后，如故障在3小时内无法排除，可在6小时内响应到达现场；接轻微级别故障通知后，如故障在6小时内无法排除，可在12小时内响应到达现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lang w:val="en-US" w:eastAsia="zh-CN" w:bidi="ar-SA"/>
        </w:rPr>
      </w:pPr>
      <w:r>
        <w:rPr>
          <w:rFonts w:hint="eastAsia" w:ascii="彩虹粗仿宋" w:hAnsi="彩虹粗仿宋" w:eastAsia="彩虹粗仿宋" w:cs="彩虹粗仿宋"/>
          <w:bCs/>
          <w:snapToGrid w:val="0"/>
          <w:color w:val="auto"/>
          <w:kern w:val="0"/>
          <w:sz w:val="32"/>
          <w:szCs w:val="32"/>
          <w:highlight w:val="none"/>
          <w:lang w:val="en-US" w:eastAsia="zh-CN" w:bidi="ar-SA"/>
        </w:rPr>
        <w:t>（4）入选供应商未按本项目约定履行技术支持的，我行有权按照合同总金额的1‰扣罚违约金。</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lang w:val="en-US" w:eastAsia="zh-CN" w:bidi="ar-SA"/>
        </w:rPr>
      </w:pPr>
      <w:r>
        <w:rPr>
          <w:rFonts w:hint="eastAsia" w:ascii="彩虹粗仿宋" w:hAnsi="彩虹粗仿宋" w:eastAsia="彩虹粗仿宋" w:cs="彩虹粗仿宋"/>
          <w:bCs/>
          <w:snapToGrid w:val="0"/>
          <w:color w:val="auto"/>
          <w:kern w:val="0"/>
          <w:sz w:val="32"/>
          <w:szCs w:val="32"/>
          <w:highlight w:val="none"/>
          <w:lang w:val="en-US" w:eastAsia="zh-CN" w:bidi="ar-SA"/>
        </w:rPr>
        <w:t>（5）入选供应商未能按期履行对本项目的维保服务，我行有权自维保服务逾期之日起按照合同总金额的0.5‰乘以逾期天数扣罚违约金。</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lang w:val="en-US" w:eastAsia="zh-CN" w:bidi="ar-SA"/>
        </w:rPr>
        <w:t>（6）入选供应商违约行为对本项目造成重大不利影响或我行声誉的，我行有权解除或部分解除合同，并按照合同总金额的5％扣罚违约金，违约金不足以补偿我行损失的，入选供应商还应赔偿我行全部损失。</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hAnsi="彩虹楷体" w:eastAsia="彩虹楷体" w:cs="彩虹楷体"/>
          <w:b/>
          <w:bCs w:val="0"/>
          <w:snapToGrid w:val="0"/>
          <w:color w:val="auto"/>
          <w:kern w:val="0"/>
          <w:sz w:val="32"/>
          <w:szCs w:val="32"/>
          <w:highlight w:val="none"/>
        </w:rPr>
      </w:pPr>
      <w:r>
        <w:rPr>
          <w:rFonts w:hint="eastAsia" w:ascii="彩虹楷体" w:hAnsi="彩虹楷体" w:eastAsia="彩虹楷体" w:cs="彩虹楷体"/>
          <w:b/>
          <w:bCs w:val="0"/>
          <w:snapToGrid w:val="0"/>
          <w:color w:val="auto"/>
          <w:kern w:val="0"/>
          <w:sz w:val="32"/>
          <w:szCs w:val="32"/>
          <w:highlight w:val="none"/>
        </w:rPr>
        <w:t>（六）报价要求</w:t>
      </w:r>
    </w:p>
    <w:p>
      <w:pPr>
        <w:keepNext w:val="0"/>
        <w:keepLines w:val="0"/>
        <w:pageBreakBefore w:val="0"/>
        <w:widowControl w:val="0"/>
        <w:kinsoku/>
        <w:wordWrap/>
        <w:overflowPunct/>
        <w:topLinePunct w:val="0"/>
        <w:autoSpaceDE/>
        <w:autoSpaceDN/>
        <w:bidi w:val="0"/>
        <w:spacing w:line="560" w:lineRule="exact"/>
        <w:ind w:firstLine="720" w:firstLineChars="200"/>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pacing w:val="20"/>
          <w:sz w:val="32"/>
          <w:szCs w:val="32"/>
          <w:highlight w:val="none"/>
        </w:rPr>
        <w:t>本次采购项目价款包含全部软硬件设备、支付接口对接、</w:t>
      </w:r>
      <w:r>
        <w:rPr>
          <w:rFonts w:hint="eastAsia" w:ascii="彩虹粗仿宋" w:hAnsi="彩虹粗仿宋" w:eastAsia="彩虹粗仿宋" w:cs="彩虹粗仿宋"/>
          <w:spacing w:val="20"/>
          <w:sz w:val="32"/>
          <w:szCs w:val="32"/>
          <w:highlight w:val="none"/>
          <w:lang w:val="en-US" w:eastAsia="zh-CN"/>
        </w:rPr>
        <w:t>现场安装调试</w:t>
      </w:r>
      <w:r>
        <w:rPr>
          <w:rFonts w:hint="eastAsia" w:ascii="彩虹粗仿宋" w:hAnsi="彩虹粗仿宋" w:eastAsia="彩虹粗仿宋" w:cs="彩虹粗仿宋"/>
          <w:spacing w:val="19"/>
          <w:sz w:val="32"/>
          <w:szCs w:val="32"/>
          <w:highlight w:val="none"/>
        </w:rPr>
        <w:t>与售后支持、税费等一切相关费用。除合同价款外，建行</w:t>
      </w:r>
      <w:r>
        <w:rPr>
          <w:rFonts w:hint="eastAsia" w:ascii="彩虹粗仿宋" w:hAnsi="彩虹粗仿宋" w:eastAsia="彩虹粗仿宋" w:cs="彩虹粗仿宋"/>
          <w:spacing w:val="9"/>
          <w:sz w:val="32"/>
          <w:szCs w:val="32"/>
          <w:highlight w:val="none"/>
        </w:rPr>
        <w:t>不再另行承担其他任何费用。</w:t>
      </w:r>
    </w:p>
    <w:p>
      <w:pPr>
        <w:keepNext w:val="0"/>
        <w:keepLines w:val="0"/>
        <w:pageBreakBefore w:val="0"/>
        <w:widowControl w:val="0"/>
        <w:numPr>
          <w:ilvl w:val="0"/>
          <w:numId w:val="2"/>
        </w:numPr>
        <w:kinsoku/>
        <w:wordWrap/>
        <w:overflowPunct/>
        <w:topLinePunct w:val="0"/>
        <w:autoSpaceDE/>
        <w:autoSpaceDN/>
        <w:bidi w:val="0"/>
        <w:spacing w:line="560" w:lineRule="exact"/>
        <w:ind w:firstLine="643" w:firstLineChars="200"/>
        <w:jc w:val="left"/>
        <w:textAlignment w:val="auto"/>
        <w:rPr>
          <w:rFonts w:hint="eastAsia" w:ascii="彩虹楷体" w:hAnsi="彩虹楷体" w:eastAsia="彩虹楷体" w:cs="彩虹楷体"/>
          <w:b/>
          <w:bCs w:val="0"/>
          <w:snapToGrid w:val="0"/>
          <w:color w:val="auto"/>
          <w:kern w:val="0"/>
          <w:sz w:val="32"/>
          <w:szCs w:val="32"/>
          <w:highlight w:val="none"/>
        </w:rPr>
      </w:pPr>
      <w:r>
        <w:rPr>
          <w:rFonts w:hint="eastAsia" w:ascii="彩虹楷体" w:hAnsi="彩虹楷体" w:eastAsia="彩虹楷体" w:cs="彩虹楷体"/>
          <w:b/>
          <w:bCs w:val="0"/>
          <w:snapToGrid w:val="0"/>
          <w:color w:val="auto"/>
          <w:kern w:val="0"/>
          <w:sz w:val="32"/>
          <w:szCs w:val="32"/>
          <w:highlight w:val="none"/>
        </w:rPr>
        <w:t>款项支付要求</w:t>
      </w:r>
    </w:p>
    <w:p>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jc w:val="left"/>
        <w:textAlignment w:val="auto"/>
        <w:rPr>
          <w:rFonts w:hint="eastAsia" w:ascii="彩虹粗仿宋" w:hAnsi="彩虹粗仿宋" w:eastAsia="彩虹粗仿宋" w:cs="彩虹粗仿宋"/>
          <w:b/>
          <w:bCs w:val="0"/>
          <w:snapToGrid w:val="0"/>
          <w:color w:val="auto"/>
          <w:kern w:val="0"/>
          <w:sz w:val="32"/>
          <w:szCs w:val="32"/>
          <w:highlight w:val="none"/>
          <w:lang w:val="en-US" w:eastAsia="zh-CN"/>
        </w:rPr>
      </w:pPr>
      <w:r>
        <w:rPr>
          <w:rFonts w:hint="eastAsia" w:ascii="彩虹粗仿宋" w:hAnsi="彩虹粗仿宋" w:eastAsia="彩虹粗仿宋" w:cs="彩虹粗仿宋"/>
          <w:b/>
          <w:bCs w:val="0"/>
          <w:snapToGrid w:val="0"/>
          <w:color w:val="auto"/>
          <w:kern w:val="0"/>
          <w:sz w:val="32"/>
          <w:szCs w:val="32"/>
          <w:highlight w:val="none"/>
          <w:lang w:val="en-US" w:eastAsia="zh-CN"/>
        </w:rPr>
        <w:t>1.硬件部分</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在供应商无任何违约行为的前提下，建行福建省分行所属</w:t>
      </w:r>
      <w:r>
        <w:rPr>
          <w:rFonts w:hint="eastAsia" w:ascii="彩虹粗仿宋" w:hAnsi="彩虹粗仿宋" w:eastAsia="彩虹粗仿宋" w:cs="彩虹粗仿宋"/>
          <w:bCs/>
          <w:snapToGrid w:val="0"/>
          <w:color w:val="auto"/>
          <w:kern w:val="0"/>
          <w:sz w:val="32"/>
          <w:szCs w:val="32"/>
          <w:highlight w:val="none"/>
          <w:lang w:val="en-US" w:eastAsia="zh-CN"/>
        </w:rPr>
        <w:t>福州城东支行</w:t>
      </w:r>
      <w:r>
        <w:rPr>
          <w:rFonts w:hint="eastAsia" w:ascii="彩虹粗仿宋" w:hAnsi="彩虹粗仿宋" w:eastAsia="彩虹粗仿宋" w:cs="彩虹粗仿宋"/>
          <w:bCs/>
          <w:snapToGrid w:val="0"/>
          <w:color w:val="auto"/>
          <w:kern w:val="0"/>
          <w:sz w:val="32"/>
          <w:szCs w:val="32"/>
          <w:highlight w:val="none"/>
        </w:rPr>
        <w:t>按照下列约定支付价款：</w:t>
      </w:r>
    </w:p>
    <w:p>
      <w:pPr>
        <w:keepNext w:val="0"/>
        <w:keepLines w:val="0"/>
        <w:pageBreakBefore w:val="0"/>
        <w:widowControl w:val="0"/>
        <w:numPr>
          <w:ilvl w:val="0"/>
          <w:numId w:val="3"/>
        </w:numPr>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在设备到货、完成调试并上线</w:t>
      </w:r>
      <w:r>
        <w:rPr>
          <w:rFonts w:hint="eastAsia" w:ascii="彩虹粗仿宋" w:hAnsi="彩虹粗仿宋" w:eastAsia="彩虹粗仿宋" w:cs="彩虹粗仿宋"/>
          <w:bCs/>
          <w:snapToGrid w:val="0"/>
          <w:color w:val="auto"/>
          <w:kern w:val="0"/>
          <w:sz w:val="32"/>
          <w:szCs w:val="32"/>
          <w:highlight w:val="none"/>
          <w:lang w:val="en-US" w:eastAsia="zh-CN"/>
        </w:rPr>
        <w:t>终</w:t>
      </w:r>
      <w:r>
        <w:rPr>
          <w:rFonts w:hint="eastAsia" w:ascii="彩虹粗仿宋" w:hAnsi="彩虹粗仿宋" w:eastAsia="彩虹粗仿宋" w:cs="彩虹粗仿宋"/>
          <w:bCs/>
          <w:snapToGrid w:val="0"/>
          <w:color w:val="auto"/>
          <w:kern w:val="0"/>
          <w:sz w:val="32"/>
          <w:szCs w:val="32"/>
          <w:highlight w:val="none"/>
        </w:rPr>
        <w:t>验收后30个工作日内，向供应商支付全部款项的90%；</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lang w:eastAsia="zh-CN"/>
        </w:rPr>
        <w:t>（</w:t>
      </w:r>
      <w:r>
        <w:rPr>
          <w:rFonts w:hint="eastAsia" w:ascii="彩虹粗仿宋" w:hAnsi="彩虹粗仿宋" w:eastAsia="彩虹粗仿宋" w:cs="彩虹粗仿宋"/>
          <w:bCs/>
          <w:snapToGrid w:val="0"/>
          <w:color w:val="auto"/>
          <w:kern w:val="0"/>
          <w:sz w:val="32"/>
          <w:szCs w:val="32"/>
          <w:highlight w:val="none"/>
          <w:lang w:val="en-US" w:eastAsia="zh-CN"/>
        </w:rPr>
        <w:t>2</w:t>
      </w:r>
      <w:r>
        <w:rPr>
          <w:rFonts w:hint="eastAsia" w:ascii="彩虹粗仿宋" w:hAnsi="彩虹粗仿宋" w:eastAsia="彩虹粗仿宋" w:cs="彩虹粗仿宋"/>
          <w:bCs/>
          <w:snapToGrid w:val="0"/>
          <w:color w:val="auto"/>
          <w:kern w:val="0"/>
          <w:sz w:val="32"/>
          <w:szCs w:val="32"/>
          <w:highlight w:val="none"/>
          <w:lang w:eastAsia="zh-CN"/>
        </w:rPr>
        <w:t>）</w:t>
      </w:r>
      <w:r>
        <w:rPr>
          <w:rFonts w:hint="eastAsia" w:ascii="彩虹粗仿宋" w:hAnsi="彩虹粗仿宋" w:eastAsia="彩虹粗仿宋" w:cs="彩虹粗仿宋"/>
          <w:bCs/>
          <w:snapToGrid w:val="0"/>
          <w:color w:val="auto"/>
          <w:kern w:val="0"/>
          <w:sz w:val="32"/>
          <w:szCs w:val="32"/>
          <w:highlight w:val="none"/>
        </w:rPr>
        <w:t>合同金额的10%作为售后服务质量保证金，待项目5年免费维保期届满、全面履行合同项下所有义务后30个工作日内扣除违约金后付清。</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hAnsi="彩虹粗仿宋" w:eastAsia="彩虹粗仿宋" w:cs="彩虹粗仿宋"/>
          <w:b/>
          <w:bCs w:val="0"/>
          <w:snapToGrid w:val="0"/>
          <w:color w:val="auto"/>
          <w:kern w:val="0"/>
          <w:sz w:val="32"/>
          <w:szCs w:val="32"/>
          <w:highlight w:val="none"/>
          <w:lang w:val="en-US" w:eastAsia="zh-CN"/>
        </w:rPr>
      </w:pPr>
      <w:r>
        <w:rPr>
          <w:rFonts w:hint="eastAsia" w:ascii="彩虹粗仿宋" w:hAnsi="彩虹粗仿宋" w:eastAsia="彩虹粗仿宋" w:cs="彩虹粗仿宋"/>
          <w:b/>
          <w:bCs w:val="0"/>
          <w:snapToGrid w:val="0"/>
          <w:color w:val="auto"/>
          <w:kern w:val="0"/>
          <w:sz w:val="32"/>
          <w:szCs w:val="32"/>
          <w:highlight w:val="none"/>
          <w:lang w:val="en-US" w:eastAsia="zh-CN"/>
        </w:rPr>
        <w:t>2.软件部分</w:t>
      </w:r>
    </w:p>
    <w:p>
      <w:pPr>
        <w:keepNext w:val="0"/>
        <w:keepLines w:val="0"/>
        <w:pageBreakBefore w:val="0"/>
        <w:widowControl w:val="0"/>
        <w:kinsoku/>
        <w:wordWrap/>
        <w:overflowPunct/>
        <w:topLinePunct w:val="0"/>
        <w:autoSpaceDE/>
        <w:autoSpaceDN/>
        <w:bidi w:val="0"/>
        <w:spacing w:line="560" w:lineRule="exact"/>
        <w:ind w:firstLine="700" w:firstLineChars="200"/>
        <w:jc w:val="left"/>
        <w:textAlignment w:val="auto"/>
        <w:rPr>
          <w:rFonts w:hint="eastAsia" w:ascii="彩虹粗仿宋" w:hAnsi="彩虹粗仿宋" w:eastAsia="彩虹粗仿宋" w:cs="彩虹粗仿宋"/>
          <w:b w:val="0"/>
          <w:bCs w:val="0"/>
          <w:spacing w:val="5"/>
          <w:sz w:val="32"/>
          <w:szCs w:val="32"/>
          <w:highlight w:val="none"/>
        </w:rPr>
      </w:pPr>
      <w:r>
        <w:rPr>
          <w:rFonts w:hint="eastAsia" w:ascii="彩虹粗仿宋" w:hAnsi="彩虹粗仿宋" w:eastAsia="彩虹粗仿宋" w:cs="彩虹粗仿宋"/>
          <w:b w:val="0"/>
          <w:bCs w:val="0"/>
          <w:spacing w:val="15"/>
          <w:sz w:val="32"/>
          <w:szCs w:val="32"/>
          <w:highlight w:val="none"/>
        </w:rPr>
        <w:t>供应商无任何违约行为的前提下，建行福建省分行所属福</w:t>
      </w:r>
      <w:r>
        <w:rPr>
          <w:rFonts w:hint="eastAsia" w:ascii="彩虹粗仿宋" w:hAnsi="彩虹粗仿宋" w:eastAsia="彩虹粗仿宋" w:cs="彩虹粗仿宋"/>
          <w:b w:val="0"/>
          <w:bCs w:val="0"/>
          <w:spacing w:val="5"/>
          <w:sz w:val="32"/>
          <w:szCs w:val="32"/>
          <w:highlight w:val="none"/>
        </w:rPr>
        <w:t>州城东支行按照下列约定支付价款：</w:t>
      </w:r>
    </w:p>
    <w:p>
      <w:pPr>
        <w:keepNext w:val="0"/>
        <w:keepLines w:val="0"/>
        <w:pageBreakBefore w:val="0"/>
        <w:widowControl w:val="0"/>
        <w:numPr>
          <w:ilvl w:val="0"/>
          <w:numId w:val="4"/>
        </w:numPr>
        <w:kinsoku/>
        <w:wordWrap/>
        <w:overflowPunct/>
        <w:topLinePunct w:val="0"/>
        <w:autoSpaceDE/>
        <w:autoSpaceDN/>
        <w:bidi w:val="0"/>
        <w:spacing w:line="560" w:lineRule="exact"/>
        <w:ind w:firstLine="784" w:firstLineChars="200"/>
        <w:jc w:val="left"/>
        <w:textAlignment w:val="auto"/>
        <w:rPr>
          <w:rFonts w:hint="eastAsia" w:ascii="彩虹粗仿宋" w:hAnsi="彩虹粗仿宋" w:eastAsia="彩虹粗仿宋" w:cs="彩虹粗仿宋"/>
          <w:spacing w:val="17"/>
          <w:sz w:val="32"/>
          <w:szCs w:val="32"/>
          <w:highlight w:val="none"/>
        </w:rPr>
      </w:pPr>
      <w:r>
        <w:rPr>
          <w:rFonts w:hint="eastAsia" w:ascii="彩虹粗仿宋" w:hAnsi="彩虹粗仿宋" w:eastAsia="彩虹粗仿宋" w:cs="彩虹粗仿宋"/>
          <w:spacing w:val="36"/>
          <w:sz w:val="32"/>
          <w:szCs w:val="32"/>
          <w:highlight w:val="none"/>
        </w:rPr>
        <w:t>项目投入使用且系统试运行满1个月后，建行在</w:t>
      </w:r>
      <w:r>
        <w:rPr>
          <w:rFonts w:hint="eastAsia" w:ascii="彩虹粗仿宋" w:hAnsi="彩虹粗仿宋" w:eastAsia="彩虹粗仿宋" w:cs="彩虹粗仿宋"/>
          <w:spacing w:val="35"/>
          <w:sz w:val="32"/>
          <w:szCs w:val="32"/>
          <w:highlight w:val="none"/>
        </w:rPr>
        <w:t>30个</w:t>
      </w:r>
      <w:r>
        <w:rPr>
          <w:rFonts w:hint="eastAsia" w:ascii="彩虹粗仿宋" w:hAnsi="彩虹粗仿宋" w:eastAsia="彩虹粗仿宋" w:cs="彩虹粗仿宋"/>
          <w:sz w:val="32"/>
          <w:szCs w:val="32"/>
          <w:highlight w:val="none"/>
        </w:rPr>
        <w:t xml:space="preserve"> </w:t>
      </w:r>
      <w:r>
        <w:rPr>
          <w:rFonts w:hint="eastAsia" w:ascii="彩虹粗仿宋" w:hAnsi="彩虹粗仿宋" w:eastAsia="彩虹粗仿宋" w:cs="彩虹粗仿宋"/>
          <w:spacing w:val="17"/>
          <w:sz w:val="32"/>
          <w:szCs w:val="32"/>
          <w:highlight w:val="none"/>
        </w:rPr>
        <w:t>工作日内支付合同金额的</w:t>
      </w:r>
      <w:r>
        <w:rPr>
          <w:rFonts w:hint="eastAsia" w:ascii="彩虹粗仿宋" w:hAnsi="彩虹粗仿宋" w:eastAsia="彩虹粗仿宋" w:cs="彩虹粗仿宋"/>
          <w:spacing w:val="17"/>
          <w:sz w:val="32"/>
          <w:szCs w:val="32"/>
          <w:highlight w:val="none"/>
          <w:lang w:val="en-US" w:eastAsia="zh-CN"/>
        </w:rPr>
        <w:t>2</w:t>
      </w:r>
      <w:r>
        <w:rPr>
          <w:rFonts w:hint="eastAsia" w:ascii="彩虹粗仿宋" w:hAnsi="彩虹粗仿宋" w:eastAsia="彩虹粗仿宋" w:cs="彩虹粗仿宋"/>
          <w:spacing w:val="17"/>
          <w:sz w:val="32"/>
          <w:szCs w:val="32"/>
          <w:highlight w:val="none"/>
        </w:rPr>
        <w:t>0%;</w:t>
      </w:r>
    </w:p>
    <w:p>
      <w:pPr>
        <w:keepNext w:val="0"/>
        <w:keepLines w:val="0"/>
        <w:pageBreakBefore w:val="0"/>
        <w:widowControl w:val="0"/>
        <w:numPr>
          <w:ilvl w:val="0"/>
          <w:numId w:val="4"/>
        </w:numPr>
        <w:kinsoku/>
        <w:wordWrap/>
        <w:overflowPunct/>
        <w:topLinePunct w:val="0"/>
        <w:autoSpaceDE/>
        <w:autoSpaceDN/>
        <w:bidi w:val="0"/>
        <w:spacing w:line="560" w:lineRule="exact"/>
        <w:ind w:firstLine="760" w:firstLineChars="200"/>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pacing w:val="30"/>
          <w:sz w:val="32"/>
          <w:szCs w:val="32"/>
          <w:highlight w:val="none"/>
        </w:rPr>
        <w:t>项目通过最终验收后30个工作日内，建行支付合同金</w:t>
      </w:r>
      <w:r>
        <w:rPr>
          <w:rFonts w:hint="eastAsia" w:ascii="彩虹粗仿宋" w:hAnsi="彩虹粗仿宋" w:eastAsia="彩虹粗仿宋" w:cs="彩虹粗仿宋"/>
          <w:spacing w:val="20"/>
          <w:sz w:val="32"/>
          <w:szCs w:val="32"/>
          <w:highlight w:val="none"/>
        </w:rPr>
        <w:t>额的60%;</w:t>
      </w:r>
    </w:p>
    <w:p>
      <w:pPr>
        <w:keepNext w:val="0"/>
        <w:keepLines w:val="0"/>
        <w:pageBreakBefore w:val="0"/>
        <w:widowControl w:val="0"/>
        <w:numPr>
          <w:ilvl w:val="0"/>
          <w:numId w:val="0"/>
        </w:numPr>
        <w:kinsoku/>
        <w:wordWrap/>
        <w:overflowPunct/>
        <w:topLinePunct w:val="0"/>
        <w:autoSpaceDE/>
        <w:autoSpaceDN/>
        <w:bidi w:val="0"/>
        <w:spacing w:line="560" w:lineRule="exact"/>
        <w:ind w:firstLine="736" w:firstLineChars="200"/>
        <w:jc w:val="left"/>
        <w:textAlignment w:val="auto"/>
        <w:rPr>
          <w:rFonts w:hint="eastAsia" w:ascii="彩虹粗仿宋" w:hAnsi="彩虹粗仿宋" w:eastAsia="彩虹粗仿宋" w:cs="彩虹粗仿宋"/>
          <w:b/>
          <w:bCs w:val="0"/>
          <w:snapToGrid w:val="0"/>
          <w:color w:val="auto"/>
          <w:kern w:val="0"/>
          <w:sz w:val="32"/>
          <w:szCs w:val="32"/>
          <w:highlight w:val="none"/>
        </w:rPr>
      </w:pPr>
      <w:r>
        <w:rPr>
          <w:rFonts w:hint="eastAsia" w:ascii="彩虹粗仿宋" w:hAnsi="彩虹粗仿宋" w:eastAsia="彩虹粗仿宋" w:cs="彩虹粗仿宋"/>
          <w:spacing w:val="24"/>
          <w:sz w:val="32"/>
          <w:szCs w:val="32"/>
          <w:highlight w:val="none"/>
          <w:lang w:eastAsia="zh-CN"/>
        </w:rPr>
        <w:t>（</w:t>
      </w:r>
      <w:r>
        <w:rPr>
          <w:rFonts w:hint="eastAsia" w:ascii="彩虹粗仿宋" w:hAnsi="彩虹粗仿宋" w:eastAsia="彩虹粗仿宋" w:cs="彩虹粗仿宋"/>
          <w:spacing w:val="24"/>
          <w:sz w:val="32"/>
          <w:szCs w:val="32"/>
          <w:highlight w:val="none"/>
          <w:lang w:val="en-US" w:eastAsia="zh-CN"/>
        </w:rPr>
        <w:t>3</w:t>
      </w:r>
      <w:r>
        <w:rPr>
          <w:rFonts w:hint="eastAsia" w:ascii="彩虹粗仿宋" w:hAnsi="彩虹粗仿宋" w:eastAsia="彩虹粗仿宋" w:cs="彩虹粗仿宋"/>
          <w:spacing w:val="24"/>
          <w:sz w:val="32"/>
          <w:szCs w:val="32"/>
          <w:highlight w:val="none"/>
          <w:lang w:eastAsia="zh-CN"/>
        </w:rPr>
        <w:t>）</w:t>
      </w:r>
      <w:r>
        <w:rPr>
          <w:rFonts w:hint="eastAsia" w:ascii="彩虹粗仿宋" w:hAnsi="彩虹粗仿宋" w:eastAsia="彩虹粗仿宋" w:cs="彩虹粗仿宋"/>
          <w:spacing w:val="24"/>
          <w:sz w:val="32"/>
          <w:szCs w:val="32"/>
          <w:highlight w:val="none"/>
        </w:rPr>
        <w:t>合同金额的</w:t>
      </w:r>
      <w:r>
        <w:rPr>
          <w:rFonts w:hint="eastAsia" w:ascii="彩虹粗仿宋" w:hAnsi="彩虹粗仿宋" w:eastAsia="彩虹粗仿宋" w:cs="彩虹粗仿宋"/>
          <w:spacing w:val="24"/>
          <w:sz w:val="32"/>
          <w:szCs w:val="32"/>
          <w:highlight w:val="none"/>
          <w:lang w:val="en-US" w:eastAsia="zh-CN"/>
        </w:rPr>
        <w:t>20</w:t>
      </w:r>
      <w:r>
        <w:rPr>
          <w:rFonts w:hint="eastAsia" w:ascii="彩虹粗仿宋" w:hAnsi="彩虹粗仿宋" w:eastAsia="彩虹粗仿宋" w:cs="彩虹粗仿宋"/>
          <w:spacing w:val="24"/>
          <w:sz w:val="32"/>
          <w:szCs w:val="32"/>
          <w:highlight w:val="none"/>
        </w:rPr>
        <w:t>%作为售后服务质量保证金，待项目</w:t>
      </w:r>
      <w:r>
        <w:rPr>
          <w:rFonts w:hint="eastAsia" w:ascii="彩虹粗仿宋" w:hAnsi="彩虹粗仿宋" w:eastAsia="彩虹粗仿宋" w:cs="彩虹粗仿宋"/>
          <w:spacing w:val="23"/>
          <w:sz w:val="32"/>
          <w:szCs w:val="32"/>
          <w:highlight w:val="none"/>
        </w:rPr>
        <w:t>承诺</w:t>
      </w:r>
      <w:r>
        <w:rPr>
          <w:rFonts w:hint="eastAsia" w:ascii="彩虹粗仿宋" w:hAnsi="彩虹粗仿宋" w:eastAsia="彩虹粗仿宋" w:cs="彩虹粗仿宋"/>
          <w:spacing w:val="29"/>
          <w:sz w:val="32"/>
          <w:szCs w:val="32"/>
          <w:highlight w:val="none"/>
        </w:rPr>
        <w:t>的免费维保期届满、全面履行合同项下所有义务后30个工作</w:t>
      </w:r>
      <w:r>
        <w:rPr>
          <w:rFonts w:hint="eastAsia" w:ascii="彩虹粗仿宋" w:hAnsi="彩虹粗仿宋" w:eastAsia="彩虹粗仿宋" w:cs="彩虹粗仿宋"/>
          <w:spacing w:val="29"/>
          <w:sz w:val="32"/>
          <w:szCs w:val="32"/>
          <w:highlight w:val="none"/>
          <w:lang w:val="en-US" w:eastAsia="zh-CN"/>
        </w:rPr>
        <w:t>日</w:t>
      </w:r>
      <w:r>
        <w:rPr>
          <w:rFonts w:hint="eastAsia" w:ascii="彩虹粗仿宋" w:hAnsi="彩虹粗仿宋" w:eastAsia="彩虹粗仿宋" w:cs="彩虹粗仿宋"/>
          <w:spacing w:val="3"/>
          <w:sz w:val="32"/>
          <w:szCs w:val="32"/>
          <w:highlight w:val="none"/>
        </w:rPr>
        <w:t>内扣除违约金后付清。</w:t>
      </w:r>
    </w:p>
    <w:p>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jc w:val="left"/>
        <w:textAlignment w:val="auto"/>
        <w:rPr>
          <w:rFonts w:hint="eastAsia" w:ascii="彩虹楷体" w:hAnsi="彩虹楷体" w:eastAsia="彩虹楷体" w:cs="彩虹楷体"/>
          <w:b/>
          <w:bCs w:val="0"/>
          <w:snapToGrid w:val="0"/>
          <w:color w:val="auto"/>
          <w:kern w:val="0"/>
          <w:sz w:val="32"/>
          <w:szCs w:val="32"/>
          <w:highlight w:val="none"/>
        </w:rPr>
      </w:pPr>
      <w:r>
        <w:rPr>
          <w:rFonts w:hint="eastAsia" w:ascii="彩虹楷体" w:hAnsi="彩虹楷体" w:eastAsia="彩虹楷体" w:cs="彩虹楷体"/>
          <w:b/>
          <w:bCs w:val="0"/>
          <w:snapToGrid w:val="0"/>
          <w:color w:val="auto"/>
          <w:kern w:val="0"/>
          <w:sz w:val="32"/>
          <w:szCs w:val="32"/>
          <w:highlight w:val="none"/>
        </w:rPr>
        <w:t>（八）发票要求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供应商应提供增值税专用发票。</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hAnsi="彩虹楷体" w:eastAsia="彩虹楷体" w:cs="彩虹楷体"/>
          <w:b/>
          <w:bCs w:val="0"/>
          <w:snapToGrid w:val="0"/>
          <w:color w:val="auto"/>
          <w:kern w:val="0"/>
          <w:sz w:val="32"/>
          <w:szCs w:val="32"/>
          <w:highlight w:val="none"/>
        </w:rPr>
      </w:pPr>
      <w:r>
        <w:rPr>
          <w:rFonts w:hint="eastAsia" w:ascii="彩虹楷体" w:hAnsi="彩虹楷体" w:eastAsia="彩虹楷体" w:cs="彩虹楷体"/>
          <w:b/>
          <w:bCs w:val="0"/>
          <w:snapToGrid w:val="0"/>
          <w:color w:val="auto"/>
          <w:kern w:val="0"/>
          <w:sz w:val="32"/>
          <w:szCs w:val="32"/>
          <w:highlight w:val="none"/>
        </w:rPr>
        <w:t>（九）对供应商的其他要求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供应商入选后，相关</w:t>
      </w:r>
      <w:r>
        <w:rPr>
          <w:rFonts w:hint="eastAsia" w:ascii="彩虹粗仿宋" w:hAnsi="彩虹粗仿宋" w:eastAsia="彩虹粗仿宋" w:cs="彩虹粗仿宋"/>
          <w:bCs/>
          <w:snapToGrid w:val="0"/>
          <w:color w:val="auto"/>
          <w:kern w:val="0"/>
          <w:sz w:val="32"/>
          <w:szCs w:val="32"/>
          <w:highlight w:val="none"/>
          <w:lang w:val="en-US" w:eastAsia="zh-CN"/>
        </w:rPr>
        <w:t>软</w:t>
      </w:r>
      <w:r>
        <w:rPr>
          <w:rFonts w:hint="eastAsia" w:ascii="彩虹粗仿宋" w:hAnsi="彩虹粗仿宋" w:eastAsia="彩虹粗仿宋" w:cs="彩虹粗仿宋"/>
          <w:bCs/>
          <w:snapToGrid w:val="0"/>
          <w:color w:val="auto"/>
          <w:kern w:val="0"/>
          <w:sz w:val="32"/>
          <w:szCs w:val="32"/>
          <w:highlight w:val="none"/>
        </w:rPr>
        <w:t>件需能够对接医院管理系统。</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黑体" w:hAnsi="彩虹黑体" w:eastAsia="彩虹黑体" w:cs="彩虹黑体"/>
          <w:b w:val="0"/>
          <w:bCs/>
          <w:snapToGrid w:val="0"/>
          <w:color w:val="auto"/>
          <w:kern w:val="0"/>
          <w:sz w:val="32"/>
          <w:szCs w:val="32"/>
          <w:highlight w:val="none"/>
        </w:rPr>
      </w:pPr>
      <w:r>
        <w:rPr>
          <w:rFonts w:hint="eastAsia" w:ascii="彩虹黑体" w:hAnsi="彩虹黑体" w:eastAsia="彩虹黑体" w:cs="彩虹黑体"/>
          <w:b w:val="0"/>
          <w:bCs/>
          <w:snapToGrid w:val="0"/>
          <w:color w:val="auto"/>
          <w:kern w:val="0"/>
          <w:sz w:val="32"/>
          <w:szCs w:val="32"/>
          <w:highlight w:val="none"/>
        </w:rPr>
        <w:t>三、响应材料提供要求</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hAnsi="彩虹楷体" w:eastAsia="彩虹楷体" w:cs="彩虹楷体"/>
          <w:b/>
          <w:bCs w:val="0"/>
          <w:snapToGrid w:val="0"/>
          <w:color w:val="auto"/>
          <w:kern w:val="0"/>
          <w:sz w:val="32"/>
          <w:szCs w:val="32"/>
          <w:highlight w:val="none"/>
        </w:rPr>
      </w:pPr>
      <w:r>
        <w:rPr>
          <w:rFonts w:hint="eastAsia" w:ascii="彩虹楷体" w:hAnsi="彩虹楷体" w:eastAsia="彩虹楷体" w:cs="彩虹楷体"/>
          <w:b/>
          <w:bCs w:val="0"/>
          <w:snapToGrid w:val="0"/>
          <w:color w:val="auto"/>
          <w:kern w:val="0"/>
          <w:sz w:val="32"/>
          <w:szCs w:val="32"/>
          <w:highlight w:val="none"/>
        </w:rPr>
        <w:t>（一）资质材料</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 w:val="0"/>
          <w:bCs/>
          <w:snapToGrid w:val="0"/>
          <w:color w:val="auto"/>
          <w:kern w:val="0"/>
          <w:sz w:val="32"/>
          <w:szCs w:val="32"/>
          <w:highlight w:val="none"/>
        </w:rPr>
      </w:pPr>
      <w:r>
        <w:rPr>
          <w:rFonts w:hint="eastAsia" w:ascii="彩虹粗仿宋" w:hAnsi="彩虹粗仿宋" w:eastAsia="彩虹粗仿宋" w:cs="彩虹粗仿宋"/>
          <w:b w:val="0"/>
          <w:bCs/>
          <w:snapToGrid w:val="0"/>
          <w:color w:val="auto"/>
          <w:kern w:val="0"/>
          <w:sz w:val="32"/>
          <w:szCs w:val="32"/>
          <w:highlight w:val="none"/>
        </w:rPr>
        <w:t>1. 营业执照</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 w:val="0"/>
          <w:bCs/>
          <w:snapToGrid w:val="0"/>
          <w:color w:val="auto"/>
          <w:kern w:val="0"/>
          <w:sz w:val="32"/>
          <w:szCs w:val="32"/>
          <w:highlight w:val="none"/>
        </w:rPr>
      </w:pPr>
      <w:r>
        <w:rPr>
          <w:rFonts w:hint="eastAsia" w:ascii="彩虹粗仿宋" w:hAnsi="彩虹粗仿宋" w:eastAsia="彩虹粗仿宋" w:cs="彩虹粗仿宋"/>
          <w:b w:val="0"/>
          <w:bCs/>
          <w:snapToGrid w:val="0"/>
          <w:color w:val="auto"/>
          <w:kern w:val="0"/>
          <w:sz w:val="32"/>
          <w:szCs w:val="32"/>
          <w:highlight w:val="none"/>
        </w:rPr>
        <w:t>2. 法人授权书、法人身份证复印件、被授权人身份证复印件</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 w:val="0"/>
          <w:bCs/>
          <w:snapToGrid w:val="0"/>
          <w:color w:val="auto"/>
          <w:kern w:val="0"/>
          <w:sz w:val="32"/>
          <w:szCs w:val="32"/>
          <w:highlight w:val="none"/>
        </w:rPr>
      </w:pPr>
      <w:r>
        <w:rPr>
          <w:rFonts w:hint="eastAsia" w:ascii="彩虹粗仿宋" w:hAnsi="彩虹粗仿宋" w:eastAsia="彩虹粗仿宋" w:cs="彩虹粗仿宋"/>
          <w:b w:val="0"/>
          <w:bCs/>
          <w:snapToGrid w:val="0"/>
          <w:color w:val="auto"/>
          <w:kern w:val="0"/>
          <w:sz w:val="32"/>
          <w:szCs w:val="32"/>
          <w:highlight w:val="none"/>
        </w:rPr>
        <w:t>3. 承诺与声明</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 w:val="0"/>
          <w:bCs/>
          <w:snapToGrid w:val="0"/>
          <w:color w:val="auto"/>
          <w:kern w:val="0"/>
          <w:sz w:val="32"/>
          <w:szCs w:val="32"/>
          <w:highlight w:val="none"/>
        </w:rPr>
      </w:pPr>
      <w:r>
        <w:rPr>
          <w:rFonts w:hint="eastAsia" w:ascii="彩虹粗仿宋" w:hAnsi="彩虹粗仿宋" w:eastAsia="彩虹粗仿宋" w:cs="彩虹粗仿宋"/>
          <w:b w:val="0"/>
          <w:bCs/>
          <w:snapToGrid w:val="0"/>
          <w:color w:val="auto"/>
          <w:kern w:val="0"/>
          <w:sz w:val="32"/>
          <w:szCs w:val="32"/>
          <w:highlight w:val="none"/>
        </w:rPr>
        <w:t>4. 建设银行集中采购项目接受供应商监督公告</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 w:val="0"/>
          <w:bCs/>
          <w:snapToGrid w:val="0"/>
          <w:color w:val="auto"/>
          <w:kern w:val="0"/>
          <w:sz w:val="32"/>
          <w:szCs w:val="32"/>
          <w:highlight w:val="none"/>
        </w:rPr>
      </w:pPr>
      <w:r>
        <w:rPr>
          <w:rFonts w:hint="eastAsia" w:ascii="彩虹粗仿宋" w:hAnsi="彩虹粗仿宋" w:eastAsia="彩虹粗仿宋" w:cs="彩虹粗仿宋"/>
          <w:b w:val="0"/>
          <w:bCs/>
          <w:snapToGrid w:val="0"/>
          <w:color w:val="auto"/>
          <w:kern w:val="0"/>
          <w:sz w:val="32"/>
          <w:szCs w:val="32"/>
          <w:highlight w:val="none"/>
        </w:rPr>
        <w:t>5. 中国建设银行采购合作供应商禁止性规定</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 w:val="0"/>
          <w:bCs/>
          <w:snapToGrid w:val="0"/>
          <w:color w:val="auto"/>
          <w:kern w:val="0"/>
          <w:sz w:val="32"/>
          <w:szCs w:val="32"/>
          <w:highlight w:val="none"/>
        </w:rPr>
      </w:pPr>
      <w:r>
        <w:rPr>
          <w:rFonts w:hint="eastAsia" w:ascii="彩虹粗仿宋" w:hAnsi="彩虹粗仿宋" w:eastAsia="彩虹粗仿宋" w:cs="彩虹粗仿宋"/>
          <w:b w:val="0"/>
          <w:bCs/>
          <w:snapToGrid w:val="0"/>
          <w:color w:val="auto"/>
          <w:kern w:val="0"/>
          <w:sz w:val="32"/>
          <w:szCs w:val="32"/>
          <w:highlight w:val="none"/>
        </w:rPr>
        <w:t>6. 中国建设银行采购工作告供应商书</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hAnsi="彩虹楷体" w:eastAsia="彩虹楷体" w:cs="彩虹楷体"/>
          <w:b/>
          <w:bCs w:val="0"/>
          <w:snapToGrid w:val="0"/>
          <w:color w:val="auto"/>
          <w:kern w:val="0"/>
          <w:sz w:val="32"/>
          <w:szCs w:val="32"/>
          <w:highlight w:val="none"/>
        </w:rPr>
      </w:pPr>
      <w:r>
        <w:rPr>
          <w:rFonts w:hint="eastAsia" w:ascii="彩虹楷体" w:hAnsi="彩虹楷体" w:eastAsia="彩虹楷体" w:cs="彩虹楷体"/>
          <w:b/>
          <w:bCs w:val="0"/>
          <w:snapToGrid w:val="0"/>
          <w:color w:val="auto"/>
          <w:kern w:val="0"/>
          <w:sz w:val="32"/>
          <w:szCs w:val="32"/>
          <w:highlight w:val="none"/>
        </w:rPr>
        <w:t>（二）需求应答材料</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1. 对本次供应商要求及拟采购设备（物品）要求的响应说明。</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2. 服务方案（包括不限于技术支持或维修响应方式、响应时间及应急方案等）</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bCs/>
          <w:snapToGrid w:val="0"/>
          <w:color w:val="auto"/>
          <w:kern w:val="0"/>
          <w:sz w:val="32"/>
          <w:szCs w:val="32"/>
          <w:highlight w:val="none"/>
        </w:rPr>
      </w:pPr>
      <w:r>
        <w:rPr>
          <w:rFonts w:hint="eastAsia" w:ascii="彩虹粗仿宋" w:hAnsi="彩虹粗仿宋" w:eastAsia="彩虹粗仿宋" w:cs="彩虹粗仿宋"/>
          <w:bCs/>
          <w:snapToGrid w:val="0"/>
          <w:color w:val="auto"/>
          <w:kern w:val="0"/>
          <w:sz w:val="32"/>
          <w:szCs w:val="32"/>
          <w:highlight w:val="none"/>
        </w:rPr>
        <w:t>3.近五年合同案例（2020年起至今）等各项佐证材料。</w:t>
      </w:r>
    </w:p>
    <w:sectPr>
      <w:footerReference r:id="rId3" w:type="default"/>
      <w:pgSz w:w="11906" w:h="16838"/>
      <w:pgMar w:top="1440" w:right="1803" w:bottom="1440"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7"/>
          <w:jc w:val="center"/>
        </w:pPr>
        <w:r>
          <w:fldChar w:fldCharType="begin"/>
        </w:r>
        <w:r>
          <w:instrText xml:space="preserve">PAGE   \* MERGEFORMAT</w:instrText>
        </w:r>
        <w:r>
          <w:fldChar w:fldCharType="separate"/>
        </w:r>
        <w:r>
          <w:rPr>
            <w:lang w:val="zh-CN"/>
          </w:rPr>
          <w:t>40</w:t>
        </w:r>
        <w: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29E844"/>
    <w:multiLevelType w:val="singleLevel"/>
    <w:tmpl w:val="C529E844"/>
    <w:lvl w:ilvl="0" w:tentative="0">
      <w:start w:val="2"/>
      <w:numFmt w:val="decimal"/>
      <w:suff w:val="nothing"/>
      <w:lvlText w:val="（%1）"/>
      <w:lvlJc w:val="left"/>
    </w:lvl>
  </w:abstractNum>
  <w:abstractNum w:abstractNumId="1">
    <w:nsid w:val="E16B9965"/>
    <w:multiLevelType w:val="singleLevel"/>
    <w:tmpl w:val="E16B9965"/>
    <w:lvl w:ilvl="0" w:tentative="0">
      <w:start w:val="1"/>
      <w:numFmt w:val="decimal"/>
      <w:suff w:val="nothing"/>
      <w:lvlText w:val="（%1）"/>
      <w:lvlJc w:val="left"/>
    </w:lvl>
  </w:abstractNum>
  <w:abstractNum w:abstractNumId="2">
    <w:nsid w:val="E8B6B8B8"/>
    <w:multiLevelType w:val="singleLevel"/>
    <w:tmpl w:val="E8B6B8B8"/>
    <w:lvl w:ilvl="0" w:tentative="0">
      <w:start w:val="7"/>
      <w:numFmt w:val="chineseCounting"/>
      <w:suff w:val="nothing"/>
      <w:lvlText w:val="（%1）"/>
      <w:lvlJc w:val="left"/>
      <w:rPr>
        <w:rFonts w:hint="eastAsia"/>
      </w:rPr>
    </w:lvl>
  </w:abstractNum>
  <w:abstractNum w:abstractNumId="3">
    <w:nsid w:val="343A87AC"/>
    <w:multiLevelType w:val="singleLevel"/>
    <w:tmpl w:val="343A87AC"/>
    <w:lvl w:ilvl="0" w:tentative="0">
      <w:start w:val="1"/>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5OWIwZDI1ZGVkN2M2MWY2Mzg4NTA5OTFhZTgxY2EifQ=="/>
  </w:docVars>
  <w:rsids>
    <w:rsidRoot w:val="00E73CB9"/>
    <w:rsid w:val="00151D6F"/>
    <w:rsid w:val="00235E29"/>
    <w:rsid w:val="00271051"/>
    <w:rsid w:val="002F4DDA"/>
    <w:rsid w:val="003177BD"/>
    <w:rsid w:val="004776E4"/>
    <w:rsid w:val="00885660"/>
    <w:rsid w:val="008B5A7D"/>
    <w:rsid w:val="009815FC"/>
    <w:rsid w:val="009C41F7"/>
    <w:rsid w:val="00A8533F"/>
    <w:rsid w:val="00AD2B8F"/>
    <w:rsid w:val="00BB13B1"/>
    <w:rsid w:val="00BF6222"/>
    <w:rsid w:val="00D52EE3"/>
    <w:rsid w:val="00D52FD7"/>
    <w:rsid w:val="00D917CB"/>
    <w:rsid w:val="00DC22F7"/>
    <w:rsid w:val="00E73CB9"/>
    <w:rsid w:val="00E86894"/>
    <w:rsid w:val="00EE2EA0"/>
    <w:rsid w:val="00EE6B4F"/>
    <w:rsid w:val="0196494E"/>
    <w:rsid w:val="0218777D"/>
    <w:rsid w:val="034237D0"/>
    <w:rsid w:val="04691235"/>
    <w:rsid w:val="046E6A4C"/>
    <w:rsid w:val="04C835FB"/>
    <w:rsid w:val="04D505F3"/>
    <w:rsid w:val="06000F4D"/>
    <w:rsid w:val="061770EF"/>
    <w:rsid w:val="062F573A"/>
    <w:rsid w:val="06FD2FE0"/>
    <w:rsid w:val="085B1141"/>
    <w:rsid w:val="088656AD"/>
    <w:rsid w:val="09B310FA"/>
    <w:rsid w:val="09BE37AA"/>
    <w:rsid w:val="0A2838EC"/>
    <w:rsid w:val="0A436A63"/>
    <w:rsid w:val="0AD95D90"/>
    <w:rsid w:val="0AE578F1"/>
    <w:rsid w:val="0BFB0A2C"/>
    <w:rsid w:val="0C0D7353"/>
    <w:rsid w:val="0C2272F9"/>
    <w:rsid w:val="0C9D311B"/>
    <w:rsid w:val="0CF36C64"/>
    <w:rsid w:val="0D5C5FEA"/>
    <w:rsid w:val="0ED542E3"/>
    <w:rsid w:val="118C0FD9"/>
    <w:rsid w:val="11AA0FF6"/>
    <w:rsid w:val="11B37150"/>
    <w:rsid w:val="12EA4DBC"/>
    <w:rsid w:val="13B65E3A"/>
    <w:rsid w:val="142717F4"/>
    <w:rsid w:val="145C0B81"/>
    <w:rsid w:val="16157A16"/>
    <w:rsid w:val="17214D8F"/>
    <w:rsid w:val="172C6966"/>
    <w:rsid w:val="176F6C9D"/>
    <w:rsid w:val="17BC5001"/>
    <w:rsid w:val="18277FEC"/>
    <w:rsid w:val="19794F57"/>
    <w:rsid w:val="1A19303F"/>
    <w:rsid w:val="1A204BC7"/>
    <w:rsid w:val="1ACB7E9A"/>
    <w:rsid w:val="1B3020AA"/>
    <w:rsid w:val="1B383DF1"/>
    <w:rsid w:val="1B9C3463"/>
    <w:rsid w:val="1D6D1654"/>
    <w:rsid w:val="1E233701"/>
    <w:rsid w:val="1F3F1DAB"/>
    <w:rsid w:val="203E3FF8"/>
    <w:rsid w:val="20A71F4F"/>
    <w:rsid w:val="232C6642"/>
    <w:rsid w:val="236507C6"/>
    <w:rsid w:val="23D773AB"/>
    <w:rsid w:val="23F1176D"/>
    <w:rsid w:val="244A1018"/>
    <w:rsid w:val="24EC08E0"/>
    <w:rsid w:val="251973CF"/>
    <w:rsid w:val="256436D4"/>
    <w:rsid w:val="25C2736D"/>
    <w:rsid w:val="265379B4"/>
    <w:rsid w:val="26AB0141"/>
    <w:rsid w:val="270B215E"/>
    <w:rsid w:val="273740AB"/>
    <w:rsid w:val="29197B2F"/>
    <w:rsid w:val="2C5B718F"/>
    <w:rsid w:val="2C796D04"/>
    <w:rsid w:val="2CBE19F6"/>
    <w:rsid w:val="2D8D3349"/>
    <w:rsid w:val="2FB14126"/>
    <w:rsid w:val="2FFD2E35"/>
    <w:rsid w:val="311D7D22"/>
    <w:rsid w:val="315B5608"/>
    <w:rsid w:val="31A36B0D"/>
    <w:rsid w:val="31EA05EA"/>
    <w:rsid w:val="32450734"/>
    <w:rsid w:val="325F0BA4"/>
    <w:rsid w:val="334E0697"/>
    <w:rsid w:val="348D3C77"/>
    <w:rsid w:val="351D0231"/>
    <w:rsid w:val="361B4503"/>
    <w:rsid w:val="37DC30FF"/>
    <w:rsid w:val="38931958"/>
    <w:rsid w:val="38FC020D"/>
    <w:rsid w:val="3CB15455"/>
    <w:rsid w:val="3CE71DE3"/>
    <w:rsid w:val="3D014975"/>
    <w:rsid w:val="3DA94EE1"/>
    <w:rsid w:val="3DE6611C"/>
    <w:rsid w:val="3E006071"/>
    <w:rsid w:val="3EC07ACB"/>
    <w:rsid w:val="3F63308A"/>
    <w:rsid w:val="3FA43E3E"/>
    <w:rsid w:val="4004010F"/>
    <w:rsid w:val="41142D56"/>
    <w:rsid w:val="41BB48E2"/>
    <w:rsid w:val="42CA7F23"/>
    <w:rsid w:val="42EB48A4"/>
    <w:rsid w:val="43930439"/>
    <w:rsid w:val="44535C80"/>
    <w:rsid w:val="45923F3C"/>
    <w:rsid w:val="46101A4E"/>
    <w:rsid w:val="46E61ADA"/>
    <w:rsid w:val="473D2970"/>
    <w:rsid w:val="479A10F7"/>
    <w:rsid w:val="49316F70"/>
    <w:rsid w:val="4A090090"/>
    <w:rsid w:val="4A317C5F"/>
    <w:rsid w:val="4AD21640"/>
    <w:rsid w:val="4C0C69D1"/>
    <w:rsid w:val="4C29271E"/>
    <w:rsid w:val="4C456250"/>
    <w:rsid w:val="4D2729A1"/>
    <w:rsid w:val="4D471A63"/>
    <w:rsid w:val="4DE544C3"/>
    <w:rsid w:val="4ED8276A"/>
    <w:rsid w:val="50834942"/>
    <w:rsid w:val="50A600AC"/>
    <w:rsid w:val="50C4231C"/>
    <w:rsid w:val="528C45CC"/>
    <w:rsid w:val="529A2D92"/>
    <w:rsid w:val="53BF3B31"/>
    <w:rsid w:val="556962E2"/>
    <w:rsid w:val="559B3DF5"/>
    <w:rsid w:val="57532F8E"/>
    <w:rsid w:val="58603D71"/>
    <w:rsid w:val="5A9A5108"/>
    <w:rsid w:val="5BBB44EA"/>
    <w:rsid w:val="5BBFC572"/>
    <w:rsid w:val="5D700D5D"/>
    <w:rsid w:val="5E810B9A"/>
    <w:rsid w:val="608B7375"/>
    <w:rsid w:val="62080EA9"/>
    <w:rsid w:val="62137FEA"/>
    <w:rsid w:val="622811B0"/>
    <w:rsid w:val="626C104E"/>
    <w:rsid w:val="63867492"/>
    <w:rsid w:val="63896059"/>
    <w:rsid w:val="656474A8"/>
    <w:rsid w:val="67621F35"/>
    <w:rsid w:val="68C86A97"/>
    <w:rsid w:val="6A1C4892"/>
    <w:rsid w:val="6A7449B2"/>
    <w:rsid w:val="6B030812"/>
    <w:rsid w:val="6B3959F5"/>
    <w:rsid w:val="6C330BC2"/>
    <w:rsid w:val="6C6A3E74"/>
    <w:rsid w:val="6D7D68AC"/>
    <w:rsid w:val="6E331539"/>
    <w:rsid w:val="6E8A16AC"/>
    <w:rsid w:val="6E981BFF"/>
    <w:rsid w:val="706A537D"/>
    <w:rsid w:val="7220118B"/>
    <w:rsid w:val="73244070"/>
    <w:rsid w:val="73BA620C"/>
    <w:rsid w:val="73E13C7F"/>
    <w:rsid w:val="74B7598C"/>
    <w:rsid w:val="74D83C06"/>
    <w:rsid w:val="75630CAA"/>
    <w:rsid w:val="757260C0"/>
    <w:rsid w:val="75876F5E"/>
    <w:rsid w:val="764E6B00"/>
    <w:rsid w:val="76D25C7C"/>
    <w:rsid w:val="77655F55"/>
    <w:rsid w:val="77835A9F"/>
    <w:rsid w:val="77A7EC93"/>
    <w:rsid w:val="783233D1"/>
    <w:rsid w:val="78630991"/>
    <w:rsid w:val="79273E57"/>
    <w:rsid w:val="7B487012"/>
    <w:rsid w:val="7E76139C"/>
    <w:rsid w:val="7EE21250"/>
    <w:rsid w:val="F73FB571"/>
    <w:rsid w:val="F7F656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qFormat/>
    <w:uiPriority w:val="0"/>
    <w:pPr>
      <w:keepNext/>
      <w:keepLines/>
      <w:numPr>
        <w:ilvl w:val="2"/>
        <w:numId w:val="0"/>
      </w:numPr>
      <w:tabs>
        <w:tab w:val="left" w:pos="420"/>
      </w:tabs>
      <w:spacing w:line="360" w:lineRule="auto"/>
      <w:ind w:left="0" w:firstLine="482" w:firstLineChars="0"/>
      <w:jc w:val="left"/>
      <w:outlineLvl w:val="2"/>
    </w:pPr>
    <w:rPr>
      <w:rFonts w:ascii="彩虹粗仿宋" w:hAnsi="彩虹粗仿宋" w:eastAsia="彩虹粗仿宋"/>
      <w:b/>
      <w:bCs/>
      <w:sz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ody Text"/>
    <w:basedOn w:val="1"/>
    <w:next w:val="1"/>
    <w:qFormat/>
    <w:uiPriority w:val="99"/>
    <w:pPr>
      <w:ind w:firstLine="560"/>
    </w:pPr>
    <w:rPr>
      <w:szCs w:val="28"/>
    </w:rPr>
  </w:style>
  <w:style w:type="paragraph" w:styleId="5">
    <w:name w:val="Body Text Indent 2"/>
    <w:basedOn w:val="1"/>
    <w:qFormat/>
    <w:uiPriority w:val="0"/>
    <w:pPr>
      <w:ind w:firstLine="640" w:firstLineChars="200"/>
    </w:pPr>
    <w:rPr>
      <w:rFonts w:eastAsia="彩虹粗仿宋"/>
      <w:sz w:val="32"/>
    </w:rPr>
  </w:style>
  <w:style w:type="paragraph" w:styleId="6">
    <w:name w:val="Balloon Text"/>
    <w:basedOn w:val="1"/>
    <w:link w:val="16"/>
    <w:semiHidden/>
    <w:unhideWhenUsed/>
    <w:qFormat/>
    <w:uiPriority w:val="99"/>
    <w:rPr>
      <w:sz w:val="18"/>
      <w:szCs w:val="18"/>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annotation reference"/>
    <w:basedOn w:val="12"/>
    <w:semiHidden/>
    <w:unhideWhenUsed/>
    <w:qFormat/>
    <w:uiPriority w:val="99"/>
    <w:rPr>
      <w:sz w:val="21"/>
      <w:szCs w:val="21"/>
    </w:rPr>
  </w:style>
  <w:style w:type="paragraph" w:styleId="14">
    <w:name w:val="List Paragraph"/>
    <w:basedOn w:val="1"/>
    <w:qFormat/>
    <w:uiPriority w:val="34"/>
    <w:pPr>
      <w:ind w:firstLine="420" w:firstLineChars="200"/>
    </w:pPr>
    <w:rPr>
      <w:rFonts w:ascii="Calibri" w:hAnsi="Calibri" w:eastAsia="宋体" w:cs="Times New Roman"/>
    </w:rPr>
  </w:style>
  <w:style w:type="paragraph" w:styleId="15">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6">
    <w:name w:val="批注框文本 Char"/>
    <w:basedOn w:val="12"/>
    <w:link w:val="6"/>
    <w:semiHidden/>
    <w:qFormat/>
    <w:uiPriority w:val="99"/>
    <w:rPr>
      <w:kern w:val="2"/>
      <w:sz w:val="18"/>
      <w:szCs w:val="18"/>
    </w:rPr>
  </w:style>
  <w:style w:type="character" w:customStyle="1" w:styleId="17">
    <w:name w:val="页眉 Char"/>
    <w:basedOn w:val="12"/>
    <w:link w:val="8"/>
    <w:qFormat/>
    <w:uiPriority w:val="99"/>
    <w:rPr>
      <w:kern w:val="2"/>
      <w:sz w:val="18"/>
      <w:szCs w:val="18"/>
    </w:rPr>
  </w:style>
  <w:style w:type="paragraph" w:customStyle="1" w:styleId="18">
    <w:name w:val="标准正文"/>
    <w:basedOn w:val="19"/>
    <w:qFormat/>
    <w:uiPriority w:val="0"/>
    <w:pPr>
      <w:widowControl w:val="0"/>
      <w:spacing w:before="0" w:after="0"/>
      <w:ind w:firstLine="200" w:firstLineChars="200"/>
      <w:jc w:val="left"/>
    </w:pPr>
    <w:rPr>
      <w:rFonts w:ascii="Times New Roman" w:hAnsi="Times New Roman" w:eastAsia="仿宋"/>
      <w:sz w:val="28"/>
    </w:rPr>
  </w:style>
  <w:style w:type="paragraph" w:customStyle="1" w:styleId="19">
    <w:name w:val="主标题"/>
    <w:qFormat/>
    <w:uiPriority w:val="0"/>
    <w:pPr>
      <w:spacing w:before="120" w:after="120" w:line="360" w:lineRule="auto"/>
      <w:jc w:val="center"/>
    </w:pPr>
    <w:rPr>
      <w:rFonts w:ascii="等线" w:hAnsi="等线" w:eastAsia="黑体" w:cs="Times New Roman"/>
      <w:kern w:val="2"/>
      <w:sz w:val="4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10</Pages>
  <Words>2770</Words>
  <Characters>15792</Characters>
  <Lines>131</Lines>
  <Paragraphs>37</Paragraphs>
  <TotalTime>1</TotalTime>
  <ScaleCrop>false</ScaleCrop>
  <LinksUpToDate>false</LinksUpToDate>
  <CharactersWithSpaces>18525</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2025-10-13T09:06:00Z</dcterms:created>
  <dc:creator>Apache POI</dc:creator>
  <cp:lastModifiedBy>王舒</cp:lastModifiedBy>
  <cp:lastPrinted>2025-10-30T08:23:00Z</cp:lastPrinted>
  <dcterms:modified xsi:type="dcterms:W3CDTF">2025-10-31T09:12:06Z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41DE8A779D04D7C926E8FE68F77AAD2C_43</vt:lpwstr>
  </property>
</Properties>
</file>