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cs="Times New Roman"/>
          <w:bCs/>
          <w:snapToGrid w:val="0"/>
          <w:kern w:val="0"/>
          <w:sz w:val="36"/>
          <w:szCs w:val="36"/>
        </w:rPr>
      </w:pPr>
      <w:bookmarkStart w:id="6" w:name="_GoBack"/>
      <w:bookmarkEnd w:id="6"/>
      <w:r>
        <w:rPr>
          <w:rFonts w:hint="eastAsia" w:ascii="彩虹小标宋" w:hAnsi="宋体" w:eastAsia="彩虹小标宋" w:cs="Times New Roman"/>
          <w:bCs/>
          <w:snapToGrid w:val="0"/>
          <w:kern w:val="0"/>
          <w:sz w:val="36"/>
          <w:szCs w:val="36"/>
        </w:rPr>
        <w:t>兴和县中医蒙医医院智慧医院项目采购需求</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一、供应商资质</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（一）中华人民共和国境内合法注册的独立法人，具有独立承担民事责任的能力，遵守国家有关法律、法规，具有良好的商业信誉和足够的经济实力，成立时间一年以上。</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二）当前未处于限制开展生产经营活动、责令停产停业、责令关闭、限制从业等重大行政处罚期内，不存在涉诉事由与建设银行采购项目密切相关或作为被告涉及重大侵权的未决诉讼，不存在环境污染、非法用工等引发环境和社会风险的违法违规行为。</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三）当前未被“信用中国”网站列入重大税收违法失信主体；未被“中国执行信息公开网”列入失信被执行人名单；未被“中国政府采购网”列入政府采购严重违法失信行为信息记录名单；未被“国家企业信用信息公示系统”网站列入严重违法失信企业名单；未被纳入尚未移除的工商企业经营异常名录。</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（四）法定代表人（负责人）为同一人或存在控股、管理关系的不同投标人、相互之间存在关联关系的投标人，不得同时参加本项目。投标人之间存在下列关系之一时被认为存在关联关系：</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1、法定代表人（负责人）为同一人。</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2、一方以直接或间接方式持有另一方股份达到25%以上。</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3、双方共同具有一名（含）以上的高管人员。</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（五）在法律和财务上独立、合法运作并独立于建设银行（和招标代理公司），与建设银行不存在利益冲突，不存在损害建设银行合法利益和声誉的情形，不存在针对建设银行的重大诚信问题。</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（六）未处于建设银行总行和内蒙古区分行的供应商禁用或退出期内。</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（七）在本项目采购过程中出现下列情形，行方有权取消其参与采购或中标资格，具体情形包括但不限于：</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1.法定代表人在生产经营活动中受到刑事处罚；</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2.出现重大并购或重组，影响正常生产经营；</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3.出现其他重大风险事项，影响正常采购合作。</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八）投标人提供的服务或服务成果不存在任何侵犯第三方知识产权的情形。如果第三方声称投标人向建设银行提供的服务或服务成果侵犯其知识产权，并已就此对建设银行或投标人提起（包括威胁提起或很可能提起）法律诉讼程序或知识产权行政执法程序（简称侵权诉讼），则投标人自知悉上述事项起将立即书面通知建设银行，建设银行有权采取相应措施，投标人将依法承担全部责任。</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（九）投标人法定代表人、控股股东或实际控制人应与中国建设银行各级行领导及使用需求部门、采购部门关键岗位人员无夫妻、直系血亲、三代以内旁系血亲或者近姻亲关系。</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（十）具备经营服务资质。能够提供近三年同类项目的合作案例（合同）1项（中标通知书需同时附合同）。</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十一）投标人未受到联合国、中国或其他招标人认为需适用的制裁发布主体的制裁，也未被前述制裁对象拥有或控制。投标人承诺在本协议生效前，不从事违反联合国、中国和其他招标人认为需适用的制裁规则活动，不为前述活动提供便利。</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（十二）本项目谢绝联合体投标。</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（十三）供应商须具备设备原厂商销售授权资质。</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（十四）供应商提供的设备应满足国产、国芯化要求。</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二、</w:t>
      </w:r>
      <w:r>
        <w:rPr>
          <w:rFonts w:hint="eastAsia" w:ascii="彩虹黑体" w:hAnsi="宋体" w:eastAsia="彩虹黑体" w:cs="彩虹粗仿宋"/>
          <w:sz w:val="32"/>
          <w:szCs w:val="32"/>
        </w:rPr>
        <w:t>质量要求</w:t>
      </w:r>
    </w:p>
    <w:p>
      <w:pPr>
        <w:adjustRightInd w:val="0"/>
        <w:snapToGrid w:val="0"/>
        <w:spacing w:line="560" w:lineRule="exact"/>
        <w:ind w:firstLine="640" w:firstLineChars="200"/>
        <w:rPr>
          <w:rFonts w:ascii="彩虹粗仿宋" w:hAnsi="宋体" w:eastAsia="彩虹粗仿宋" w:cs="彩虹粗仿宋"/>
          <w:sz w:val="32"/>
          <w:szCs w:val="32"/>
        </w:rPr>
      </w:pPr>
      <w:r>
        <w:rPr>
          <w:rFonts w:hint="eastAsia" w:ascii="彩虹粗仿宋" w:hAnsi="宋体" w:eastAsia="彩虹粗仿宋" w:cs="彩虹粗仿宋"/>
          <w:sz w:val="32"/>
          <w:szCs w:val="32"/>
        </w:rPr>
        <w:t>（一）软件产品必须具有在中国境内的正式合法使用权和销售权，</w:t>
      </w:r>
      <w:r>
        <w:rPr>
          <w:rFonts w:hint="eastAsia" w:ascii="彩虹粗仿宋" w:hAnsi="彩虹粗仿宋" w:eastAsia="彩虹粗仿宋" w:cs="彩虹粗仿宋"/>
          <w:sz w:val="32"/>
          <w:szCs w:val="32"/>
        </w:rPr>
        <w:t>供应商应授权产品的永久使用权给采购方使用。</w:t>
      </w:r>
    </w:p>
    <w:p>
      <w:pPr>
        <w:adjustRightInd w:val="0"/>
        <w:snapToGrid w:val="0"/>
        <w:spacing w:line="560" w:lineRule="exact"/>
        <w:ind w:firstLine="640" w:firstLineChars="200"/>
        <w:rPr>
          <w:rFonts w:ascii="彩虹粗仿宋" w:hAnsi="宋体" w:eastAsia="彩虹粗仿宋" w:cs="彩虹粗仿宋"/>
          <w:sz w:val="32"/>
          <w:szCs w:val="32"/>
        </w:rPr>
      </w:pPr>
      <w:r>
        <w:rPr>
          <w:rFonts w:hint="eastAsia" w:ascii="彩虹粗仿宋" w:hAnsi="宋体" w:eastAsia="彩虹粗仿宋" w:cs="彩虹粗仿宋"/>
          <w:sz w:val="32"/>
          <w:szCs w:val="32"/>
        </w:rPr>
        <w:t>（二）软件产品在国内有可靠的技术支持力量；</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粗仿宋" w:hAnsi="宋体" w:eastAsia="彩虹粗仿宋" w:cs="彩虹粗仿宋"/>
          <w:sz w:val="32"/>
          <w:szCs w:val="32"/>
        </w:rPr>
        <w:t>（三）供应商提供的产品需取得软件产品著作权或原厂商授权资质认证，需提供相关服务承诺函。</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三、项目建设背景及目标</w:t>
      </w:r>
    </w:p>
    <w:p>
      <w:pPr>
        <w:pStyle w:val="9"/>
        <w:spacing w:line="560" w:lineRule="atLeast"/>
        <w:ind w:firstLine="640"/>
        <w:jc w:val="left"/>
        <w:rPr>
          <w:rFonts w:ascii="彩虹粗仿宋" w:hAnsi="Calibri" w:eastAsia="彩虹粗仿宋"/>
          <w:bCs w:val="0"/>
          <w:color w:val="000000"/>
          <w:sz w:val="32"/>
        </w:rPr>
      </w:pPr>
      <w:r>
        <w:rPr>
          <w:rFonts w:hint="eastAsia" w:ascii="彩虹粗仿宋" w:hAnsi="Calibri" w:eastAsia="彩虹粗仿宋"/>
          <w:bCs w:val="0"/>
          <w:color w:val="000000"/>
          <w:sz w:val="32"/>
        </w:rPr>
        <w:t>为贯彻落实《国务院办公厅关于促进“互联网+医疗健康”发展的意见》、《</w:t>
      </w:r>
      <w:bookmarkStart w:id="0" w:name="_Hlk154560028"/>
      <w:r>
        <w:rPr>
          <w:rFonts w:hint="eastAsia" w:ascii="彩虹粗仿宋" w:hAnsi="Calibri" w:eastAsia="彩虹粗仿宋"/>
          <w:bCs w:val="0"/>
          <w:color w:val="000000"/>
          <w:sz w:val="32"/>
        </w:rPr>
        <w:t>国家卫健委、国家中医药管理局印发的</w:t>
      </w:r>
      <w:bookmarkEnd w:id="0"/>
      <w:r>
        <w:rPr>
          <w:rFonts w:hint="eastAsia" w:ascii="彩虹粗仿宋" w:hAnsi="Calibri" w:eastAsia="彩虹粗仿宋"/>
          <w:bCs w:val="0"/>
          <w:color w:val="000000"/>
          <w:sz w:val="32"/>
        </w:rPr>
        <w:t>关于开展改善就医感受提升患者体验主题活动的通知》等文件精神，进一步聚焦人民群众看病就医的“急难愁盼”问题，医院提出</w:t>
      </w:r>
      <w:r>
        <w:rPr>
          <w:rFonts w:hint="eastAsia" w:ascii="彩虹粗仿宋" w:eastAsia="彩虹粗仿宋"/>
          <w:color w:val="000000"/>
          <w:sz w:val="32"/>
        </w:rPr>
        <w:t>信息化建设需求，采购方将配合医院开展以下几项工作:</w:t>
      </w:r>
      <w:bookmarkStart w:id="1" w:name="_Toc134443685"/>
      <w:bookmarkStart w:id="2" w:name="_Toc11139"/>
    </w:p>
    <w:bookmarkEnd w:id="1"/>
    <w:bookmarkEnd w:id="2"/>
    <w:p>
      <w:pPr>
        <w:spacing w:line="560" w:lineRule="atLeast"/>
        <w:ind w:firstLine="640" w:firstLineChars="200"/>
        <w:jc w:val="left"/>
        <w:rPr>
          <w:rFonts w:ascii="彩虹粗仿宋" w:eastAsia="彩虹粗仿宋"/>
          <w:color w:val="000000"/>
          <w:sz w:val="32"/>
          <w:szCs w:val="32"/>
        </w:rPr>
      </w:pPr>
      <w:bookmarkStart w:id="3" w:name="_Toc134443686"/>
      <w:bookmarkStart w:id="4" w:name="_Toc31885"/>
      <w:r>
        <w:rPr>
          <w:rFonts w:hint="eastAsia" w:ascii="彩虹粗仿宋" w:eastAsia="彩虹粗仿宋"/>
          <w:color w:val="000000"/>
          <w:sz w:val="32"/>
          <w:szCs w:val="32"/>
        </w:rPr>
        <w:t>1.实现医保</w:t>
      </w:r>
      <w:bookmarkEnd w:id="3"/>
      <w:r>
        <w:rPr>
          <w:rFonts w:hint="eastAsia" w:ascii="彩虹粗仿宋" w:eastAsia="彩虹粗仿宋"/>
          <w:color w:val="000000"/>
          <w:sz w:val="32"/>
          <w:szCs w:val="32"/>
        </w:rPr>
        <w:t>结算。随着智慧医院发展需要，医保“移动支付”是全国统一医保信息平台建设的重要组成部分，患者通过移动支付方式即可完成医保基金和个人自费线上支付，有效提升定点医药机构的医保结算效率，为参保群众提供更加优质、便捷、高效的医保服务，减缓因排队挂号、缴费拥挤带来的压力。</w:t>
      </w:r>
      <w:bookmarkEnd w:id="4"/>
      <w:r>
        <w:rPr>
          <w:rFonts w:hint="eastAsia" w:ascii="彩虹粗仿宋" w:eastAsia="彩虹粗仿宋"/>
          <w:color w:val="000000"/>
          <w:sz w:val="32"/>
          <w:szCs w:val="32"/>
        </w:rPr>
        <w:t>根据《关于进一步做好2024年全市医保信息化标准化工作的通知》（乌医保办字[2024]33号）中全面推广使用刷脸设备，不断提高医保码结算在全部结算中的比重相关要求，为实现医院医保结算，需在自助服务终端中增加医保结算功能。</w:t>
      </w:r>
    </w:p>
    <w:p>
      <w:pPr>
        <w:spacing w:line="560" w:lineRule="atLeast"/>
        <w:ind w:firstLine="640" w:firstLineChars="200"/>
        <w:jc w:val="left"/>
        <w:rPr>
          <w:rFonts w:ascii="彩虹粗仿宋" w:eastAsia="彩虹粗仿宋"/>
          <w:color w:val="000000"/>
          <w:sz w:val="32"/>
          <w:szCs w:val="32"/>
        </w:rPr>
      </w:pPr>
      <w:r>
        <w:rPr>
          <w:rFonts w:hint="eastAsia" w:ascii="彩虹粗仿宋" w:eastAsia="彩虹粗仿宋"/>
          <w:color w:val="000000"/>
          <w:sz w:val="32"/>
          <w:szCs w:val="32"/>
        </w:rPr>
        <w:t>2.实现患者多渠道挂号、缴费及打印报告。</w:t>
      </w:r>
    </w:p>
    <w:p>
      <w:pPr>
        <w:spacing w:line="560" w:lineRule="atLeast"/>
        <w:ind w:firstLine="640" w:firstLineChars="200"/>
        <w:jc w:val="left"/>
        <w:rPr>
          <w:rFonts w:ascii="彩虹粗仿宋" w:eastAsia="彩虹粗仿宋"/>
          <w:color w:val="000000"/>
          <w:sz w:val="32"/>
          <w:szCs w:val="32"/>
        </w:rPr>
      </w:pPr>
      <w:r>
        <w:rPr>
          <w:rFonts w:hint="eastAsia" w:ascii="彩虹粗仿宋" w:eastAsia="彩虹粗仿宋"/>
          <w:color w:val="000000"/>
          <w:sz w:val="32"/>
          <w:szCs w:val="32"/>
        </w:rPr>
        <w:t>为方便患者少跑腿，更好地解决医院“三长一短”问题，本次拟为医院投入立式自助服务终端6台及软件，方便患者多渠道、挂号、缴费及打印报告，使患者就医看病更方便。</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四、</w:t>
      </w:r>
      <w:r>
        <w:rPr>
          <w:rFonts w:hint="eastAsia" w:ascii="彩虹黑体" w:hAnsi="宋体" w:eastAsia="彩虹黑体" w:cs="彩虹粗仿宋"/>
          <w:sz w:val="32"/>
          <w:szCs w:val="32"/>
        </w:rPr>
        <w:t>业务需求说明</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atLeast"/>
        <w:ind w:firstLine="643" w:firstLineChars="200"/>
        <w:jc w:val="left"/>
        <w:rPr>
          <w:rFonts w:ascii="彩虹楷体" w:hAnsi="宋体" w:eastAsia="彩虹楷体" w:cs="Times New Roman"/>
          <w:b/>
          <w:snapToGrid w:val="0"/>
          <w:kern w:val="0"/>
          <w:sz w:val="32"/>
          <w:szCs w:val="32"/>
        </w:rPr>
      </w:pPr>
      <w:r>
        <w:rPr>
          <w:rFonts w:hint="eastAsia" w:ascii="彩虹楷体" w:hAnsi="宋体" w:eastAsia="彩虹楷体" w:cs="Times New Roman"/>
          <w:b/>
          <w:snapToGrid w:val="0"/>
          <w:kern w:val="0"/>
          <w:sz w:val="32"/>
          <w:szCs w:val="32"/>
        </w:rPr>
        <w:t>（一）</w:t>
      </w:r>
      <w:r>
        <w:rPr>
          <w:rFonts w:hint="eastAsia" w:ascii="彩虹楷体" w:hAnsi="宋体" w:eastAsia="彩虹楷体" w:cs="彩虹粗仿宋"/>
          <w:b/>
          <w:sz w:val="32"/>
          <w:szCs w:val="32"/>
        </w:rPr>
        <w:t>采购清单</w:t>
      </w:r>
    </w:p>
    <w:tbl>
      <w:tblPr>
        <w:tblStyle w:val="4"/>
        <w:tblW w:w="5000" w:type="pct"/>
        <w:tblInd w:w="0" w:type="dxa"/>
        <w:tblLayout w:type="autofit"/>
        <w:tblCellMar>
          <w:top w:w="0" w:type="dxa"/>
          <w:left w:w="108" w:type="dxa"/>
          <w:bottom w:w="0" w:type="dxa"/>
          <w:right w:w="108" w:type="dxa"/>
        </w:tblCellMar>
      </w:tblPr>
      <w:tblGrid>
        <w:gridCol w:w="948"/>
        <w:gridCol w:w="2562"/>
        <w:gridCol w:w="2580"/>
        <w:gridCol w:w="1389"/>
        <w:gridCol w:w="1043"/>
      </w:tblGrid>
      <w:tr>
        <w:tblPrEx>
          <w:tblCellMar>
            <w:top w:w="0" w:type="dxa"/>
            <w:left w:w="108" w:type="dxa"/>
            <w:bottom w:w="0" w:type="dxa"/>
            <w:right w:w="108" w:type="dxa"/>
          </w:tblCellMar>
        </w:tblPrEx>
        <w:trPr>
          <w:trHeight w:val="660" w:hRule="atLeast"/>
        </w:trPr>
        <w:tc>
          <w:tcPr>
            <w:tcW w:w="5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序号</w:t>
            </w:r>
          </w:p>
        </w:tc>
        <w:tc>
          <w:tcPr>
            <w:tcW w:w="150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商品名称</w:t>
            </w:r>
          </w:p>
        </w:tc>
        <w:tc>
          <w:tcPr>
            <w:tcW w:w="151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商品品类</w:t>
            </w:r>
          </w:p>
        </w:tc>
        <w:tc>
          <w:tcPr>
            <w:tcW w:w="81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计量单位</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数量</w:t>
            </w:r>
          </w:p>
        </w:tc>
      </w:tr>
      <w:tr>
        <w:tblPrEx>
          <w:tblCellMar>
            <w:top w:w="0" w:type="dxa"/>
            <w:left w:w="108" w:type="dxa"/>
            <w:bottom w:w="0" w:type="dxa"/>
            <w:right w:w="108" w:type="dxa"/>
          </w:tblCellMar>
        </w:tblPrEx>
        <w:trPr>
          <w:trHeight w:val="680" w:hRule="atLeast"/>
        </w:trPr>
        <w:tc>
          <w:tcPr>
            <w:tcW w:w="5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50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28"/>
                <w:szCs w:val="28"/>
              </w:rPr>
            </w:pPr>
            <w:r>
              <w:rPr>
                <w:rFonts w:hint="eastAsia"/>
                <w:color w:val="000000"/>
              </w:rPr>
              <w:t>自助缴费服务终端</w:t>
            </w:r>
          </w:p>
        </w:tc>
        <w:tc>
          <w:tcPr>
            <w:tcW w:w="1514" w:type="pct"/>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eastAsia="宋体" w:cs="宋体"/>
                <w:color w:val="000000"/>
                <w:kern w:val="0"/>
                <w:szCs w:val="21"/>
              </w:rPr>
              <w:t>业务延伸类（固定资产）</w:t>
            </w:r>
          </w:p>
        </w:tc>
        <w:tc>
          <w:tcPr>
            <w:tcW w:w="8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20"/>
                <w:szCs w:val="20"/>
              </w:rPr>
            </w:pPr>
            <w:r>
              <w:rPr>
                <w:rFonts w:hint="eastAsia"/>
                <w:color w:val="000000"/>
                <w:sz w:val="20"/>
                <w:szCs w:val="20"/>
              </w:rPr>
              <w:t>台</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20"/>
                <w:szCs w:val="20"/>
              </w:rPr>
            </w:pPr>
            <w:r>
              <w:rPr>
                <w:rFonts w:hint="eastAsia"/>
                <w:color w:val="000000"/>
                <w:sz w:val="20"/>
                <w:szCs w:val="20"/>
              </w:rPr>
              <w:t>6</w:t>
            </w:r>
          </w:p>
        </w:tc>
      </w:tr>
      <w:tr>
        <w:tblPrEx>
          <w:tblCellMar>
            <w:top w:w="0" w:type="dxa"/>
            <w:left w:w="108" w:type="dxa"/>
            <w:bottom w:w="0" w:type="dxa"/>
            <w:right w:w="108" w:type="dxa"/>
          </w:tblCellMar>
        </w:tblPrEx>
        <w:trPr>
          <w:trHeight w:val="680" w:hRule="atLeast"/>
        </w:trPr>
        <w:tc>
          <w:tcPr>
            <w:tcW w:w="5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150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24"/>
                <w:szCs w:val="24"/>
              </w:rPr>
            </w:pPr>
            <w:r>
              <w:rPr>
                <w:rFonts w:hint="eastAsia"/>
                <w:color w:val="000000"/>
              </w:rPr>
              <w:t>一站式自助缴费系统</w:t>
            </w:r>
          </w:p>
        </w:tc>
        <w:tc>
          <w:tcPr>
            <w:tcW w:w="1514" w:type="pct"/>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eastAsia="宋体" w:cs="宋体"/>
                <w:color w:val="000000"/>
                <w:kern w:val="0"/>
                <w:szCs w:val="21"/>
              </w:rPr>
              <w:t>业务延伸类（软件）</w:t>
            </w:r>
          </w:p>
        </w:tc>
        <w:tc>
          <w:tcPr>
            <w:tcW w:w="81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20"/>
                <w:szCs w:val="20"/>
              </w:rPr>
            </w:pPr>
            <w:r>
              <w:rPr>
                <w:rFonts w:hint="eastAsia"/>
                <w:color w:val="000000"/>
                <w:sz w:val="20"/>
                <w:szCs w:val="20"/>
              </w:rPr>
              <w:t>套</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20"/>
                <w:szCs w:val="20"/>
              </w:rPr>
            </w:pPr>
            <w:r>
              <w:rPr>
                <w:rFonts w:hint="eastAsia"/>
                <w:color w:val="000000"/>
                <w:sz w:val="20"/>
                <w:szCs w:val="20"/>
              </w:rPr>
              <w:t>1</w:t>
            </w:r>
          </w:p>
        </w:tc>
      </w:tr>
    </w:tbl>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atLeast"/>
        <w:ind w:firstLine="643" w:firstLineChars="200"/>
        <w:jc w:val="left"/>
        <w:rPr>
          <w:rFonts w:ascii="彩虹楷体" w:hAnsi="宋体" w:eastAsia="彩虹楷体" w:cs="彩虹粗仿宋"/>
          <w:b/>
          <w:sz w:val="32"/>
          <w:szCs w:val="32"/>
        </w:rPr>
      </w:pPr>
      <w:r>
        <w:rPr>
          <w:rFonts w:hint="eastAsia" w:ascii="彩虹楷体" w:hAnsi="宋体" w:eastAsia="彩虹楷体" w:cs="Times New Roman"/>
          <w:b/>
          <w:snapToGrid w:val="0"/>
          <w:kern w:val="0"/>
          <w:sz w:val="32"/>
          <w:szCs w:val="32"/>
        </w:rPr>
        <w:t>（二）软硬件</w:t>
      </w:r>
      <w:r>
        <w:rPr>
          <w:rFonts w:hint="eastAsia" w:ascii="彩虹楷体" w:hAnsi="宋体" w:eastAsia="彩虹楷体" w:cs="彩虹粗仿宋"/>
          <w:b/>
          <w:sz w:val="32"/>
          <w:szCs w:val="32"/>
        </w:rPr>
        <w:t>产品需求参数</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atLeast"/>
        <w:ind w:firstLine="643" w:firstLineChars="200"/>
        <w:jc w:val="left"/>
        <w:rPr>
          <w:rFonts w:ascii="彩虹楷体" w:hAnsi="宋体" w:eastAsia="彩虹楷体" w:cs="Times New Roman"/>
          <w:b/>
          <w:snapToGrid w:val="0"/>
          <w:kern w:val="0"/>
          <w:sz w:val="32"/>
          <w:szCs w:val="32"/>
        </w:rPr>
      </w:pPr>
      <w:r>
        <w:rPr>
          <w:rFonts w:hint="eastAsia" w:ascii="彩虹楷体" w:hAnsi="宋体" w:eastAsia="彩虹楷体" w:cs="Times New Roman"/>
          <w:b/>
          <w:snapToGrid w:val="0"/>
          <w:kern w:val="0"/>
          <w:sz w:val="32"/>
          <w:szCs w:val="32"/>
        </w:rPr>
        <w:t>1.硬件设备</w:t>
      </w:r>
    </w:p>
    <w:tbl>
      <w:tblPr>
        <w:tblStyle w:val="4"/>
        <w:tblW w:w="5000" w:type="pct"/>
        <w:tblInd w:w="0" w:type="dxa"/>
        <w:tblLayout w:type="autofit"/>
        <w:tblCellMar>
          <w:top w:w="0" w:type="dxa"/>
          <w:left w:w="108" w:type="dxa"/>
          <w:bottom w:w="0" w:type="dxa"/>
          <w:right w:w="108" w:type="dxa"/>
        </w:tblCellMar>
      </w:tblPr>
      <w:tblGrid>
        <w:gridCol w:w="406"/>
        <w:gridCol w:w="1018"/>
        <w:gridCol w:w="4293"/>
        <w:gridCol w:w="2805"/>
      </w:tblGrid>
      <w:tr>
        <w:tblPrEx>
          <w:tblCellMar>
            <w:top w:w="0" w:type="dxa"/>
            <w:left w:w="108" w:type="dxa"/>
            <w:bottom w:w="0" w:type="dxa"/>
            <w:right w:w="108" w:type="dxa"/>
          </w:tblCellMar>
        </w:tblPrEx>
        <w:trPr>
          <w:trHeight w:val="285" w:hRule="atLeast"/>
        </w:trPr>
        <w:tc>
          <w:tcPr>
            <w:tcW w:w="238" w:type="pct"/>
            <w:tcBorders>
              <w:top w:val="single" w:color="auto" w:sz="4" w:space="0"/>
              <w:left w:val="single" w:color="auto" w:sz="4" w:space="0"/>
              <w:bottom w:val="single" w:color="auto" w:sz="4" w:space="0"/>
              <w:right w:val="single" w:color="auto" w:sz="4" w:space="0"/>
            </w:tcBorders>
            <w:shd w:val="clear" w:color="000000" w:fill="E7E6E6"/>
            <w:noWrap w:val="0"/>
            <w:vAlign w:val="center"/>
          </w:tcPr>
          <w:p>
            <w:pPr>
              <w:widowControl/>
              <w:jc w:val="center"/>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序号</w:t>
            </w:r>
          </w:p>
        </w:tc>
        <w:tc>
          <w:tcPr>
            <w:tcW w:w="597" w:type="pct"/>
            <w:tcBorders>
              <w:top w:val="single" w:color="auto" w:sz="4" w:space="0"/>
              <w:left w:val="nil"/>
              <w:bottom w:val="single" w:color="auto" w:sz="4" w:space="0"/>
              <w:right w:val="single" w:color="auto" w:sz="4" w:space="0"/>
            </w:tcBorders>
            <w:shd w:val="clear" w:color="000000" w:fill="E7E6E6"/>
            <w:noWrap w:val="0"/>
            <w:vAlign w:val="center"/>
          </w:tcPr>
          <w:p>
            <w:pPr>
              <w:widowControl/>
              <w:jc w:val="center"/>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产品名称</w:t>
            </w:r>
          </w:p>
        </w:tc>
        <w:tc>
          <w:tcPr>
            <w:tcW w:w="2519" w:type="pct"/>
            <w:tcBorders>
              <w:top w:val="single" w:color="auto" w:sz="4" w:space="0"/>
              <w:left w:val="nil"/>
              <w:bottom w:val="single" w:color="auto" w:sz="4" w:space="0"/>
              <w:right w:val="single" w:color="auto" w:sz="4" w:space="0"/>
            </w:tcBorders>
            <w:shd w:val="clear" w:color="000000" w:fill="E7E6E6"/>
            <w:noWrap w:val="0"/>
            <w:vAlign w:val="center"/>
          </w:tcPr>
          <w:p>
            <w:pPr>
              <w:widowControl/>
              <w:jc w:val="left"/>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详细参数</w:t>
            </w:r>
          </w:p>
        </w:tc>
        <w:tc>
          <w:tcPr>
            <w:tcW w:w="1646" w:type="pct"/>
            <w:tcBorders>
              <w:top w:val="single" w:color="auto" w:sz="4" w:space="0"/>
              <w:left w:val="nil"/>
              <w:bottom w:val="single" w:color="auto" w:sz="4" w:space="0"/>
              <w:right w:val="single" w:color="auto" w:sz="4" w:space="0"/>
            </w:tcBorders>
            <w:shd w:val="clear" w:color="000000" w:fill="E7E6E6"/>
            <w:noWrap w:val="0"/>
            <w:vAlign w:val="center"/>
          </w:tcPr>
          <w:p>
            <w:pPr>
              <w:widowControl/>
              <w:jc w:val="left"/>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详细功能描述</w:t>
            </w:r>
          </w:p>
        </w:tc>
      </w:tr>
      <w:tr>
        <w:tblPrEx>
          <w:tblCellMar>
            <w:top w:w="0" w:type="dxa"/>
            <w:left w:w="108" w:type="dxa"/>
            <w:bottom w:w="0" w:type="dxa"/>
            <w:right w:w="108" w:type="dxa"/>
          </w:tblCellMar>
        </w:tblPrEx>
        <w:trPr>
          <w:trHeight w:val="702" w:hRule="atLeast"/>
        </w:trPr>
        <w:tc>
          <w:tcPr>
            <w:tcW w:w="238" w:type="pct"/>
            <w:tcBorders>
              <w:top w:val="nil"/>
              <w:left w:val="single" w:color="auto" w:sz="4" w:space="0"/>
              <w:bottom w:val="single" w:color="auto" w:sz="4" w:space="0"/>
              <w:right w:val="single" w:color="auto" w:sz="4" w:space="0"/>
            </w:tcBorders>
            <w:noWrap/>
            <w:vAlign w:val="center"/>
          </w:tcPr>
          <w:p>
            <w:pPr>
              <w:widowControl/>
              <w:jc w:val="center"/>
              <w:rPr>
                <w:rFonts w:ascii="等线" w:hAnsi="等线" w:eastAsia="等线" w:cs="宋体"/>
                <w:color w:val="000000"/>
                <w:kern w:val="0"/>
                <w:sz w:val="18"/>
                <w:szCs w:val="18"/>
              </w:rPr>
            </w:pPr>
            <w:r>
              <w:rPr>
                <w:rFonts w:hint="eastAsia" w:ascii="等线" w:hAnsi="等线" w:eastAsia="等线" w:cs="宋体"/>
                <w:color w:val="000000"/>
                <w:kern w:val="0"/>
                <w:sz w:val="18"/>
                <w:szCs w:val="18"/>
              </w:rPr>
              <w:t>1</w:t>
            </w:r>
          </w:p>
        </w:tc>
        <w:tc>
          <w:tcPr>
            <w:tcW w:w="597" w:type="pct"/>
            <w:tcBorders>
              <w:top w:val="nil"/>
              <w:left w:val="nil"/>
              <w:bottom w:val="single" w:color="auto" w:sz="4" w:space="0"/>
              <w:right w:val="single" w:color="auto" w:sz="4" w:space="0"/>
            </w:tcBorders>
            <w:noWrap w:val="0"/>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自助缴费服务终端</w:t>
            </w:r>
          </w:p>
        </w:tc>
        <w:tc>
          <w:tcPr>
            <w:tcW w:w="2519" w:type="pct"/>
            <w:tcBorders>
              <w:top w:val="nil"/>
              <w:left w:val="nil"/>
              <w:bottom w:val="single" w:color="auto" w:sz="4" w:space="0"/>
              <w:right w:val="single" w:color="auto" w:sz="4" w:space="0"/>
            </w:tcBorders>
            <w:noWrap w:val="0"/>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 主机模块 芯片组：可以平替IntelH110的国产设备</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内存：8GB DDR4  2400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处理器 : 可以平替处理器 Inter i5 6500的国产设备 四核3.2GHz</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硬盘  480GB SSD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使用品牌工控主机，且同为自助缴费服务终端制造商制造，提供工控主机3C证书和自助缴费服务终端3C证书做证明材料。</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 显示模块 液晶类型: 43"TFT-LCD, LED 背光;</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显示比率16:9</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最佳分辨率1920x1080 @ 60Hz</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支持颜色16.7M</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亮度(Typ.)</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液晶面板280cd/m2</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 社保卡模块 卡触点</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可使用次数10 万次</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通讯协议</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支持 T=0 、 T=1 的 CPU 卡</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所遵循的标准</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ISO 7816-3 、 PC/SC 、 GSM11.11 、 FCC 、 CE</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 条码扫描模块 识读模式：CMOS；</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识读精度：≥10mil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识读景深：0mm-100mm；蜂鸣器提示；</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支持居民电子健康卡二维码读取。入围国家居民健康卡识读终端目录。</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 身份证阅读器 符合公安部《GA450-2013台式居民身份证阅读器通用技术要求》,兼容ISO-14443(TYPE-B)标准;</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阅读距离：0-3cm</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读卡速度：&lt;1s</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 凭条打印模块 印方式： 行式热敏</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打印密度： 8 点/mm</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打印方向： 进纸方向</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打印速度： 150mm/s（Max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纸宽： 79.5±0.5mm</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纸处理方式：自动切纸</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面板热敏打印机，正面开盖维护换纸，定制专属透明盖子，不开盖可查看纸张余量。</w:t>
            </w:r>
          </w:p>
          <w:p>
            <w:pPr>
              <w:widowControl/>
              <w:jc w:val="left"/>
              <w:rPr>
                <w:rFonts w:ascii="微软雅黑" w:hAnsi="微软雅黑" w:eastAsia="微软雅黑" w:cs="宋体"/>
                <w:color w:val="000000"/>
                <w:kern w:val="0"/>
                <w:sz w:val="18"/>
                <w:szCs w:val="18"/>
              </w:rPr>
            </w:pP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7. 报告打印模块（热敏） 打印方式： 行式热敏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分辨率： 203DPI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打印宽度： 210mm.Max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打印速度： 100mm/s(203DPI)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纸张类型： 连续纸/标记纸/折叠纸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切纸方式： 全切</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 医保刷脸支付模块 处理器 8核2.0GHz</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操作系统 Andriod 9.0</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显示屏 8英寸分辨率1280*800</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触摸屏 多点触控电容屏</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内存 4GB</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储存 64GB</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人脸摄像头 3D结构光摄像头</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网络制式 TD-LTE/FDD-LTE/WCDMA</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WI-FI "2.4/5G双频</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支持802.1la/b/g/n/ac"</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蓝牙 </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自助缴费服务终端制造商取得医保刷脸支付模块3C证书；</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自助缴费服务终端制造商取得医保刷脸支付模块国家医保局III类终端检测报告；</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自助缴费服务终端制造商取得医保刷脸模块电信设备进网许可证；</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自助缴费服务终端制造商取得医保刷脸支付模块无线电放射设备型号核准证；</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自助缴费服务终端制造商取得医保刷脸支付模块ROHS检测报告；</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9. 电源模块 直流输出范围 12V,0～8.5A</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输出电压精度 ±1%</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纹波 120mVp-p</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效率 88%</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输入电压范围 85～264VAC/120～373VDC</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输入浪涌电流 冷启动, 230V时为50A</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电压调整范围 10.2～13.8V</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启动上升保持时间 230VAC满载时500ms,30ms,55ms/115VAC满载时500ms,30ms,10ms</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 功放模块 功放+音响</w:t>
            </w:r>
          </w:p>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 红外接近传感器 红外接近传感器</w:t>
            </w:r>
          </w:p>
        </w:tc>
        <w:tc>
          <w:tcPr>
            <w:tcW w:w="1646" w:type="pct"/>
            <w:tcBorders>
              <w:top w:val="nil"/>
              <w:left w:val="nil"/>
              <w:bottom w:val="single" w:color="auto" w:sz="4" w:space="0"/>
              <w:right w:val="single" w:color="auto" w:sz="4" w:space="0"/>
            </w:tcBorders>
            <w:noWrap w:val="0"/>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医保人脸建档、医保人脸预约、医保人脸挂号、医保人脸取号、医保人脸结算、医保人脸报告打印、医保人脸打印电子发票、医保人脸查询</w:t>
            </w:r>
          </w:p>
        </w:tc>
      </w:tr>
    </w:tbl>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atLeast"/>
        <w:ind w:firstLine="562" w:firstLineChars="200"/>
        <w:jc w:val="left"/>
        <w:rPr>
          <w:rFonts w:ascii="彩虹粗仿宋" w:hAnsi="宋体" w:eastAsia="彩虹粗仿宋" w:cs="Times New Roman"/>
          <w:b/>
          <w:snapToGrid w:val="0"/>
          <w:kern w:val="0"/>
          <w:sz w:val="28"/>
          <w:szCs w:val="28"/>
        </w:rPr>
      </w:pPr>
      <w:r>
        <w:rPr>
          <w:rFonts w:hint="eastAsia" w:ascii="彩虹粗仿宋" w:hAnsi="宋体" w:eastAsia="彩虹粗仿宋" w:cs="Times New Roman"/>
          <w:b/>
          <w:snapToGrid w:val="0"/>
          <w:kern w:val="0"/>
          <w:sz w:val="28"/>
          <w:szCs w:val="28"/>
        </w:rPr>
        <w:t>*表中设备详细参数及详细功能作为本次项目拟采购的硬件设备须满足的最低需求标准,拟投标的厂商可以提供性能高于以上标准参数的设备。</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atLeast"/>
        <w:ind w:firstLine="643" w:firstLineChars="200"/>
        <w:jc w:val="left"/>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2、软件设备</w:t>
      </w:r>
    </w:p>
    <w:tbl>
      <w:tblPr>
        <w:tblStyle w:val="4"/>
        <w:tblW w:w="5000" w:type="pct"/>
        <w:tblInd w:w="0" w:type="dxa"/>
        <w:tblLayout w:type="autofit"/>
        <w:tblCellMar>
          <w:top w:w="0" w:type="dxa"/>
          <w:left w:w="108" w:type="dxa"/>
          <w:bottom w:w="0" w:type="dxa"/>
          <w:right w:w="108" w:type="dxa"/>
        </w:tblCellMar>
      </w:tblPr>
      <w:tblGrid>
        <w:gridCol w:w="464"/>
        <w:gridCol w:w="639"/>
        <w:gridCol w:w="3710"/>
        <w:gridCol w:w="3709"/>
      </w:tblGrid>
      <w:tr>
        <w:tblPrEx>
          <w:tblCellMar>
            <w:top w:w="0" w:type="dxa"/>
            <w:left w:w="108" w:type="dxa"/>
            <w:bottom w:w="0" w:type="dxa"/>
            <w:right w:w="108" w:type="dxa"/>
          </w:tblCellMar>
        </w:tblPrEx>
        <w:trPr>
          <w:trHeight w:val="660" w:hRule="atLeast"/>
        </w:trPr>
        <w:tc>
          <w:tcPr>
            <w:tcW w:w="2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微软雅黑" w:hAnsi="微软雅黑" w:eastAsia="微软雅黑" w:cs="宋体"/>
                <w:b/>
                <w:bCs/>
                <w:kern w:val="0"/>
                <w:sz w:val="22"/>
              </w:rPr>
            </w:pPr>
            <w:r>
              <w:rPr>
                <w:rFonts w:hint="eastAsia" w:ascii="微软雅黑" w:hAnsi="微软雅黑" w:eastAsia="微软雅黑" w:cs="宋体"/>
                <w:b/>
                <w:bCs/>
                <w:kern w:val="0"/>
                <w:sz w:val="22"/>
              </w:rPr>
              <w:t>序号</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微软雅黑" w:hAnsi="微软雅黑" w:eastAsia="微软雅黑" w:cs="宋体"/>
                <w:b/>
                <w:bCs/>
                <w:kern w:val="0"/>
                <w:sz w:val="22"/>
              </w:rPr>
            </w:pPr>
            <w:r>
              <w:rPr>
                <w:rFonts w:hint="eastAsia" w:ascii="微软雅黑" w:hAnsi="微软雅黑" w:eastAsia="微软雅黑" w:cs="宋体"/>
                <w:b/>
                <w:bCs/>
                <w:kern w:val="0"/>
                <w:sz w:val="22"/>
              </w:rPr>
              <w:t>产品名称</w:t>
            </w:r>
          </w:p>
        </w:tc>
        <w:tc>
          <w:tcPr>
            <w:tcW w:w="21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微软雅黑" w:hAnsi="微软雅黑" w:eastAsia="微软雅黑" w:cs="宋体"/>
                <w:b/>
                <w:bCs/>
                <w:kern w:val="0"/>
                <w:sz w:val="22"/>
              </w:rPr>
            </w:pPr>
            <w:r>
              <w:rPr>
                <w:rFonts w:hint="eastAsia" w:ascii="微软雅黑" w:hAnsi="微软雅黑" w:eastAsia="微软雅黑" w:cs="宋体"/>
                <w:b/>
                <w:bCs/>
                <w:kern w:val="0"/>
                <w:sz w:val="22"/>
              </w:rPr>
              <w:t>功能</w:t>
            </w:r>
          </w:p>
        </w:tc>
        <w:tc>
          <w:tcPr>
            <w:tcW w:w="217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微软雅黑" w:hAnsi="微软雅黑" w:eastAsia="微软雅黑" w:cs="宋体"/>
                <w:b/>
                <w:bCs/>
                <w:kern w:val="0"/>
                <w:sz w:val="22"/>
              </w:rPr>
            </w:pPr>
            <w:r>
              <w:rPr>
                <w:rFonts w:hint="eastAsia" w:ascii="微软雅黑" w:hAnsi="微软雅黑" w:eastAsia="微软雅黑" w:cs="宋体"/>
                <w:b/>
                <w:bCs/>
                <w:kern w:val="0"/>
                <w:sz w:val="22"/>
              </w:rPr>
              <w:t>详细功能描述</w:t>
            </w:r>
          </w:p>
        </w:tc>
      </w:tr>
      <w:tr>
        <w:tblPrEx>
          <w:tblCellMar>
            <w:top w:w="0" w:type="dxa"/>
            <w:left w:w="108" w:type="dxa"/>
            <w:bottom w:w="0" w:type="dxa"/>
            <w:right w:w="108" w:type="dxa"/>
          </w:tblCellMar>
        </w:tblPrEx>
        <w:trPr>
          <w:trHeight w:val="680" w:hRule="atLeast"/>
        </w:trPr>
        <w:tc>
          <w:tcPr>
            <w:tcW w:w="2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375"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20"/>
                <w:szCs w:val="20"/>
              </w:rPr>
            </w:pPr>
            <w:r>
              <w:rPr>
                <w:rFonts w:hint="eastAsia"/>
                <w:color w:val="000000"/>
                <w:sz w:val="20"/>
                <w:szCs w:val="20"/>
              </w:rPr>
              <w:t>一站式自助缴费系统</w:t>
            </w:r>
          </w:p>
        </w:tc>
        <w:tc>
          <w:tcPr>
            <w:tcW w:w="2177" w:type="pct"/>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0"/>
                <w:szCs w:val="20"/>
              </w:rPr>
            </w:pPr>
            <w:r>
              <w:rPr>
                <w:rFonts w:hint="eastAsia"/>
                <w:color w:val="000000"/>
                <w:sz w:val="20"/>
                <w:szCs w:val="20"/>
              </w:rPr>
              <w:t>医保人脸身份认证、人脸建档、人脸预约、人脸挂号、人脸取号、人脸结算、人脸报告打印、人脸打印电子发票、人脸查询。</w:t>
            </w:r>
          </w:p>
        </w:tc>
        <w:tc>
          <w:tcPr>
            <w:tcW w:w="2176" w:type="pct"/>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r>
              <w:rPr>
                <w:rFonts w:hint="eastAsia"/>
                <w:color w:val="000000"/>
                <w:sz w:val="20"/>
                <w:szCs w:val="20"/>
              </w:rPr>
              <w:t>医保人脸身份认证、人脸建档、人脸预约、人脸挂号、人脸取号、人脸结算、人脸报告打印、人脸打印电子发票、人脸查询。</w:t>
            </w:r>
          </w:p>
        </w:tc>
      </w:tr>
    </w:tbl>
    <w:p>
      <w:pPr>
        <w:spacing w:line="560" w:lineRule="atLeast"/>
        <w:ind w:firstLine="562" w:firstLineChars="200"/>
        <w:rPr>
          <w:rFonts w:ascii="彩虹粗仿宋" w:hAnsi="宋体" w:eastAsia="彩虹粗仿宋" w:cs="Times New Roman"/>
          <w:b/>
          <w:snapToGrid w:val="0"/>
          <w:kern w:val="0"/>
          <w:sz w:val="28"/>
          <w:szCs w:val="28"/>
        </w:rPr>
      </w:pPr>
      <w:r>
        <w:rPr>
          <w:rFonts w:hint="eastAsia" w:ascii="彩虹粗仿宋" w:hAnsi="宋体" w:eastAsia="彩虹粗仿宋" w:cs="Times New Roman"/>
          <w:b/>
          <w:snapToGrid w:val="0"/>
          <w:kern w:val="0"/>
          <w:sz w:val="28"/>
          <w:szCs w:val="28"/>
        </w:rPr>
        <w:t>*表中软件产品名称为参考，采购时按照投标厂商对本次项目提供的软件名称为准。</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atLeast"/>
        <w:ind w:firstLine="562" w:firstLineChars="200"/>
        <w:jc w:val="left"/>
        <w:rPr>
          <w:rFonts w:ascii="彩虹粗仿宋" w:hAnsi="宋体" w:eastAsia="彩虹粗仿宋" w:cs="Times New Roman"/>
          <w:b/>
          <w:snapToGrid w:val="0"/>
          <w:kern w:val="0"/>
          <w:sz w:val="28"/>
          <w:szCs w:val="28"/>
        </w:rPr>
      </w:pPr>
      <w:r>
        <w:rPr>
          <w:rFonts w:hint="eastAsia" w:ascii="彩虹粗仿宋" w:hAnsi="宋体" w:eastAsia="彩虹粗仿宋" w:cs="Times New Roman"/>
          <w:b/>
          <w:snapToGrid w:val="0"/>
          <w:kern w:val="0"/>
          <w:sz w:val="28"/>
          <w:szCs w:val="28"/>
        </w:rPr>
        <w:t>*表中产品功能作为本次项目拟采购的软件须满足的最低需求标准, 拟投标的厂商可以提供功能点覆盖且补充表中产品功能的软件。</w:t>
      </w:r>
    </w:p>
    <w:p>
      <w:pPr>
        <w:spacing w:line="560" w:lineRule="atLeast"/>
        <w:ind w:firstLine="562" w:firstLineChars="200"/>
        <w:rPr>
          <w:rFonts w:ascii="彩虹粗仿宋" w:hAnsi="宋体" w:eastAsia="彩虹粗仿宋" w:cs="Times New Roman"/>
          <w:b/>
          <w:snapToGrid w:val="0"/>
          <w:kern w:val="0"/>
          <w:sz w:val="28"/>
          <w:szCs w:val="28"/>
        </w:rPr>
      </w:pPr>
      <w:r>
        <w:rPr>
          <w:rFonts w:hint="eastAsia" w:ascii="彩虹粗仿宋" w:hAnsi="宋体" w:eastAsia="彩虹粗仿宋" w:cs="Times New Roman"/>
          <w:b/>
          <w:snapToGrid w:val="0"/>
          <w:kern w:val="0"/>
          <w:sz w:val="28"/>
          <w:szCs w:val="28"/>
        </w:rPr>
        <w:t>*软件产品须附有计算机软件著作权登记证书。</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五、项目进度要求</w:t>
      </w:r>
    </w:p>
    <w:p>
      <w:pPr>
        <w:spacing w:line="560" w:lineRule="atLeast"/>
        <w:ind w:firstLine="643" w:firstLineChars="200"/>
        <w:textAlignment w:val="baseline"/>
        <w:rPr>
          <w:rFonts w:ascii="彩虹楷体" w:hAnsi="彩虹楷体" w:eastAsia="彩虹楷体" w:cs="彩虹楷体"/>
          <w:b/>
          <w:bCs/>
          <w:sz w:val="32"/>
          <w:szCs w:val="32"/>
        </w:rPr>
      </w:pPr>
      <w:r>
        <w:rPr>
          <w:rFonts w:hint="eastAsia" w:ascii="彩虹楷体" w:hAnsi="彩虹楷体" w:eastAsia="彩虹楷体" w:cs="彩虹楷体"/>
          <w:b/>
          <w:bCs/>
          <w:sz w:val="32"/>
          <w:szCs w:val="32"/>
        </w:rPr>
        <w:t>（一）交货期</w:t>
      </w:r>
    </w:p>
    <w:p>
      <w:pPr>
        <w:spacing w:line="560" w:lineRule="exact"/>
        <w:ind w:firstLine="640" w:firstLineChars="200"/>
        <w:rPr>
          <w:rFonts w:ascii="彩虹粗仿宋" w:hAnsi="宋体" w:eastAsia="彩虹粗仿宋"/>
          <w:sz w:val="32"/>
          <w:szCs w:val="32"/>
          <w:lang w:val="zh-TW" w:bidi="zh-TW"/>
        </w:rPr>
      </w:pPr>
      <w:r>
        <w:rPr>
          <w:rFonts w:hint="eastAsia" w:ascii="彩虹粗仿宋" w:hAnsi="宋体" w:eastAsia="彩虹粗仿宋"/>
          <w:sz w:val="32"/>
          <w:szCs w:val="32"/>
          <w:lang w:val="zh-TW" w:bidi="zh-TW"/>
        </w:rPr>
        <w:t>供应商应在采购</w:t>
      </w:r>
      <w:r>
        <w:rPr>
          <w:rFonts w:hint="eastAsia" w:ascii="彩虹粗仿宋" w:hAnsi="彩虹粗仿宋" w:eastAsia="彩虹粗仿宋"/>
          <w:sz w:val="32"/>
          <w:szCs w:val="32"/>
        </w:rPr>
        <w:t>合同签署后1个月内完成所有需要的软、硬件安装、开发、测试与上线工作。</w:t>
      </w:r>
      <w:r>
        <w:rPr>
          <w:rFonts w:hint="eastAsia" w:ascii="彩虹粗仿宋" w:hAnsi="宋体" w:eastAsia="彩虹粗仿宋"/>
          <w:sz w:val="32"/>
          <w:szCs w:val="32"/>
          <w:lang w:val="zh-TW" w:bidi="zh-TW"/>
        </w:rPr>
        <w:t>完成安装调试后并向采购方提供验收报告。自验收之日起进入质保期，质保期为五年。</w:t>
      </w:r>
    </w:p>
    <w:p>
      <w:pPr>
        <w:spacing w:line="560" w:lineRule="exact"/>
        <w:ind w:firstLine="643" w:firstLineChars="200"/>
        <w:rPr>
          <w:rFonts w:ascii="彩虹粗仿宋" w:hAnsi="宋体" w:eastAsia="彩虹粗仿宋"/>
          <w:sz w:val="32"/>
          <w:szCs w:val="32"/>
          <w:lang w:val="zh-TW" w:bidi="zh-TW"/>
        </w:rPr>
      </w:pPr>
      <w:r>
        <w:rPr>
          <w:rFonts w:hint="eastAsia" w:ascii="彩虹楷体" w:hAnsi="彩虹楷体" w:eastAsia="彩虹楷体" w:cs="彩虹楷体"/>
          <w:b/>
          <w:bCs/>
          <w:sz w:val="32"/>
          <w:szCs w:val="32"/>
          <w:lang w:val="zh-TW" w:bidi="zh-TW"/>
        </w:rPr>
        <w:t>（二）交货地点</w:t>
      </w:r>
      <w:r>
        <w:rPr>
          <w:rFonts w:ascii="彩虹粗仿宋" w:hAnsi="宋体" w:eastAsia="彩虹粗仿宋"/>
          <w:sz w:val="32"/>
          <w:szCs w:val="32"/>
          <w:lang w:val="zh-TW" w:bidi="zh-TW"/>
        </w:rPr>
        <w:t xml:space="preserve"> </w:t>
      </w:r>
    </w:p>
    <w:p>
      <w:pPr>
        <w:spacing w:line="560" w:lineRule="atLeast"/>
        <w:ind w:firstLine="640" w:firstLineChars="200"/>
        <w:textAlignment w:val="baseline"/>
        <w:rPr>
          <w:rFonts w:ascii="彩虹粗仿宋" w:hAnsi="彩虹粗仿宋" w:eastAsia="彩虹粗仿宋"/>
          <w:sz w:val="32"/>
          <w:szCs w:val="32"/>
        </w:rPr>
      </w:pPr>
      <w:r>
        <w:rPr>
          <w:rFonts w:hint="eastAsia" w:ascii="彩虹粗仿宋" w:hAnsi="彩虹粗仿宋" w:eastAsia="彩虹粗仿宋"/>
          <w:sz w:val="32"/>
          <w:szCs w:val="32"/>
        </w:rPr>
        <w:t>所有采购的软硬件交付地点为兴和县中医蒙医医院，软硬件设备均按照医院信息化建设规划部署，且上述所有工作在兴和县中医蒙医医院进行，项目上线并验收合格前所发生的包装费用、运输费用、培训费用、对接费用等一切费用均由供应商承担。</w:t>
      </w:r>
    </w:p>
    <w:p>
      <w:pPr>
        <w:pStyle w:val="8"/>
        <w:spacing w:line="560" w:lineRule="atLeast"/>
        <w:ind w:firstLine="636" w:firstLineChars="198"/>
        <w:rPr>
          <w:rFonts w:ascii="彩虹粗仿宋" w:hAnsi="彩虹粗仿宋" w:eastAsia="彩虹粗仿宋" w:cs="彩虹粗仿宋"/>
          <w:b/>
          <w:kern w:val="0"/>
          <w:sz w:val="32"/>
          <w:szCs w:val="32"/>
        </w:rPr>
      </w:pPr>
      <w:r>
        <w:rPr>
          <w:rFonts w:hint="eastAsia" w:ascii="彩虹粗仿宋" w:hAnsi="彩虹粗仿宋" w:eastAsia="彩虹粗仿宋" w:cs="彩虹粗仿宋"/>
          <w:b/>
          <w:kern w:val="0"/>
          <w:sz w:val="32"/>
          <w:szCs w:val="32"/>
        </w:rPr>
        <w:t>六、供应商投入项目的人员数量、资质经验、角色等方面的要求</w:t>
      </w:r>
    </w:p>
    <w:p>
      <w:pPr>
        <w:autoSpaceDE w:val="0"/>
        <w:autoSpaceDN w:val="0"/>
        <w:spacing w:line="560" w:lineRule="exact"/>
        <w:ind w:firstLine="640" w:firstLineChars="200"/>
        <w:rPr>
          <w:rFonts w:ascii="彩虹粗仿宋" w:hAnsi="宋体" w:eastAsia="彩虹粗仿宋" w:cs="PMingLiU"/>
          <w:bCs/>
          <w:kern w:val="0"/>
          <w:sz w:val="32"/>
          <w:szCs w:val="32"/>
          <w:lang w:bidi="zh-TW"/>
        </w:rPr>
      </w:pPr>
      <w:r>
        <w:rPr>
          <w:rFonts w:hint="eastAsia" w:ascii="彩虹粗仿宋" w:hAnsi="宋体" w:eastAsia="彩虹粗仿宋" w:cs="PMingLiU"/>
          <w:bCs/>
          <w:kern w:val="0"/>
          <w:sz w:val="32"/>
          <w:szCs w:val="32"/>
          <w:lang w:bidi="zh-TW"/>
        </w:rPr>
        <w:t>中标方需为本项目交付的服务团队，并指定项目实施经验丰富的项目负责人，负责组织推进系统建设项目的全周期实施及培训服务，在系统上线运行后，提供专人技术咨询与支持，解答使用过程中所出现的问题。</w:t>
      </w:r>
    </w:p>
    <w:p>
      <w:pPr>
        <w:autoSpaceDE w:val="0"/>
        <w:autoSpaceDN w:val="0"/>
        <w:spacing w:line="560" w:lineRule="exact"/>
        <w:ind w:firstLine="640" w:firstLineChars="200"/>
        <w:rPr>
          <w:rFonts w:ascii="彩虹粗仿宋" w:hAnsi="宋体" w:eastAsia="彩虹粗仿宋" w:cs="PMingLiU"/>
          <w:bCs/>
          <w:kern w:val="0"/>
          <w:sz w:val="32"/>
          <w:szCs w:val="32"/>
          <w:lang w:bidi="zh-TW"/>
        </w:rPr>
      </w:pPr>
      <w:r>
        <w:rPr>
          <w:rFonts w:hint="eastAsia" w:ascii="彩虹粗仿宋" w:hAnsi="宋体" w:eastAsia="彩虹粗仿宋" w:cs="PMingLiU"/>
          <w:bCs/>
          <w:kern w:val="0"/>
          <w:sz w:val="32"/>
          <w:szCs w:val="32"/>
          <w:lang w:bidi="zh-TW"/>
        </w:rPr>
        <w:t>为保证项目进度和项目质量满足采购人要求，在项目实施的阶段投标人必须确保投入足够的人员，且项目负责人及技术人员满足以下要求：</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（一）人员数量</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供应商应提供专业人员参与医院信息化建设项目软硬件运维工作。</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项目实施派驻现场人员不少于3人，具体人员数量应根据项目的规模和复杂程度进行确定，以确保项目的顺利进行。</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（二）资质经验</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供应商项目经理应具备相关的硬件与网络维护经验，能够完成医院采购的信息化建设项目软硬件设备的维护工作。</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供应商的团队成员应具备相关领域的专业知识和技能，高级项目管理师、网络工程师、测试工程师等。</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供应商应拥有一支经验丰富的团队，能够应对软硬件设备的各种紧急故障。</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（三）角色分工</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项目经理：负责整个项目的规划和管理，协调各个团队成员的工作，确保项目按时交付。</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设备实施：了解医院的需求和要求，合理规划设备位置，并将设备按医院需求摆放，并将产品说明书递交给医院。</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网络工程师：负责规划设备的整体位置，确保设备可靠性、可扩展性。</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测试工程师：负责对设备供电、网络和功能进行全面测试，确保其符合合同约定的要求。</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售后：协助设备部署和维护工作，处理用户反馈的问题，做到及时解决。</w:t>
      </w:r>
    </w:p>
    <w:p>
      <w:pPr>
        <w:pStyle w:val="8"/>
        <w:spacing w:line="560" w:lineRule="atLeast"/>
        <w:ind w:firstLine="636" w:firstLineChars="198"/>
        <w:rPr>
          <w:rFonts w:ascii="彩虹粗仿宋" w:hAnsi="彩虹粗仿宋" w:eastAsia="彩虹粗仿宋" w:cs="彩虹粗仿宋"/>
          <w:b/>
          <w:kern w:val="0"/>
          <w:sz w:val="32"/>
          <w:szCs w:val="32"/>
        </w:rPr>
      </w:pPr>
      <w:r>
        <w:rPr>
          <w:rFonts w:hint="eastAsia" w:ascii="彩虹粗仿宋" w:hAnsi="彩虹粗仿宋" w:eastAsia="彩虹粗仿宋" w:cs="彩虹粗仿宋"/>
          <w:b/>
          <w:kern w:val="0"/>
          <w:sz w:val="32"/>
          <w:szCs w:val="32"/>
        </w:rPr>
        <w:t>七、各方分工要求</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（一）供应安排</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1.供应产品不为已停产或即将停产（自投标日起1 年内）的产品。</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2.供应商提供的产品应符合开放性标准，并能与满足相同标准的同类产品兼容集成。</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3.供应商在服务有效期内，按季对软硬件进行巡检服务；可按客户方要求提供巡检报告；</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4.供应商提供的产品若具有固有的设计缺陷，则不能因超过质保期而解除投标方对该产品应承担的修复和更换责任；</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5.供应商承诺客户提出使用需求后15天内完成软件优化，15天内完成软件测试、上线工作，共计3</w:t>
      </w:r>
      <w:r>
        <w:rPr>
          <w:rFonts w:ascii="彩虹粗仿宋" w:hAnsi="彩虹粗仿宋" w:eastAsia="彩虹粗仿宋" w:cs="彩虹粗仿宋"/>
          <w:bCs/>
          <w:kern w:val="0"/>
          <w:sz w:val="32"/>
          <w:szCs w:val="32"/>
        </w:rPr>
        <w:t>0</w:t>
      </w:r>
      <w:r>
        <w:rPr>
          <w:rFonts w:hint="eastAsia" w:ascii="彩虹粗仿宋" w:hAnsi="彩虹粗仿宋" w:eastAsia="彩虹粗仿宋" w:cs="彩虹粗仿宋"/>
          <w:bCs/>
          <w:kern w:val="0"/>
          <w:sz w:val="32"/>
          <w:szCs w:val="32"/>
        </w:rPr>
        <w:t>天。</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（二）时间要求</w:t>
      </w:r>
    </w:p>
    <w:p>
      <w:pPr>
        <w:pStyle w:val="8"/>
        <w:spacing w:line="560" w:lineRule="atLeast"/>
        <w:ind w:firstLine="640"/>
        <w:jc w:val="left"/>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合同签署后，乙方应按照甲方的供货计划安排供货。乙方接到甲方通知之日起30天内将软硬件交付至甲方指定地点，并提供必要的物料，医院提供安装环境。（如甲方有延迟供货要求，则乙方按照甲方最新出具的供货计划安排供货）</w:t>
      </w:r>
    </w:p>
    <w:p>
      <w:pPr>
        <w:pStyle w:val="8"/>
        <w:spacing w:line="560" w:lineRule="atLeast"/>
        <w:ind w:firstLine="643"/>
        <w:jc w:val="left"/>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（三）地点要求</w:t>
      </w:r>
    </w:p>
    <w:p>
      <w:pPr>
        <w:pStyle w:val="8"/>
        <w:spacing w:line="560" w:lineRule="atLeast"/>
        <w:ind w:firstLine="640"/>
        <w:jc w:val="left"/>
        <w:rPr>
          <w:rFonts w:ascii="彩虹楷体" w:hAnsi="彩虹楷体" w:eastAsia="彩虹楷体" w:cs="彩虹楷体"/>
          <w:b/>
          <w:kern w:val="0"/>
          <w:sz w:val="32"/>
          <w:szCs w:val="32"/>
        </w:rPr>
      </w:pPr>
      <w:r>
        <w:rPr>
          <w:rFonts w:hint="eastAsia" w:ascii="彩虹粗仿宋" w:hAnsi="彩虹粗仿宋" w:eastAsia="彩虹粗仿宋" w:cs="彩虹粗仿宋"/>
          <w:bCs/>
          <w:kern w:val="0"/>
          <w:sz w:val="32"/>
          <w:szCs w:val="32"/>
        </w:rPr>
        <w:t>合同指定地点，设备详细交货地址以医院指定地点为准。如果软硬件功能调试需要远程协作或技术支持，双方应事先商议好合适的沟通方式和合作方式。</w:t>
      </w:r>
    </w:p>
    <w:p>
      <w:pPr>
        <w:pStyle w:val="8"/>
        <w:spacing w:line="560" w:lineRule="atLeast"/>
        <w:ind w:firstLine="643"/>
        <w:jc w:val="left"/>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（四）测试要求</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供应商应就医院采购的软硬件设备进行全面的功能和性能测试。</w:t>
      </w:r>
    </w:p>
    <w:p>
      <w:pPr>
        <w:pStyle w:val="8"/>
        <w:spacing w:line="560" w:lineRule="atLeast"/>
        <w:ind w:firstLine="643"/>
        <w:jc w:val="left"/>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（五）升级要求</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如果医院有需求对软件系统进行升级或改进，双方应协商确定具体的升级计划和时间表。</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维保期内，供应商应免费及时响应医院的需求，并提供相应的升级服务和支持。</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（六）上线要求</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供应商须提供对使用和维护软硬件设备的人员进行培训，派出具有相关专业资格和实际工作经验的人员进行培训。由采购方提供场地和培训设备并负责受训人员召集，组织实施。培训/差旅/住宿费用由供应商承担。</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上线后提供详细的安装配置文件和档案。</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（七）监督进度</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医院、采购方应对设备供应商的工作进展进行定期监督和检查，确保按时完成各项任务。</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设备供应商应及时向医院、采购方汇报项目进展情况，并配合医院、采购方的监督工作。</w:t>
      </w:r>
    </w:p>
    <w:p>
      <w:pPr>
        <w:pStyle w:val="8"/>
        <w:spacing w:line="560" w:lineRule="atLeast"/>
        <w:ind w:firstLine="636" w:firstLineChars="198"/>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（八）各方分工</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采购方：</w:t>
      </w:r>
    </w:p>
    <w:p>
      <w:pPr>
        <w:pStyle w:val="8"/>
        <w:spacing w:line="560" w:lineRule="atLeast"/>
        <w:ind w:firstLine="633" w:firstLineChars="198"/>
        <w:rPr>
          <w:rFonts w:ascii="宋体" w:hAnsi="宋体" w:cs="宋体"/>
          <w:sz w:val="32"/>
          <w:szCs w:val="32"/>
        </w:rPr>
      </w:pPr>
      <w:r>
        <w:rPr>
          <w:rFonts w:hint="eastAsia" w:ascii="彩虹粗仿宋" w:hAnsi="彩虹粗仿宋" w:eastAsia="彩虹粗仿宋" w:cs="彩虹粗仿宋"/>
          <w:bCs/>
          <w:kern w:val="0"/>
          <w:sz w:val="32"/>
          <w:szCs w:val="32"/>
        </w:rPr>
        <w:t>1、负责按照合同条件付款给供应商</w:t>
      </w:r>
      <w:r>
        <w:rPr>
          <w:rFonts w:hint="eastAsia" w:ascii="宋体" w:hAnsi="宋体" w:cs="宋体"/>
          <w:sz w:val="32"/>
          <w:szCs w:val="32"/>
        </w:rPr>
        <w:t>。</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2、负责协调院方和供应商入场交付时间。</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3、负责协调院方和供应商到货验收、签收。</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4、负责协调院方和供应商确认《项目验收报告》。</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供应商：</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1、负责项目规划和设计并提交给行方和院方审核。</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2、负责按照合同约定时间和地点供货。</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3、负责项目实施、开发、测试并发起验收。</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4、负责项目试运行上线保障、运维售后。</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院方：</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1、负责提出项目要求含入场时间、实施标准。</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2、负责提供必要的工作场所，协调医院各部门进行配合。</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3、负责协调医院已有的数据对接所需要软件接口并承担相应费用。</w:t>
      </w:r>
    </w:p>
    <w:p>
      <w:pPr>
        <w:pStyle w:val="8"/>
        <w:spacing w:line="560" w:lineRule="atLeast"/>
        <w:ind w:firstLine="633" w:firstLineChars="198"/>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4、监督项目实施进度和质量，并配合进行测试及验收工作。</w:t>
      </w:r>
    </w:p>
    <w:p>
      <w:pPr>
        <w:autoSpaceDE w:val="0"/>
        <w:autoSpaceDN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八、</w:t>
      </w:r>
      <w:r>
        <w:rPr>
          <w:rFonts w:hint="eastAsia" w:ascii="彩虹黑体" w:hAnsi="宋体" w:eastAsia="彩虹黑体" w:cs="彩虹粗仿宋"/>
          <w:sz w:val="32"/>
          <w:szCs w:val="32"/>
        </w:rPr>
        <w:t>项目成果要求，验收标准及方式</w:t>
      </w:r>
    </w:p>
    <w:p>
      <w:pPr>
        <w:spacing w:line="560" w:lineRule="atLeast"/>
        <w:ind w:firstLine="643" w:firstLineChars="200"/>
        <w:textAlignment w:val="baseline"/>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（一）验收标准</w:t>
      </w:r>
    </w:p>
    <w:p>
      <w:pPr>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依据项目建设方案实施完成，经试运行阶段，测试各项技术指标、功能及性能均满足项目设计内容的要求，并符合相关规范标准的要求，无重大事故发生，达到院方对本系统的建设使用要求。在项目达标验收通过的情况下，可履行交付手续，否则，由验收小组提出再次修改、完善的意见，供应商应在限期内改进后再另行商定时间进行验收，直至通过。验收合格后由采购方、院方及供应商项目负责人在《项目验收报告》上签字确认并加盖三方公章。</w:t>
      </w:r>
    </w:p>
    <w:p>
      <w:pPr>
        <w:tabs>
          <w:tab w:val="left" w:pos="1703"/>
        </w:tabs>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软件验收标准：功能完整且正确运行，无报错或闪退；界面直观，操作简单。接口无缝对接，数据交互准确无误；界面是否简洁明了，操作流程人性化，能否满足不同年龄段患者的使用需求。</w:t>
      </w:r>
    </w:p>
    <w:p>
      <w:pPr>
        <w:spacing w:line="560" w:lineRule="atLeast"/>
        <w:ind w:firstLine="643" w:firstLineChars="200"/>
        <w:textAlignment w:val="baseline"/>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（二）验收内容</w:t>
      </w:r>
    </w:p>
    <w:p>
      <w:pPr>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1.文档审查。检验系统建设文档是否齐全、完整、规范。</w:t>
      </w:r>
    </w:p>
    <w:p>
      <w:pPr>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2.业务流程。业务流程的合理性须通过业务部门认可，符合实际的业务执行过程。</w:t>
      </w:r>
    </w:p>
    <w:p>
      <w:pPr>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3.应用功能。应用功能设计合理，功能划分须通过指定业务专家的确认；应用功能划分须符合应用总体架构的设计。</w:t>
      </w:r>
    </w:p>
    <w:p>
      <w:pPr>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4.系统性能。系统性能设计须包含系统的并发用户数、系统的负载能力、系统的响应时间、系统的吞吐率、同时执行查询或报表事务的设计等。</w:t>
      </w:r>
    </w:p>
    <w:p>
      <w:pPr>
        <w:spacing w:line="560" w:lineRule="atLeast"/>
        <w:ind w:firstLine="643" w:firstLineChars="200"/>
        <w:textAlignment w:val="baseline"/>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（三）交付条件</w:t>
      </w:r>
    </w:p>
    <w:p>
      <w:pPr>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包括但不限于：功能服务清单、工作说明书、安装运行验收表、稳定运行一个月验收表、维保阶段验收表、接口文档等</w:t>
      </w:r>
    </w:p>
    <w:p>
      <w:pPr>
        <w:spacing w:line="560" w:lineRule="atLeast"/>
        <w:ind w:firstLine="643" w:firstLineChars="200"/>
        <w:textAlignment w:val="baseline"/>
        <w:rPr>
          <w:rFonts w:ascii="彩虹楷体" w:hAnsi="彩虹楷体" w:eastAsia="彩虹楷体" w:cs="彩虹楷体"/>
          <w:b/>
          <w:kern w:val="0"/>
          <w:sz w:val="32"/>
          <w:szCs w:val="32"/>
        </w:rPr>
      </w:pPr>
      <w:r>
        <w:rPr>
          <w:rFonts w:hint="eastAsia" w:ascii="彩虹楷体" w:hAnsi="彩虹楷体" w:eastAsia="彩虹楷体" w:cs="彩虹楷体"/>
          <w:b/>
          <w:kern w:val="0"/>
          <w:sz w:val="32"/>
          <w:szCs w:val="32"/>
        </w:rPr>
        <w:t>（四）验收部门</w:t>
      </w:r>
    </w:p>
    <w:p>
      <w:pPr>
        <w:spacing w:line="560" w:lineRule="atLeast"/>
        <w:ind w:firstLine="640" w:firstLineChars="200"/>
        <w:textAlignment w:val="baseline"/>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医院、采购方、供应商三方。</w:t>
      </w:r>
    </w:p>
    <w:p>
      <w:pPr>
        <w:spacing w:line="560" w:lineRule="exact"/>
        <w:ind w:firstLine="640" w:firstLineChars="200"/>
        <w:textAlignment w:val="baseline"/>
        <w:rPr>
          <w:rFonts w:ascii="彩虹粗仿宋" w:hAnsi="彩虹粗仿宋" w:eastAsia="彩虹粗仿宋" w:cs="彩虹粗仿宋"/>
          <w:bCs/>
          <w:kern w:val="0"/>
          <w:sz w:val="32"/>
          <w:szCs w:val="32"/>
        </w:rPr>
      </w:pPr>
      <w:r>
        <w:rPr>
          <w:rFonts w:hint="eastAsia" w:ascii="彩虹黑体" w:hAnsi="宋体" w:eastAsia="彩虹黑体" w:cs="Times New Roman"/>
          <w:snapToGrid w:val="0"/>
          <w:kern w:val="0"/>
          <w:sz w:val="32"/>
          <w:szCs w:val="32"/>
        </w:rPr>
        <w:t>九、</w:t>
      </w:r>
      <w:r>
        <w:rPr>
          <w:rFonts w:hint="eastAsia" w:ascii="彩虹黑体" w:hAnsi="宋体" w:eastAsia="彩虹黑体" w:cs="彩虹粗仿宋"/>
          <w:sz w:val="32"/>
          <w:szCs w:val="32"/>
        </w:rPr>
        <w:t>培训要求</w:t>
      </w:r>
    </w:p>
    <w:p>
      <w:pPr>
        <w:autoSpaceDE w:val="0"/>
        <w:autoSpaceDN w:val="0"/>
        <w:spacing w:line="560" w:lineRule="exact"/>
        <w:ind w:firstLine="640" w:firstLineChars="200"/>
        <w:rPr>
          <w:rFonts w:ascii="彩虹粗仿宋" w:hAnsi="宋体" w:eastAsia="彩虹粗仿宋" w:cs="PMingLiU"/>
          <w:bCs/>
          <w:kern w:val="0"/>
          <w:sz w:val="32"/>
          <w:szCs w:val="32"/>
          <w:lang w:val="zh-TW" w:bidi="zh-TW"/>
        </w:rPr>
      </w:pPr>
      <w:r>
        <w:rPr>
          <w:rFonts w:hint="eastAsia" w:ascii="彩虹粗仿宋" w:hAnsi="宋体" w:eastAsia="彩虹粗仿宋" w:cs="PMingLiU"/>
          <w:bCs/>
          <w:kern w:val="0"/>
          <w:sz w:val="32"/>
          <w:szCs w:val="32"/>
          <w:lang w:val="zh-TW" w:bidi="zh-TW"/>
        </w:rPr>
        <w:t>供应商应依据采购人的实际情况，协商制定切实可行的完整培训计划，至少包括以下内容：</w:t>
      </w:r>
    </w:p>
    <w:p>
      <w:pPr>
        <w:autoSpaceDE w:val="0"/>
        <w:autoSpaceDN w:val="0"/>
        <w:spacing w:line="560" w:lineRule="exact"/>
        <w:ind w:firstLine="640" w:firstLineChars="200"/>
        <w:rPr>
          <w:rFonts w:ascii="彩虹粗仿宋" w:hAnsi="宋体" w:eastAsia="彩虹粗仿宋" w:cs="PMingLiU"/>
          <w:bCs/>
          <w:kern w:val="0"/>
          <w:sz w:val="32"/>
          <w:szCs w:val="32"/>
          <w:lang w:val="zh-TW" w:bidi="zh-TW"/>
        </w:rPr>
      </w:pPr>
      <w:r>
        <w:rPr>
          <w:rFonts w:hint="eastAsia" w:ascii="彩虹粗仿宋" w:hAnsi="宋体" w:eastAsia="彩虹粗仿宋" w:cs="PMingLiU"/>
          <w:bCs/>
          <w:kern w:val="0"/>
          <w:sz w:val="32"/>
          <w:szCs w:val="32"/>
          <w:lang w:val="zh-TW" w:bidi="zh-TW"/>
        </w:rPr>
        <w:t>（一）全员的系统操作培训，并提供培训资料、操作手册，以便于采购方在人员变动后，内部依然能够有序开展用户系统培训工作。</w:t>
      </w:r>
    </w:p>
    <w:p>
      <w:pPr>
        <w:autoSpaceDE w:val="0"/>
        <w:autoSpaceDN w:val="0"/>
        <w:spacing w:line="560" w:lineRule="exact"/>
        <w:ind w:firstLine="640" w:firstLineChars="200"/>
        <w:rPr>
          <w:rFonts w:ascii="彩虹粗仿宋" w:hAnsi="宋体" w:eastAsia="彩虹粗仿宋" w:cs="PMingLiU"/>
          <w:bCs/>
          <w:kern w:val="0"/>
          <w:sz w:val="32"/>
          <w:szCs w:val="32"/>
          <w:lang w:val="zh-TW" w:bidi="zh-TW"/>
        </w:rPr>
      </w:pPr>
      <w:r>
        <w:rPr>
          <w:rFonts w:hint="eastAsia" w:ascii="彩虹粗仿宋" w:hAnsi="宋体" w:eastAsia="彩虹粗仿宋" w:cs="PMingLiU"/>
          <w:bCs/>
          <w:kern w:val="0"/>
          <w:sz w:val="32"/>
          <w:szCs w:val="32"/>
          <w:lang w:val="zh-TW" w:bidi="zh-TW"/>
        </w:rPr>
        <w:t>（二）系统管理员的系统配置培训，并提供培训文档。以便于采购方掌握系统配置、业务逻辑。</w:t>
      </w:r>
    </w:p>
    <w:p>
      <w:pPr>
        <w:autoSpaceDE w:val="0"/>
        <w:autoSpaceDN w:val="0"/>
        <w:spacing w:line="560" w:lineRule="exact"/>
        <w:ind w:firstLine="640" w:firstLineChars="200"/>
        <w:rPr>
          <w:rFonts w:ascii="彩虹粗仿宋" w:hAnsi="宋体" w:eastAsia="彩虹粗仿宋" w:cs="PMingLiU"/>
          <w:bCs/>
          <w:kern w:val="0"/>
          <w:sz w:val="32"/>
          <w:szCs w:val="32"/>
          <w:lang w:val="zh-TW" w:bidi="zh-TW"/>
        </w:rPr>
      </w:pPr>
      <w:r>
        <w:rPr>
          <w:rFonts w:hint="eastAsia" w:ascii="宋体" w:hAnsi="宋体" w:cs="PMingLiU"/>
          <w:bCs/>
          <w:kern w:val="0"/>
          <w:sz w:val="32"/>
          <w:szCs w:val="32"/>
          <w:lang w:val="zh-TW" w:bidi="zh-TW"/>
        </w:rPr>
        <w:t>（三）</w:t>
      </w:r>
      <w:r>
        <w:rPr>
          <w:rFonts w:hint="eastAsia" w:ascii="彩虹粗仿宋" w:hAnsi="宋体" w:eastAsia="彩虹粗仿宋" w:cs="PMingLiU"/>
          <w:bCs/>
          <w:kern w:val="0"/>
          <w:sz w:val="32"/>
          <w:szCs w:val="32"/>
          <w:lang w:val="zh-TW" w:bidi="zh-TW"/>
        </w:rPr>
        <w:t>IT部门的技术培训，包括开发方式、系统操作、系统维护、系统常用工具及组件。</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十、售后服务要求，包括售后服务机构、维修响应时间、备品备件、技术人员配备、维保期限等。</w:t>
      </w:r>
    </w:p>
    <w:p>
      <w:pPr>
        <w:spacing w:line="560" w:lineRule="atLeast"/>
        <w:ind w:firstLine="640" w:firstLineChars="200"/>
        <w:textAlignment w:val="baseline"/>
        <w:rPr>
          <w:rFonts w:ascii="彩虹粗仿宋" w:hAnsi="彩虹粗仿宋" w:eastAsia="彩虹粗仿宋" w:cs="彩虹粗仿宋"/>
          <w:sz w:val="32"/>
          <w:szCs w:val="32"/>
        </w:rPr>
      </w:pPr>
      <w:r>
        <w:rPr>
          <w:rFonts w:hint="eastAsia" w:ascii="彩虹粗仿宋" w:hAnsi="宋体" w:eastAsia="彩虹粗仿宋"/>
          <w:sz w:val="32"/>
          <w:szCs w:val="32"/>
        </w:rPr>
        <w:t>中标供应商应具备本次项目所涉及的相关技术资质及能力。要求提供自验收之日起5年内提供免费质保服务。</w:t>
      </w:r>
    </w:p>
    <w:p>
      <w:pPr>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一）维护支持服务提供方可通过电话、网络等远程方式，在软硬件产品使用过程中出现的一般性问题提供咨询解答。软硬件产品出现故障时，可以通过电话或网络方式向供应商报告故障（简称“故障报告”），维护支持服务提供方应按照约定立即作出响应。</w:t>
      </w:r>
    </w:p>
    <w:p>
      <w:pPr>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二）软硬件产品故障分为严重、一般、轻微三个等级，维护支持服务提供方应根据软硬件故障的不同级别，提供不同的故障响应及服务：“严重”为软硬件无法运行或基本无法运行，或软硬件重要功能失效或基本失效；“一般”为软硬件可以运行，但非重要性功能的使用受到限制；“轻微”为其它轻微影响软硬件使用的故障。</w:t>
      </w:r>
    </w:p>
    <w:p>
      <w:pPr>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维护支持服务提供方应对使用方故障报告做出及时响应：</w:t>
      </w:r>
    </w:p>
    <w:p>
      <w:pPr>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对于严重级别故障，维护支持服务提供方应立即派出高级技术人员到现场进行维修，与此同时，维护支持服务提供方技术支持人员应通过电话、网络等方式尝试排除故障；维护支持服务提供方派出的高级技术人员应当在8小时内（从甲方故障报告时间起算，下同）到达故障现场，维护支持服务提供方承诺在收到故障报告后2小时内恢复软硬件产品正常运行。</w:t>
      </w:r>
    </w:p>
    <w:p>
      <w:pPr>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对于一般级别故障，维护支持服务提供方应立即通过电话、网络等方式尝试排除故障；如故障在2小时内无法排除，维护支持服务提供方应立即派出高级技术人员在8小时内到达故障现场进行维修，维护支持服务提供方承诺在收到故障报告后2小时内恢复软硬件产品正常运行。</w:t>
      </w:r>
    </w:p>
    <w:p>
      <w:pPr>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对于轻微级别故障，维护支持服务提供方应立即通过电话、网络等方式尝试排除故障；如故障在4小时内无法排除，维护支持服务提供方应在8小时内派出技术人员到达故障现场进行维修，维护支持服务提供方承诺在收到故障报告后2小时内恢复软硬件产品正常运行。</w:t>
      </w:r>
    </w:p>
    <w:p>
      <w:pPr>
        <w:spacing w:line="560" w:lineRule="atLeast"/>
        <w:ind w:firstLine="640" w:firstLineChars="200"/>
        <w:rPr>
          <w:rFonts w:ascii="彩虹粗仿宋" w:hAnsi="宋体" w:eastAsia="彩虹粗仿宋"/>
          <w:sz w:val="32"/>
          <w:szCs w:val="32"/>
        </w:rPr>
      </w:pPr>
      <w:r>
        <w:rPr>
          <w:rFonts w:hint="eastAsia" w:ascii="彩虹粗仿宋" w:hAnsi="宋体" w:eastAsia="彩虹粗仿宋"/>
          <w:sz w:val="32"/>
          <w:szCs w:val="32"/>
        </w:rPr>
        <w:t>对于无法现场解决的故障，维护支持服务提供方应当立即以功能相同的符合本合同约定的软硬件产品替换故障软硬件产品或采取其他补救措施。</w:t>
      </w:r>
    </w:p>
    <w:p>
      <w:pPr>
        <w:spacing w:line="560" w:lineRule="atLeast"/>
        <w:ind w:firstLine="640" w:firstLineChars="200"/>
        <w:textAlignment w:val="baseline"/>
        <w:rPr>
          <w:rFonts w:ascii="彩虹粗仿宋" w:hAnsi="宋体" w:eastAsia="彩虹粗仿宋"/>
          <w:sz w:val="32"/>
          <w:szCs w:val="32"/>
        </w:rPr>
      </w:pPr>
      <w:r>
        <w:rPr>
          <w:rFonts w:hint="eastAsia" w:ascii="彩虹粗仿宋" w:hAnsi="宋体" w:eastAsia="彩虹粗仿宋"/>
          <w:sz w:val="32"/>
          <w:szCs w:val="32"/>
        </w:rPr>
        <w:t>对所购软件产品提供5年（以下简称“升级服务期”）软件版本升级服务，对于医院更换建设系统需要所购软件重新对接的情况，升级服务期内不再另行收费。升级服务期内，如甲方所购软件产品发布了任何更新、补丁、版本升级，维护支持服务提供方应立即通知使用方。</w:t>
      </w:r>
    </w:p>
    <w:p>
      <w:pPr>
        <w:spacing w:line="560" w:lineRule="atLeas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十一、其他要求及付款方式。</w:t>
      </w:r>
    </w:p>
    <w:p>
      <w:pPr>
        <w:spacing w:line="560" w:lineRule="atLeast"/>
        <w:ind w:firstLine="643" w:firstLineChars="200"/>
        <w:rPr>
          <w:rFonts w:ascii="彩虹楷体" w:hAnsi="彩虹楷体" w:eastAsia="彩虹楷体" w:cs="彩虹楷体"/>
          <w:b/>
          <w:bCs/>
          <w:snapToGrid w:val="0"/>
          <w:kern w:val="0"/>
          <w:sz w:val="32"/>
          <w:szCs w:val="32"/>
        </w:rPr>
      </w:pPr>
      <w:r>
        <w:rPr>
          <w:rFonts w:hint="eastAsia" w:ascii="彩虹楷体" w:hAnsi="彩虹楷体" w:eastAsia="彩虹楷体" w:cs="彩虹楷体"/>
          <w:b/>
          <w:bCs/>
          <w:snapToGrid w:val="0"/>
          <w:kern w:val="0"/>
          <w:sz w:val="32"/>
          <w:szCs w:val="32"/>
        </w:rPr>
        <w:t>（一）付款方式</w:t>
      </w:r>
    </w:p>
    <w:p>
      <w:pPr>
        <w:spacing w:line="560" w:lineRule="atLeast"/>
        <w:ind w:firstLine="643" w:firstLineChars="200"/>
        <w:textAlignment w:val="baseline"/>
        <w:rPr>
          <w:rFonts w:ascii="彩虹楷体" w:hAnsi="彩虹楷体" w:eastAsia="彩虹楷体" w:cs="彩虹楷体"/>
          <w:b/>
          <w:kern w:val="0"/>
          <w:sz w:val="32"/>
          <w:szCs w:val="32"/>
          <w:lang w:bidi="zh-TW"/>
        </w:rPr>
      </w:pPr>
      <w:r>
        <w:rPr>
          <w:rFonts w:hint="eastAsia" w:ascii="彩虹楷体" w:hAnsi="彩虹楷体" w:eastAsia="彩虹楷体" w:cs="彩虹楷体"/>
          <w:b/>
          <w:kern w:val="0"/>
          <w:sz w:val="32"/>
          <w:szCs w:val="32"/>
        </w:rPr>
        <w:t>1.业务延伸类（软件）</w:t>
      </w:r>
    </w:p>
    <w:p>
      <w:pPr>
        <w:autoSpaceDE w:val="0"/>
        <w:autoSpaceDN w:val="0"/>
        <w:spacing w:line="560" w:lineRule="exact"/>
        <w:ind w:firstLine="640" w:firstLineChars="200"/>
        <w:rPr>
          <w:rFonts w:ascii="彩虹粗仿宋" w:hAnsi="宋体" w:eastAsia="彩虹粗仿宋" w:cs="PMingLiU"/>
          <w:bCs/>
          <w:kern w:val="0"/>
          <w:sz w:val="32"/>
          <w:szCs w:val="32"/>
          <w:lang w:val="zh-TW" w:bidi="zh-TW"/>
        </w:rPr>
      </w:pPr>
      <w:r>
        <w:rPr>
          <w:rFonts w:hint="eastAsia" w:ascii="彩虹粗仿宋" w:hAnsi="宋体" w:eastAsia="彩虹粗仿宋" w:cs="PMingLiU"/>
          <w:bCs/>
          <w:kern w:val="0"/>
          <w:sz w:val="32"/>
          <w:szCs w:val="32"/>
          <w:lang w:bidi="zh-TW"/>
        </w:rPr>
        <w:t>项目期限五年，</w:t>
      </w:r>
      <w:r>
        <w:rPr>
          <w:rFonts w:hint="eastAsia" w:ascii="彩虹粗仿宋" w:hAnsi="宋体" w:eastAsia="彩虹粗仿宋" w:cs="PMingLiU"/>
          <w:bCs/>
          <w:kern w:val="0"/>
          <w:sz w:val="32"/>
          <w:szCs w:val="32"/>
          <w:lang w:val="zh-TW" w:bidi="zh-TW"/>
        </w:rPr>
        <w:t>项目整体竣工验收测试通过之日起</w:t>
      </w:r>
      <w:r>
        <w:rPr>
          <w:rFonts w:ascii="彩虹粗仿宋" w:hAnsi="宋体" w:eastAsia="PMingLiU" w:cs="PMingLiU"/>
          <w:bCs/>
          <w:kern w:val="0"/>
          <w:sz w:val="32"/>
          <w:szCs w:val="32"/>
          <w:lang w:val="zh-TW" w:eastAsia="zh-TW" w:bidi="zh-TW"/>
        </w:rPr>
        <w:t>25</w:t>
      </w:r>
      <w:r>
        <w:rPr>
          <w:rFonts w:hint="eastAsia" w:ascii="彩虹粗仿宋" w:hAnsi="宋体" w:eastAsia="彩虹粗仿宋" w:cs="PMingLiU"/>
          <w:bCs/>
          <w:kern w:val="0"/>
          <w:sz w:val="32"/>
          <w:szCs w:val="32"/>
          <w:lang w:val="zh-TW" w:bidi="zh-TW"/>
        </w:rPr>
        <w:t>个工作日内，向供应商支付合同金额的</w:t>
      </w:r>
      <w:r>
        <w:rPr>
          <w:rFonts w:ascii="彩虹粗仿宋" w:hAnsi="宋体" w:eastAsia="彩虹粗仿宋" w:cs="PMingLiU"/>
          <w:bCs/>
          <w:kern w:val="0"/>
          <w:sz w:val="32"/>
          <w:szCs w:val="32"/>
          <w:lang w:bidi="zh-TW"/>
        </w:rPr>
        <w:t>50</w:t>
      </w:r>
      <w:r>
        <w:rPr>
          <w:rFonts w:hint="eastAsia" w:ascii="彩虹粗仿宋" w:hAnsi="宋体" w:eastAsia="彩虹粗仿宋" w:cs="PMingLiU"/>
          <w:bCs/>
          <w:kern w:val="0"/>
          <w:sz w:val="32"/>
          <w:szCs w:val="32"/>
          <w:lang w:val="zh-TW" w:bidi="zh-TW"/>
        </w:rPr>
        <w:t>%。项目整体竣工验收合格且正常运行一个月后，向供应商支付合同金额的</w:t>
      </w:r>
      <w:r>
        <w:rPr>
          <w:rFonts w:ascii="彩虹粗仿宋" w:hAnsi="宋体" w:eastAsia="彩虹粗仿宋" w:cs="PMingLiU"/>
          <w:bCs/>
          <w:kern w:val="0"/>
          <w:sz w:val="32"/>
          <w:szCs w:val="32"/>
          <w:lang w:bidi="zh-TW"/>
        </w:rPr>
        <w:t>45</w:t>
      </w:r>
      <w:r>
        <w:rPr>
          <w:rFonts w:hint="eastAsia" w:ascii="彩虹粗仿宋" w:hAnsi="宋体" w:eastAsia="彩虹粗仿宋" w:cs="PMingLiU"/>
          <w:bCs/>
          <w:kern w:val="0"/>
          <w:sz w:val="32"/>
          <w:szCs w:val="32"/>
          <w:lang w:val="zh-TW" w:bidi="zh-TW"/>
        </w:rPr>
        <w:t>%。</w:t>
      </w:r>
      <w:bookmarkStart w:id="5" w:name="OLE_LINK1"/>
      <w:r>
        <w:rPr>
          <w:rFonts w:hint="eastAsia" w:ascii="彩虹粗仿宋" w:hAnsi="宋体" w:eastAsia="彩虹粗仿宋" w:cs="PMingLiU"/>
          <w:bCs/>
          <w:kern w:val="0"/>
          <w:sz w:val="32"/>
          <w:szCs w:val="32"/>
          <w:lang w:val="zh-TW" w:bidi="zh-TW"/>
        </w:rPr>
        <w:t>竣工验收正常运行且维保期到期后,供应商获得院方维保书面认可并向采购人提交付款申请后，支付合同剩余的</w:t>
      </w:r>
      <w:r>
        <w:rPr>
          <w:rFonts w:ascii="彩虹粗仿宋" w:hAnsi="宋体" w:eastAsia="PMingLiU" w:cs="PMingLiU"/>
          <w:bCs/>
          <w:kern w:val="0"/>
          <w:sz w:val="32"/>
          <w:szCs w:val="32"/>
          <w:lang w:val="zh-TW" w:eastAsia="zh-TW" w:bidi="zh-TW"/>
        </w:rPr>
        <w:t>5%</w:t>
      </w:r>
      <w:r>
        <w:rPr>
          <w:rFonts w:hint="eastAsia" w:ascii="彩虹粗仿宋" w:hAnsi="宋体" w:eastAsia="彩虹粗仿宋" w:cs="PMingLiU"/>
          <w:bCs/>
          <w:kern w:val="0"/>
          <w:sz w:val="32"/>
          <w:szCs w:val="32"/>
          <w:lang w:val="zh-TW" w:bidi="zh-TW"/>
        </w:rPr>
        <w:t>。</w:t>
      </w:r>
    </w:p>
    <w:p>
      <w:pPr>
        <w:adjustRightInd w:val="0"/>
        <w:snapToGrid w:val="0"/>
        <w:spacing w:line="560" w:lineRule="exact"/>
        <w:ind w:firstLine="640" w:firstLineChars="200"/>
        <w:rPr>
          <w:rFonts w:ascii="彩虹粗仿宋" w:hAnsi="彩虹粗仿宋" w:eastAsia="彩虹粗仿宋" w:cs="彩虹粗仿宋"/>
          <w:bCs/>
          <w:kern w:val="0"/>
          <w:sz w:val="32"/>
          <w:szCs w:val="32"/>
        </w:rPr>
      </w:pPr>
      <w:r>
        <w:rPr>
          <w:rFonts w:hint="eastAsia" w:ascii="彩虹粗仿宋" w:hAnsi="彩虹粗仿宋" w:eastAsia="彩虹粗仿宋" w:cs="彩虹粗仿宋"/>
          <w:bCs/>
          <w:kern w:val="0"/>
          <w:sz w:val="32"/>
          <w:szCs w:val="32"/>
        </w:rPr>
        <w:t>2.</w:t>
      </w:r>
      <w:r>
        <w:rPr>
          <w:rFonts w:hint="eastAsia" w:ascii="彩虹粗仿宋" w:hAnsi="彩虹粗仿宋" w:eastAsia="彩虹粗仿宋" w:cs="彩虹粗仿宋"/>
          <w:bCs/>
          <w:kern w:val="0"/>
          <w:sz w:val="32"/>
          <w:szCs w:val="32"/>
          <w:lang w:val="zh-TW"/>
        </w:rPr>
        <w:t>发票要求：</w:t>
      </w:r>
      <w:r>
        <w:rPr>
          <w:rFonts w:hint="eastAsia" w:ascii="彩虹粗仿宋" w:hAnsi="彩虹粗仿宋" w:eastAsia="彩虹粗仿宋" w:cs="彩虹粗仿宋"/>
          <w:bCs/>
          <w:kern w:val="0"/>
          <w:sz w:val="32"/>
          <w:szCs w:val="32"/>
        </w:rPr>
        <w:t>验收通过后，在第一笔付款前，供应商开具符合规定的全款增值税专用发票。</w:t>
      </w:r>
    </w:p>
    <w:bookmarkEnd w:id="5"/>
    <w:p>
      <w:pPr>
        <w:numPr>
          <w:ilvl w:val="0"/>
          <w:numId w:val="1"/>
        </w:numPr>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其他要求</w:t>
      </w:r>
    </w:p>
    <w:p>
      <w:pPr>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选供应商应确保交易的真实性，如采购人发现入选供应商与采购人员工串通、采用其他变通形式供货、虚假供货等，导致发生廉洁道德风险等问题的，采购人有权单方面对入选供应商进行解除或部分解除合同、禁用等处理。采购人有权要求入选供应商提供相关服务或指定产品的订货渠道路径等证明真实性交易的相关资料，如入选供应商无法提供有效证明或采购人仍然认为入选供应商存在虚假交易，采购人有权单独或同时采取扣除入选供应商已缴纳的全部保证金、调整入选供应商入围供货的排位顺序、减少入选供应商订单分配、暂停服务资格、解除或部分解除合同和禁用等处理措施。入选供应商因此给采购人造成损失的，入选供应商应赔偿采购人全部损失。</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微软雅黑">
    <w:altName w:val="方正黑体_GBK"/>
    <w:panose1 w:val="020B0503020204020204"/>
    <w:charset w:val="00"/>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等线">
    <w:altName w:val="宋体"/>
    <w:panose1 w:val="02010600030101010101"/>
    <w:charset w:val="00"/>
    <w:family w:val="auto"/>
    <w:pitch w:val="default"/>
    <w:sig w:usb0="00000000" w:usb1="00000000" w:usb2="00000016" w:usb3="00000000" w:csb0="0004000F" w:csb1="00000000"/>
  </w:font>
  <w:font w:name="PMingLiU">
    <w:altName w:val="Droid Sans Fallback"/>
    <w:panose1 w:val="02020500000000000000"/>
    <w:charset w:val="00"/>
    <w:family w:val="auto"/>
    <w:pitch w:val="default"/>
    <w:sig w:usb0="00000000" w:usb1="00000000" w:usb2="00000010" w:usb3="00000000" w:csb0="00100000" w:csb1="00000000"/>
  </w:font>
  <w:font w:name="Droid Sans Fallback">
    <w:panose1 w:val="020B0502000000000001"/>
    <w:charset w:val="86"/>
    <w:family w:val="auto"/>
    <w:pitch w:val="default"/>
    <w:sig w:usb0="910002FF" w:usb1="2BDFFCFB" w:usb2="00000036" w:usb3="00000000" w:csb0="203F01FF"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4</w:t>
    </w:r>
    <w:r>
      <w:rPr>
        <w:b/>
        <w:sz w:val="24"/>
        <w:szCs w:val="24"/>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FAA03F"/>
    <w:multiLevelType w:val="singleLevel"/>
    <w:tmpl w:val="D7FAA03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comments" w:enforcement="0"/>
  <w:defaultTabStop w:val="420"/>
  <w:hyphenationZone w:val="360"/>
  <w:displayHorizontalDrawingGridEvery w:val="1"/>
  <w:displayVerticalDrawingGridEvery w:val="1"/>
  <w:characterSpacingControl w:val="doNotCompress"/>
  <w:compat>
    <w:doNotLeaveBackslashAlon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221"/>
    <w:rsid w:val="00362A73"/>
    <w:rsid w:val="0041419E"/>
    <w:rsid w:val="00552C79"/>
    <w:rsid w:val="005A6D1B"/>
    <w:rsid w:val="005F1221"/>
    <w:rsid w:val="00742136"/>
    <w:rsid w:val="0095677E"/>
    <w:rsid w:val="00B900C1"/>
    <w:rsid w:val="00BD69A1"/>
    <w:rsid w:val="00C1586A"/>
    <w:rsid w:val="00DF30BB"/>
    <w:rsid w:val="00E51259"/>
    <w:rsid w:val="00E91AEF"/>
    <w:rsid w:val="5BE7AFD7"/>
    <w:rsid w:val="6EFF33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99"/>
    <w:rPr>
      <w:sz w:val="18"/>
      <w:szCs w:val="18"/>
    </w:rPr>
  </w:style>
  <w:style w:type="character" w:customStyle="1" w:styleId="7">
    <w:name w:val="页眉 Char"/>
    <w:basedOn w:val="5"/>
    <w:link w:val="3"/>
    <w:semiHidden/>
    <w:qFormat/>
    <w:uiPriority w:val="99"/>
    <w:rPr>
      <w:sz w:val="18"/>
      <w:szCs w:val="18"/>
    </w:rPr>
  </w:style>
  <w:style w:type="paragraph" w:styleId="8">
    <w:name w:val="List Paragraph"/>
    <w:basedOn w:val="1"/>
    <w:qFormat/>
    <w:uiPriority w:val="0"/>
    <w:pPr>
      <w:ind w:firstLine="420" w:firstLineChars="200"/>
    </w:pPr>
    <w:rPr>
      <w:rFonts w:ascii="Calibri" w:hAnsi="Calibri" w:eastAsia="宋体" w:cs="Times New Roman"/>
    </w:rPr>
  </w:style>
  <w:style w:type="paragraph" w:customStyle="1" w:styleId="9">
    <w:name w:val="缩进正文"/>
    <w:basedOn w:val="1"/>
    <w:next w:val="1"/>
    <w:qFormat/>
    <w:uiPriority w:val="0"/>
    <w:pPr>
      <w:spacing w:line="360" w:lineRule="auto"/>
      <w:ind w:firstLine="200" w:firstLineChars="200"/>
    </w:pPr>
    <w:rPr>
      <w:rFonts w:ascii="宋体" w:hAnsi="宋体" w:eastAsia="宋体" w:cs="Times New Roman"/>
      <w:bCs/>
      <w:sz w:val="28"/>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17</Pages>
  <Words>7078</Words>
  <Characters>7489</Characters>
  <Lines>443</Lines>
  <Paragraphs>227</Paragraphs>
  <TotalTime>15.3333333333333</TotalTime>
  <ScaleCrop>false</ScaleCrop>
  <LinksUpToDate>false</LinksUpToDate>
  <CharactersWithSpaces>7588</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2019-04-01T16:07:00Z</dcterms:created>
  <dc:creator>Apache POI</dc:creator>
  <cp:lastModifiedBy>ccb</cp:lastModifiedBy>
  <dcterms:modified xsi:type="dcterms:W3CDTF">2025-11-21T14:34:47Z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5CC0A85BD3F1C5A90708206900E34623_43</vt:lpwstr>
  </property>
</Properties>
</file>