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overflowPunct/>
        <w:topLinePunct w:val="0"/>
        <w:autoSpaceDE/>
        <w:autoSpaceDN/>
        <w:bidi w:val="0"/>
        <w:snapToGrid/>
        <w:spacing w:beforeLines="0" w:afterLines="0" w:line="560" w:lineRule="exact"/>
        <w:jc w:val="center"/>
        <w:rPr>
          <w:rFonts w:hint="eastAsia" w:ascii="华文中宋" w:hAnsi="华文中宋" w:eastAsia="华文中宋" w:cs="华文中宋"/>
          <w:b w:val="0"/>
          <w:bCs/>
          <w:color w:val="auto"/>
          <w:sz w:val="40"/>
          <w:szCs w:val="40"/>
          <w:highlight w:val="none"/>
        </w:rPr>
      </w:pPr>
      <w:bookmarkStart w:id="0" w:name="_Toc13475"/>
      <w:bookmarkStart w:id="1" w:name="_Toc11491"/>
    </w:p>
    <w:p>
      <w:pPr>
        <w:pageBreakBefore w:val="0"/>
        <w:kinsoku/>
        <w:overflowPunct/>
        <w:topLinePunct w:val="0"/>
        <w:autoSpaceDE/>
        <w:autoSpaceDN/>
        <w:bidi w:val="0"/>
        <w:snapToGrid/>
        <w:spacing w:beforeLines="0" w:afterLines="0" w:line="560" w:lineRule="exact"/>
        <w:jc w:val="center"/>
        <w:rPr>
          <w:rFonts w:hint="eastAsia" w:ascii="华文中宋" w:hAnsi="华文中宋" w:eastAsia="华文中宋" w:cs="华文中宋"/>
          <w:b w:val="0"/>
          <w:bCs/>
          <w:color w:val="auto"/>
          <w:sz w:val="40"/>
          <w:szCs w:val="40"/>
          <w:highlight w:val="none"/>
        </w:rPr>
      </w:pPr>
    </w:p>
    <w:p>
      <w:pPr>
        <w:pageBreakBefore w:val="0"/>
        <w:kinsoku/>
        <w:overflowPunct/>
        <w:topLinePunct w:val="0"/>
        <w:autoSpaceDE/>
        <w:autoSpaceDN/>
        <w:bidi w:val="0"/>
        <w:snapToGrid/>
        <w:spacing w:beforeLines="0" w:afterLines="0" w:line="560" w:lineRule="exact"/>
        <w:jc w:val="center"/>
        <w:rPr>
          <w:rFonts w:hint="eastAsia" w:ascii="华文中宋" w:hAnsi="华文中宋" w:eastAsia="华文中宋" w:cs="华文中宋"/>
          <w:b w:val="0"/>
          <w:bCs/>
          <w:color w:val="auto"/>
          <w:sz w:val="40"/>
          <w:szCs w:val="40"/>
          <w:highlight w:val="none"/>
        </w:rPr>
      </w:pPr>
    </w:p>
    <w:p>
      <w:pPr>
        <w:pStyle w:val="21"/>
        <w:rPr>
          <w:rFonts w:hint="eastAsia" w:ascii="华文中宋" w:hAnsi="华文中宋" w:eastAsia="华文中宋" w:cs="华文中宋"/>
          <w:b w:val="0"/>
          <w:bCs/>
          <w:color w:val="auto"/>
          <w:sz w:val="40"/>
          <w:szCs w:val="40"/>
          <w:highlight w:val="none"/>
        </w:rPr>
      </w:pPr>
    </w:p>
    <w:p>
      <w:pPr>
        <w:pStyle w:val="20"/>
        <w:rPr>
          <w:rFonts w:hint="eastAsia"/>
          <w:highlight w:val="none"/>
        </w:rPr>
      </w:pPr>
    </w:p>
    <w:p>
      <w:pPr>
        <w:keepNext w:val="0"/>
        <w:keepLines w:val="0"/>
        <w:pageBreakBefore w:val="0"/>
        <w:widowControl w:val="0"/>
        <w:kinsoku/>
        <w:wordWrap/>
        <w:overflowPunct/>
        <w:topLinePunct w:val="0"/>
        <w:autoSpaceDE/>
        <w:autoSpaceDN/>
        <w:bidi w:val="0"/>
        <w:adjustRightInd/>
        <w:snapToGrid/>
        <w:spacing w:beforeLines="0" w:afterLines="0" w:line="660" w:lineRule="exact"/>
        <w:jc w:val="center"/>
        <w:textAlignment w:val="auto"/>
        <w:rPr>
          <w:rFonts w:hint="eastAsia" w:ascii="华文中宋" w:hAnsi="华文中宋" w:eastAsia="华文中宋" w:cs="华文中宋"/>
          <w:b w:val="0"/>
          <w:bCs/>
          <w:color w:val="auto"/>
          <w:w w:val="100"/>
          <w:sz w:val="44"/>
          <w:szCs w:val="44"/>
          <w:highlight w:val="none"/>
        </w:rPr>
      </w:pPr>
      <w:r>
        <w:rPr>
          <w:rFonts w:hint="eastAsia" w:ascii="华文中宋" w:hAnsi="华文中宋" w:eastAsia="华文中宋" w:cs="华文中宋"/>
          <w:b w:val="0"/>
          <w:bCs/>
          <w:color w:val="auto"/>
          <w:w w:val="100"/>
          <w:sz w:val="44"/>
          <w:szCs w:val="44"/>
          <w:highlight w:val="none"/>
        </w:rPr>
        <w:t>202</w:t>
      </w:r>
      <w:r>
        <w:rPr>
          <w:rFonts w:hint="eastAsia" w:ascii="华文中宋" w:hAnsi="华文中宋" w:eastAsia="华文中宋" w:cs="华文中宋"/>
          <w:b w:val="0"/>
          <w:bCs/>
          <w:color w:val="auto"/>
          <w:w w:val="100"/>
          <w:sz w:val="44"/>
          <w:szCs w:val="44"/>
          <w:highlight w:val="none"/>
          <w:lang w:val="en-US" w:eastAsia="zh-CN"/>
        </w:rPr>
        <w:t>6</w:t>
      </w:r>
      <w:r>
        <w:rPr>
          <w:rFonts w:hint="eastAsia" w:ascii="华文中宋" w:hAnsi="华文中宋" w:eastAsia="华文中宋" w:cs="华文中宋"/>
          <w:b w:val="0"/>
          <w:bCs/>
          <w:color w:val="auto"/>
          <w:w w:val="100"/>
          <w:sz w:val="44"/>
          <w:szCs w:val="44"/>
          <w:highlight w:val="none"/>
        </w:rPr>
        <w:t>年联合开发系统</w:t>
      </w:r>
    </w:p>
    <w:p>
      <w:pPr>
        <w:keepNext w:val="0"/>
        <w:keepLines w:val="0"/>
        <w:pageBreakBefore w:val="0"/>
        <w:widowControl w:val="0"/>
        <w:kinsoku/>
        <w:wordWrap/>
        <w:overflowPunct/>
        <w:topLinePunct w:val="0"/>
        <w:autoSpaceDE/>
        <w:autoSpaceDN/>
        <w:bidi w:val="0"/>
        <w:adjustRightInd/>
        <w:snapToGrid/>
        <w:spacing w:beforeLines="0" w:afterLines="0" w:line="660" w:lineRule="exact"/>
        <w:jc w:val="center"/>
        <w:textAlignment w:val="auto"/>
        <w:rPr>
          <w:rFonts w:hint="eastAsia" w:ascii="华文中宋" w:hAnsi="华文中宋" w:eastAsia="华文中宋" w:cs="华文中宋"/>
          <w:b w:val="0"/>
          <w:bCs/>
          <w:color w:val="auto"/>
          <w:w w:val="100"/>
          <w:sz w:val="44"/>
          <w:szCs w:val="44"/>
          <w:highlight w:val="none"/>
        </w:rPr>
      </w:pPr>
      <w:r>
        <w:rPr>
          <w:rFonts w:hint="eastAsia" w:ascii="华文中宋" w:hAnsi="华文中宋" w:eastAsia="华文中宋" w:cs="华文中宋"/>
          <w:b w:val="0"/>
          <w:bCs/>
          <w:color w:val="auto"/>
          <w:w w:val="100"/>
          <w:sz w:val="44"/>
          <w:szCs w:val="44"/>
          <w:highlight w:val="none"/>
          <w:lang w:val="en-US" w:eastAsia="zh-CN"/>
        </w:rPr>
        <w:t>（预期信用损失法改造需求）实施</w:t>
      </w:r>
      <w:r>
        <w:rPr>
          <w:rFonts w:hint="eastAsia" w:ascii="华文中宋" w:hAnsi="华文中宋" w:eastAsia="华文中宋" w:cs="华文中宋"/>
          <w:b w:val="0"/>
          <w:bCs/>
          <w:color w:val="auto"/>
          <w:w w:val="100"/>
          <w:sz w:val="44"/>
          <w:szCs w:val="44"/>
          <w:highlight w:val="none"/>
        </w:rPr>
        <w:t>项目</w:t>
      </w:r>
    </w:p>
    <w:p>
      <w:pPr>
        <w:keepNext w:val="0"/>
        <w:keepLines w:val="0"/>
        <w:pageBreakBefore w:val="0"/>
        <w:widowControl w:val="0"/>
        <w:kinsoku/>
        <w:wordWrap/>
        <w:overflowPunct/>
        <w:topLinePunct w:val="0"/>
        <w:autoSpaceDE/>
        <w:autoSpaceDN/>
        <w:bidi w:val="0"/>
        <w:adjustRightInd/>
        <w:snapToGrid/>
        <w:spacing w:beforeLines="0" w:afterLines="0" w:line="660" w:lineRule="exact"/>
        <w:jc w:val="center"/>
        <w:textAlignment w:val="auto"/>
        <w:rPr>
          <w:rFonts w:hint="default" w:ascii="华文中宋" w:hAnsi="华文中宋" w:eastAsia="华文中宋" w:cs="华文中宋"/>
          <w:b w:val="0"/>
          <w:bCs/>
          <w:color w:val="auto"/>
          <w:w w:val="100"/>
          <w:sz w:val="40"/>
          <w:szCs w:val="40"/>
          <w:highlight w:val="none"/>
          <w:lang w:val="en-US" w:eastAsia="zh-CN"/>
        </w:rPr>
      </w:pPr>
      <w:r>
        <w:rPr>
          <w:rFonts w:hint="eastAsia" w:ascii="华文中宋" w:hAnsi="华文中宋" w:eastAsia="华文中宋" w:cs="华文中宋"/>
          <w:b w:val="0"/>
          <w:bCs/>
          <w:color w:val="auto"/>
          <w:w w:val="100"/>
          <w:sz w:val="44"/>
          <w:szCs w:val="44"/>
          <w:highlight w:val="none"/>
          <w:lang w:val="en-US" w:eastAsia="zh-CN"/>
        </w:rPr>
        <w:t>采购需求</w:t>
      </w:r>
    </w:p>
    <w:p>
      <w:pPr>
        <w:pStyle w:val="21"/>
        <w:rPr>
          <w:rFonts w:hint="eastAsia" w:ascii="华文中宋" w:hAnsi="华文中宋" w:eastAsia="华文中宋" w:cs="华文中宋"/>
          <w:b w:val="0"/>
          <w:bCs/>
          <w:color w:val="auto"/>
          <w:sz w:val="40"/>
          <w:szCs w:val="40"/>
          <w:highlight w:val="none"/>
        </w:rPr>
        <w:sectPr>
          <w:pgSz w:w="11906" w:h="16838"/>
          <w:pgMar w:top="2098" w:right="1474" w:bottom="1984" w:left="1587" w:header="851" w:footer="1412" w:gutter="0"/>
          <w:pgNumType w:fmt="decimal" w:start="0"/>
          <w:cols w:space="720" w:num="1"/>
          <w:docGrid w:type="lines" w:linePitch="312" w:charSpace="0"/>
        </w:sectPr>
      </w:pPr>
    </w:p>
    <w:p>
      <w:pPr>
        <w:pStyle w:val="20"/>
        <w:rPr>
          <w:rFonts w:hint="eastAsia"/>
          <w:highlight w:val="none"/>
        </w:rPr>
      </w:pPr>
    </w:p>
    <w:p>
      <w:pPr>
        <w:keepNext w:val="0"/>
        <w:keepLines w:val="0"/>
        <w:pageBreakBefore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center"/>
        <w:textAlignment w:val="auto"/>
        <w:rPr>
          <w:rFonts w:hint="eastAsia" w:ascii="黑体" w:hAnsi="黑体" w:eastAsia="黑体" w:cs="黑体"/>
          <w:sz w:val="36"/>
          <w:szCs w:val="44"/>
          <w:highlight w:val="none"/>
        </w:rPr>
      </w:pPr>
      <w:r>
        <w:rPr>
          <w:rFonts w:hint="eastAsia" w:ascii="黑体" w:hAnsi="黑体" w:eastAsia="黑体" w:cs="黑体"/>
          <w:sz w:val="36"/>
          <w:szCs w:val="44"/>
          <w:highlight w:val="none"/>
        </w:rPr>
        <w:t>目</w:t>
      </w:r>
      <w:r>
        <w:rPr>
          <w:rFonts w:hint="eastAsia" w:ascii="黑体" w:hAnsi="黑体" w:eastAsia="黑体" w:cs="黑体"/>
          <w:sz w:val="36"/>
          <w:szCs w:val="44"/>
          <w:highlight w:val="none"/>
          <w:lang w:val="en-US" w:eastAsia="zh-CN"/>
        </w:rPr>
        <w:t xml:space="preserve"> </w:t>
      </w:r>
      <w:r>
        <w:rPr>
          <w:rFonts w:hint="eastAsia" w:ascii="黑体" w:hAnsi="黑体" w:eastAsia="黑体" w:cs="黑体"/>
          <w:sz w:val="36"/>
          <w:szCs w:val="44"/>
          <w:highlight w:val="none"/>
        </w:rPr>
        <w:t>录</w:t>
      </w:r>
    </w:p>
    <w:p>
      <w:pPr>
        <w:pStyle w:val="15"/>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TOC \o "1-1" \h \u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HYPERLINK \l _Toc17640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bCs w:val="0"/>
          <w:sz w:val="28"/>
          <w:szCs w:val="28"/>
          <w:highlight w:val="none"/>
        </w:rPr>
        <w:t>一、项目介绍</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_Toc17640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highlight w:val="none"/>
        </w:rPr>
        <w:fldChar w:fldCharType="end"/>
      </w:r>
    </w:p>
    <w:p>
      <w:pPr>
        <w:pStyle w:val="15"/>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HYPERLINK \l _Toc12693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bCs w:val="0"/>
          <w:sz w:val="28"/>
          <w:szCs w:val="28"/>
          <w:highlight w:val="none"/>
          <w:lang w:val="en-US" w:eastAsia="zh-CN"/>
        </w:rPr>
        <w:t>二、</w:t>
      </w:r>
      <w:r>
        <w:rPr>
          <w:rFonts w:hint="eastAsia" w:ascii="仿宋_GB2312" w:hAnsi="仿宋_GB2312" w:eastAsia="仿宋_GB2312" w:cs="仿宋_GB2312"/>
          <w:bCs w:val="0"/>
          <w:sz w:val="28"/>
          <w:szCs w:val="28"/>
          <w:highlight w:val="none"/>
        </w:rPr>
        <w:t>服务一览表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_Toc12693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highlight w:val="none"/>
        </w:rPr>
        <w:fldChar w:fldCharType="end"/>
      </w:r>
    </w:p>
    <w:p>
      <w:pPr>
        <w:pStyle w:val="15"/>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HYPERLINK \l _Toc23314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bCs w:val="0"/>
          <w:sz w:val="28"/>
          <w:szCs w:val="28"/>
          <w:highlight w:val="none"/>
          <w:lang w:val="en-US" w:eastAsia="zh-CN"/>
        </w:rPr>
        <w:t>三、业务要求</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_Toc23314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highlight w:val="none"/>
        </w:rPr>
        <w:fldChar w:fldCharType="end"/>
      </w:r>
    </w:p>
    <w:p>
      <w:pPr>
        <w:pStyle w:val="15"/>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HYPERLINK \l _Toc29572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bCs w:val="0"/>
          <w:sz w:val="28"/>
          <w:szCs w:val="28"/>
          <w:highlight w:val="none"/>
          <w:lang w:val="en-US" w:eastAsia="zh-CN"/>
        </w:rPr>
        <w:t>四、技术要求</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_Toc29572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highlight w:val="none"/>
        </w:rPr>
        <w:fldChar w:fldCharType="end"/>
      </w:r>
    </w:p>
    <w:p>
      <w:pPr>
        <w:pStyle w:val="15"/>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HYPERLINK \l _Toc287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bCs w:val="0"/>
          <w:sz w:val="28"/>
          <w:szCs w:val="28"/>
          <w:highlight w:val="none"/>
          <w:lang w:val="en-US" w:eastAsia="zh-CN"/>
        </w:rPr>
        <w:t>五</w:t>
      </w:r>
      <w:r>
        <w:rPr>
          <w:rFonts w:hint="eastAsia" w:ascii="仿宋_GB2312" w:hAnsi="仿宋_GB2312" w:eastAsia="仿宋_GB2312" w:cs="仿宋_GB2312"/>
          <w:bCs w:val="0"/>
          <w:sz w:val="28"/>
          <w:szCs w:val="28"/>
          <w:highlight w:val="none"/>
        </w:rPr>
        <w:t>、服务要求</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_Toc287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highlight w:val="none"/>
        </w:rPr>
        <w:fldChar w:fldCharType="end"/>
      </w:r>
    </w:p>
    <w:p>
      <w:pPr>
        <w:pStyle w:val="15"/>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HYPERLINK \l _Toc21094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bCs w:val="0"/>
          <w:sz w:val="28"/>
          <w:szCs w:val="28"/>
          <w:highlight w:val="none"/>
          <w:lang w:val="en-US" w:eastAsia="zh-CN"/>
        </w:rPr>
        <w:t>六、项目团队要求</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_Toc21094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highlight w:val="none"/>
        </w:rPr>
        <w:fldChar w:fldCharType="end"/>
      </w:r>
    </w:p>
    <w:p>
      <w:pPr>
        <w:pStyle w:val="15"/>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HYPERLINK \l _Toc13180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bCs w:val="0"/>
          <w:sz w:val="28"/>
          <w:szCs w:val="28"/>
          <w:highlight w:val="none"/>
          <w:lang w:val="en-US" w:eastAsia="zh-CN"/>
        </w:rPr>
        <w:t>七、安全要求</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_Toc13180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highlight w:val="none"/>
        </w:rPr>
        <w:fldChar w:fldCharType="end"/>
      </w:r>
    </w:p>
    <w:p>
      <w:pPr>
        <w:pStyle w:val="15"/>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HYPERLINK \l _Toc2027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bCs w:val="0"/>
          <w:sz w:val="28"/>
          <w:szCs w:val="28"/>
          <w:highlight w:val="none"/>
          <w:lang w:val="en-US" w:eastAsia="zh-CN"/>
        </w:rPr>
        <w:t>八</w:t>
      </w:r>
      <w:r>
        <w:rPr>
          <w:rFonts w:hint="eastAsia" w:ascii="仿宋_GB2312" w:hAnsi="仿宋_GB2312" w:eastAsia="仿宋_GB2312" w:cs="仿宋_GB2312"/>
          <w:bCs w:val="0"/>
          <w:sz w:val="28"/>
          <w:szCs w:val="28"/>
          <w:highlight w:val="none"/>
        </w:rPr>
        <w:t>、交付或实施时间、地点</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_Toc2027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highlight w:val="none"/>
        </w:rPr>
        <w:fldChar w:fldCharType="end"/>
      </w:r>
    </w:p>
    <w:p>
      <w:pPr>
        <w:pStyle w:val="15"/>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HYPERLINK \l _Toc63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bCs w:val="0"/>
          <w:sz w:val="28"/>
          <w:szCs w:val="28"/>
          <w:highlight w:val="none"/>
          <w:lang w:val="en-US" w:eastAsia="zh-CN"/>
        </w:rPr>
        <w:t>九、</w:t>
      </w:r>
      <w:r>
        <w:rPr>
          <w:rFonts w:hint="eastAsia" w:ascii="仿宋_GB2312" w:hAnsi="仿宋_GB2312" w:eastAsia="仿宋_GB2312" w:cs="仿宋_GB2312"/>
          <w:bCs w:val="0"/>
          <w:sz w:val="28"/>
          <w:szCs w:val="28"/>
          <w:highlight w:val="none"/>
        </w:rPr>
        <w:t>履约验收方案</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_Toc63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highlight w:val="none"/>
        </w:rPr>
        <w:fldChar w:fldCharType="end"/>
      </w:r>
    </w:p>
    <w:p>
      <w:pPr>
        <w:pStyle w:val="15"/>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HYPERLINK \l _Toc10035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bCs w:val="0"/>
          <w:sz w:val="28"/>
          <w:szCs w:val="28"/>
          <w:highlight w:val="none"/>
          <w:lang w:val="en-US" w:eastAsia="zh-CN"/>
        </w:rPr>
        <w:t>十、投标人及产品的技术、能力、认证等相关证书</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_Toc10035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highlight w:val="none"/>
        </w:rPr>
        <w:fldChar w:fldCharType="end"/>
      </w:r>
    </w:p>
    <w:p>
      <w:pPr>
        <w:pStyle w:val="21"/>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highlight w:val="none"/>
        </w:rPr>
        <w:sectPr>
          <w:footerReference r:id="rId3" w:type="default"/>
          <w:pgSz w:w="11906" w:h="16838"/>
          <w:pgMar w:top="2098" w:right="1474" w:bottom="1984" w:left="1587" w:header="851" w:footer="992" w:gutter="0"/>
          <w:pgNumType w:fmt="decimal"/>
          <w:cols w:space="720" w:num="1"/>
          <w:docGrid w:type="lines" w:linePitch="312" w:charSpace="0"/>
        </w:sectPr>
      </w:pPr>
      <w:r>
        <w:rPr>
          <w:rFonts w:hint="eastAsia" w:ascii="仿宋_GB2312" w:hAnsi="仿宋_GB2312" w:eastAsia="仿宋_GB2312" w:cs="仿宋_GB2312"/>
          <w:sz w:val="28"/>
          <w:szCs w:val="28"/>
          <w:highlight w:val="none"/>
        </w:rPr>
        <w:fldChar w:fldCharType="end"/>
      </w:r>
      <w:bookmarkStart w:id="26" w:name="_GoBack"/>
      <w:bookmarkEnd w:id="26"/>
    </w:p>
    <w:p>
      <w:pPr>
        <w:pStyle w:val="18"/>
        <w:keepNext/>
        <w:keepLines/>
        <w:pageBreakBefore w:val="0"/>
        <w:widowControl w:val="0"/>
        <w:kinsoku/>
        <w:wordWrap/>
        <w:overflowPunct/>
        <w:topLinePunct w:val="0"/>
        <w:autoSpaceDE/>
        <w:autoSpaceDN/>
        <w:bidi w:val="0"/>
        <w:adjustRightInd w:val="0"/>
        <w:snapToGrid/>
        <w:spacing w:before="0" w:beforeLines="0" w:after="0" w:afterLines="0" w:line="560" w:lineRule="exact"/>
        <w:ind w:firstLine="640" w:firstLineChars="200"/>
        <w:textAlignment w:val="baseline"/>
        <w:outlineLvl w:val="0"/>
        <w:rPr>
          <w:rFonts w:ascii="Times New Roman" w:hAnsi="Times New Roman" w:eastAsia="黑体"/>
          <w:b w:val="0"/>
          <w:bCs w:val="0"/>
          <w:color w:val="auto"/>
          <w:sz w:val="32"/>
          <w:highlight w:val="none"/>
        </w:rPr>
      </w:pPr>
      <w:bookmarkStart w:id="2" w:name="_Toc17640"/>
      <w:r>
        <w:rPr>
          <w:rFonts w:ascii="Times New Roman" w:hAnsi="黑体" w:eastAsia="黑体"/>
          <w:b w:val="0"/>
          <w:bCs w:val="0"/>
          <w:color w:val="auto"/>
          <w:sz w:val="32"/>
          <w:highlight w:val="none"/>
        </w:rPr>
        <w:t>一、</w:t>
      </w:r>
      <w:bookmarkEnd w:id="0"/>
      <w:r>
        <w:rPr>
          <w:rFonts w:ascii="Times New Roman" w:hAnsi="黑体" w:eastAsia="黑体"/>
          <w:b w:val="0"/>
          <w:bCs w:val="0"/>
          <w:color w:val="auto"/>
          <w:sz w:val="32"/>
          <w:highlight w:val="none"/>
        </w:rPr>
        <w:t>项目介绍</w:t>
      </w:r>
      <w:bookmarkEnd w:id="1"/>
      <w:bookmarkEnd w:id="2"/>
    </w:p>
    <w:p>
      <w:pPr>
        <w:pStyle w:val="18"/>
        <w:keepNext/>
        <w:keepLines/>
        <w:pageBreakBefore w:val="0"/>
        <w:widowControl w:val="0"/>
        <w:kinsoku/>
        <w:wordWrap/>
        <w:overflowPunct/>
        <w:topLinePunct w:val="0"/>
        <w:autoSpaceDE/>
        <w:autoSpaceDN/>
        <w:bidi w:val="0"/>
        <w:adjustRightInd w:val="0"/>
        <w:snapToGrid/>
        <w:spacing w:before="0" w:beforeLines="0" w:after="0" w:afterLines="0" w:line="560" w:lineRule="exact"/>
        <w:ind w:firstLine="640" w:firstLineChars="200"/>
        <w:textAlignment w:val="baseline"/>
        <w:rPr>
          <w:rFonts w:hint="eastAsia" w:ascii="楷体_GB2312" w:hAnsi="楷体_GB2312" w:eastAsia="楷体_GB2312" w:cs="楷体_GB2312"/>
          <w:b w:val="0"/>
          <w:bCs w:val="0"/>
          <w:color w:val="auto"/>
          <w:sz w:val="32"/>
          <w:highlight w:val="none"/>
        </w:rPr>
      </w:pPr>
      <w:bookmarkStart w:id="3" w:name="_Toc20375"/>
      <w:bookmarkStart w:id="4" w:name="_Toc14418"/>
      <w:r>
        <w:rPr>
          <w:rFonts w:hint="eastAsia" w:ascii="楷体_GB2312" w:hAnsi="楷体_GB2312" w:eastAsia="楷体_GB2312" w:cs="楷体_GB2312"/>
          <w:b w:val="0"/>
          <w:bCs w:val="0"/>
          <w:color w:val="auto"/>
          <w:sz w:val="32"/>
          <w:highlight w:val="none"/>
          <w:lang w:eastAsia="zh-CN"/>
        </w:rPr>
        <w:t>（</w:t>
      </w:r>
      <w:r>
        <w:rPr>
          <w:rFonts w:hint="eastAsia" w:ascii="楷体_GB2312" w:hAnsi="楷体_GB2312" w:eastAsia="楷体_GB2312" w:cs="楷体_GB2312"/>
          <w:b w:val="0"/>
          <w:bCs w:val="0"/>
          <w:color w:val="auto"/>
          <w:sz w:val="32"/>
          <w:highlight w:val="none"/>
          <w:lang w:val="en-US" w:eastAsia="zh-CN"/>
        </w:rPr>
        <w:t>一</w:t>
      </w:r>
      <w:r>
        <w:rPr>
          <w:rFonts w:hint="eastAsia" w:ascii="楷体_GB2312" w:hAnsi="楷体_GB2312" w:eastAsia="楷体_GB2312" w:cs="楷体_GB2312"/>
          <w:b w:val="0"/>
          <w:bCs w:val="0"/>
          <w:color w:val="auto"/>
          <w:sz w:val="32"/>
          <w:highlight w:val="none"/>
          <w:lang w:eastAsia="zh-CN"/>
        </w:rPr>
        <w:t>）</w:t>
      </w:r>
      <w:r>
        <w:rPr>
          <w:rFonts w:hint="eastAsia" w:ascii="楷体_GB2312" w:hAnsi="楷体_GB2312" w:eastAsia="楷体_GB2312" w:cs="楷体_GB2312"/>
          <w:b w:val="0"/>
          <w:bCs w:val="0"/>
          <w:color w:val="auto"/>
          <w:sz w:val="32"/>
          <w:highlight w:val="none"/>
        </w:rPr>
        <w:t>项目背景概述</w:t>
      </w:r>
    </w:p>
    <w:p>
      <w:pPr>
        <w:pageBreakBefore w:val="0"/>
        <w:widowControl w:val="0"/>
        <w:kinsoku/>
        <w:wordWrap/>
        <w:overflowPunct/>
        <w:topLinePunct w:val="0"/>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2021年5月，中国进出口银行（以下简称我行）贷款损失准备金管理系统投入使用，实现了贷款、贸金、资金、同业、小微直贷等业务预期信用损失评估的线上自动计算功能，提高了评估的自动化水平。</w:t>
      </w:r>
    </w:p>
    <w:p>
      <w:pPr>
        <w:pageBreakBefore w:val="0"/>
        <w:widowControl w:val="0"/>
        <w:kinsoku/>
        <w:wordWrap/>
        <w:overflowPunct/>
        <w:topLinePunct w:val="0"/>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2022年，《商业银行预期信用损失法实施管理办法》（银保监规〔2022〕10号，以下简称10号文）对预期信用损失管理包括系统建设方面提出了新的要求。2024年，随着优化后模型落地实施，我行启动了预期信用损失法配套系统改造需求编写工作，主要包括模型优化、管理功能和减值试算三部分。现启动2026年联合开发系统（预期信用损失法改造需求）实施项目，为3项系统改造需求采购实施服务。</w:t>
      </w:r>
    </w:p>
    <w:p>
      <w:pPr>
        <w:pStyle w:val="18"/>
        <w:keepNext/>
        <w:keepLines/>
        <w:pageBreakBefore w:val="0"/>
        <w:widowControl w:val="0"/>
        <w:numPr>
          <w:ilvl w:val="0"/>
          <w:numId w:val="3"/>
        </w:numPr>
        <w:kinsoku/>
        <w:wordWrap/>
        <w:overflowPunct/>
        <w:topLinePunct w:val="0"/>
        <w:autoSpaceDE/>
        <w:autoSpaceDN/>
        <w:bidi w:val="0"/>
        <w:adjustRightInd w:val="0"/>
        <w:snapToGrid/>
        <w:spacing w:before="0" w:beforeLines="0" w:after="0" w:afterLines="0" w:line="560" w:lineRule="exact"/>
        <w:ind w:firstLine="640" w:firstLineChars="200"/>
        <w:textAlignment w:val="baseline"/>
        <w:rPr>
          <w:rFonts w:hint="eastAsia" w:ascii="楷体_GB2312" w:hAnsi="楷体_GB2312" w:eastAsia="楷体_GB2312" w:cs="楷体_GB2312"/>
          <w:b w:val="0"/>
          <w:bCs w:val="0"/>
          <w:color w:val="auto"/>
          <w:sz w:val="32"/>
          <w:highlight w:val="none"/>
          <w:lang w:val="en-US" w:eastAsia="zh-CN"/>
        </w:rPr>
      </w:pPr>
      <w:r>
        <w:rPr>
          <w:rFonts w:hint="eastAsia" w:ascii="楷体_GB2312" w:hAnsi="楷体_GB2312" w:eastAsia="楷体_GB2312" w:cs="楷体_GB2312"/>
          <w:b w:val="0"/>
          <w:bCs w:val="0"/>
          <w:color w:val="auto"/>
          <w:sz w:val="32"/>
          <w:highlight w:val="none"/>
          <w:lang w:val="en-US" w:eastAsia="zh-CN"/>
        </w:rPr>
        <w:t>需求依据和来源</w:t>
      </w:r>
    </w:p>
    <w:p>
      <w:pPr>
        <w:pageBreakBefore w:val="0"/>
        <w:widowControl w:val="0"/>
        <w:kinsoku/>
        <w:wordWrap/>
        <w:overflowPunct/>
        <w:topLinePunct w:val="0"/>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w w:val="100"/>
          <w:sz w:val="32"/>
          <w:szCs w:val="32"/>
          <w:highlight w:val="none"/>
          <w:lang w:val="en-US" w:eastAsia="zh-CN"/>
        </w:rPr>
      </w:pPr>
      <w:r>
        <w:rPr>
          <w:rFonts w:hint="eastAsia" w:ascii="仿宋_GB2312" w:hAnsi="仿宋_GB2312" w:eastAsia="仿宋_GB2312" w:cs="仿宋_GB2312"/>
          <w:w w:val="100"/>
          <w:sz w:val="32"/>
          <w:szCs w:val="32"/>
          <w:highlight w:val="none"/>
          <w:lang w:val="en-US" w:eastAsia="zh-CN"/>
        </w:rPr>
        <w:t>为贯彻落实10号文要求，</w:t>
      </w:r>
      <w:r>
        <w:rPr>
          <w:rFonts w:hint="eastAsia" w:ascii="仿宋_GB2312" w:hAnsi="仿宋_GB2312" w:eastAsia="仿宋_GB2312" w:cs="仿宋_GB2312"/>
          <w:spacing w:val="-12"/>
          <w:w w:val="100"/>
          <w:sz w:val="32"/>
          <w:szCs w:val="32"/>
          <w:shd w:val="clear" w:color="auto" w:fill="FFFFFF"/>
        </w:rPr>
        <w:t>实现</w:t>
      </w:r>
      <w:r>
        <w:rPr>
          <w:rFonts w:hint="eastAsia" w:ascii="仿宋_GB2312" w:hAnsi="仿宋_GB2312" w:eastAsia="仿宋_GB2312" w:cs="仿宋_GB2312"/>
          <w:spacing w:val="-12"/>
          <w:w w:val="100"/>
          <w:sz w:val="32"/>
          <w:szCs w:val="32"/>
          <w:shd w:val="clear" w:color="auto" w:fill="FFFFFF"/>
          <w:lang w:val="en-US" w:eastAsia="zh-CN"/>
        </w:rPr>
        <w:t>预期信用损失</w:t>
      </w:r>
      <w:r>
        <w:rPr>
          <w:rFonts w:hint="eastAsia" w:ascii="仿宋_GB2312" w:hAnsi="仿宋_GB2312" w:eastAsia="仿宋_GB2312" w:cs="仿宋_GB2312"/>
          <w:spacing w:val="-12"/>
          <w:w w:val="100"/>
          <w:sz w:val="32"/>
          <w:szCs w:val="32"/>
          <w:shd w:val="clear" w:color="auto" w:fill="FFFFFF"/>
        </w:rPr>
        <w:t>测算的自动化</w:t>
      </w:r>
      <w:r>
        <w:rPr>
          <w:rFonts w:hint="eastAsia" w:ascii="仿宋_GB2312" w:hAnsi="仿宋_GB2312" w:eastAsia="仿宋_GB2312" w:cs="仿宋_GB2312"/>
          <w:spacing w:val="-12"/>
          <w:w w:val="100"/>
          <w:sz w:val="32"/>
          <w:szCs w:val="32"/>
          <w:shd w:val="clear" w:color="auto" w:fill="FFFFFF"/>
          <w:lang w:eastAsia="zh-CN"/>
        </w:rPr>
        <w:t>，</w:t>
      </w:r>
      <w:r>
        <w:rPr>
          <w:rFonts w:hint="eastAsia" w:ascii="仿宋_GB2312" w:hAnsi="仿宋_GB2312" w:eastAsia="仿宋_GB2312" w:cs="仿宋_GB2312"/>
          <w:w w:val="100"/>
          <w:sz w:val="32"/>
          <w:szCs w:val="32"/>
          <w:highlight w:val="none"/>
          <w:lang w:val="en-US" w:eastAsia="zh-CN"/>
        </w:rPr>
        <w:t>相关业务部门对准备金系统提出改造需求。</w:t>
      </w:r>
    </w:p>
    <w:p>
      <w:pPr>
        <w:pStyle w:val="18"/>
        <w:keepNext/>
        <w:keepLines/>
        <w:pageBreakBefore w:val="0"/>
        <w:widowControl w:val="0"/>
        <w:numPr>
          <w:ilvl w:val="0"/>
          <w:numId w:val="3"/>
        </w:numPr>
        <w:kinsoku/>
        <w:wordWrap/>
        <w:overflowPunct/>
        <w:topLinePunct w:val="0"/>
        <w:autoSpaceDE/>
        <w:autoSpaceDN/>
        <w:bidi w:val="0"/>
        <w:adjustRightInd w:val="0"/>
        <w:snapToGrid/>
        <w:spacing w:before="0" w:beforeLines="0" w:after="0" w:afterLines="0" w:line="560" w:lineRule="exact"/>
        <w:ind w:firstLine="640" w:firstLineChars="200"/>
        <w:textAlignment w:val="baseline"/>
        <w:rPr>
          <w:rFonts w:hint="eastAsia" w:ascii="楷体_GB2312" w:hAnsi="楷体_GB2312" w:eastAsia="楷体_GB2312" w:cs="楷体_GB2312"/>
          <w:b w:val="0"/>
          <w:bCs w:val="0"/>
          <w:color w:val="auto"/>
          <w:sz w:val="32"/>
          <w:highlight w:val="none"/>
        </w:rPr>
      </w:pPr>
      <w:r>
        <w:rPr>
          <w:rFonts w:hint="eastAsia" w:ascii="楷体_GB2312" w:hAnsi="楷体_GB2312" w:eastAsia="楷体_GB2312" w:cs="楷体_GB2312"/>
          <w:b w:val="0"/>
          <w:bCs w:val="0"/>
          <w:color w:val="auto"/>
          <w:sz w:val="32"/>
          <w:highlight w:val="none"/>
        </w:rPr>
        <w:t>功能或目标</w:t>
      </w:r>
    </w:p>
    <w:bookmarkEnd w:id="3"/>
    <w:p>
      <w:pPr>
        <w:pageBreakBefore w:val="0"/>
        <w:widowControl w:val="0"/>
        <w:kinsoku/>
        <w:wordWrap/>
        <w:overflowPunct/>
        <w:topLinePunct w:val="0"/>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sz w:val="32"/>
          <w:szCs w:val="32"/>
          <w:highlight w:val="none"/>
          <w:lang w:val="en-US" w:eastAsia="zh-CN"/>
        </w:rPr>
      </w:pPr>
      <w:bookmarkStart w:id="5" w:name="_Toc16185"/>
      <w:r>
        <w:rPr>
          <w:rFonts w:hint="eastAsia" w:ascii="仿宋_GB2312" w:hAnsi="仿宋_GB2312" w:eastAsia="仿宋_GB2312" w:cs="仿宋_GB2312"/>
          <w:sz w:val="32"/>
          <w:szCs w:val="32"/>
          <w:highlight w:val="none"/>
          <w:lang w:val="en-US" w:eastAsia="zh-CN"/>
        </w:rPr>
        <w:t>2026年10月底前完成相关系统功能改造并投产上线，稳定运行3个月后提供1年的免费运维服务。</w:t>
      </w:r>
    </w:p>
    <w:bookmarkEnd w:id="4"/>
    <w:p>
      <w:pPr>
        <w:pStyle w:val="18"/>
        <w:keepNext/>
        <w:keepLines/>
        <w:pageBreakBefore w:val="0"/>
        <w:widowControl w:val="0"/>
        <w:kinsoku/>
        <w:wordWrap/>
        <w:overflowPunct/>
        <w:topLinePunct w:val="0"/>
        <w:autoSpaceDE/>
        <w:autoSpaceDN/>
        <w:bidi w:val="0"/>
        <w:adjustRightInd w:val="0"/>
        <w:snapToGrid/>
        <w:spacing w:before="0" w:beforeLines="0" w:after="0" w:afterLines="0" w:line="560" w:lineRule="exact"/>
        <w:ind w:firstLine="640" w:firstLineChars="200"/>
        <w:textAlignment w:val="baseline"/>
        <w:outlineLvl w:val="0"/>
        <w:rPr>
          <w:rFonts w:ascii="Times New Roman" w:hAnsi="黑体" w:eastAsia="黑体"/>
          <w:b w:val="0"/>
          <w:bCs w:val="0"/>
          <w:color w:val="auto"/>
          <w:sz w:val="32"/>
          <w:highlight w:val="none"/>
        </w:rPr>
      </w:pPr>
      <w:bookmarkStart w:id="6" w:name="_Toc12693"/>
      <w:r>
        <w:rPr>
          <w:rFonts w:hint="eastAsia" w:ascii="Times New Roman" w:hAnsi="黑体" w:eastAsia="黑体"/>
          <w:b w:val="0"/>
          <w:bCs w:val="0"/>
          <w:color w:val="auto"/>
          <w:sz w:val="32"/>
          <w:highlight w:val="none"/>
          <w:lang w:val="en-US" w:eastAsia="zh-CN"/>
        </w:rPr>
        <w:t>二、</w:t>
      </w:r>
      <w:r>
        <w:rPr>
          <w:rFonts w:ascii="Times New Roman" w:hAnsi="黑体" w:eastAsia="黑体"/>
          <w:b w:val="0"/>
          <w:bCs w:val="0"/>
          <w:color w:val="auto"/>
          <w:sz w:val="32"/>
          <w:highlight w:val="none"/>
        </w:rPr>
        <w:t>服务一览表</w:t>
      </w:r>
      <w:bookmarkEnd w:id="5"/>
      <w:bookmarkEnd w:id="6"/>
    </w:p>
    <w:tbl>
      <w:tblPr>
        <w:tblStyle w:val="22"/>
        <w:tblW w:w="85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1322"/>
        <w:gridCol w:w="6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79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360" w:lineRule="exact"/>
              <w:ind w:firstLine="0" w:firstLineChars="0"/>
              <w:jc w:val="center"/>
              <w:textAlignment w:val="auto"/>
              <w:rPr>
                <w:rFonts w:hint="eastAsia" w:ascii="黑体" w:hAnsi="黑体" w:eastAsia="黑体" w:cs="黑体"/>
                <w:b/>
                <w:bCs/>
                <w:color w:val="auto"/>
                <w:sz w:val="24"/>
                <w:highlight w:val="none"/>
              </w:rPr>
            </w:pPr>
            <w:r>
              <w:rPr>
                <w:rFonts w:hint="eastAsia" w:ascii="黑体" w:hAnsi="黑体" w:eastAsia="黑体" w:cs="黑体"/>
                <w:b/>
                <w:bCs/>
                <w:color w:val="auto"/>
                <w:sz w:val="24"/>
                <w:highlight w:val="none"/>
              </w:rPr>
              <w:t>序号</w:t>
            </w:r>
          </w:p>
        </w:tc>
        <w:tc>
          <w:tcPr>
            <w:tcW w:w="132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360" w:lineRule="exact"/>
              <w:ind w:firstLine="0" w:firstLineChars="0"/>
              <w:jc w:val="center"/>
              <w:textAlignment w:val="auto"/>
              <w:rPr>
                <w:rFonts w:hint="eastAsia" w:ascii="黑体" w:hAnsi="黑体" w:eastAsia="黑体" w:cs="黑体"/>
                <w:b/>
                <w:bCs/>
                <w:color w:val="auto"/>
                <w:sz w:val="24"/>
                <w:highlight w:val="none"/>
                <w:lang w:eastAsia="zh-CN"/>
              </w:rPr>
            </w:pPr>
            <w:r>
              <w:rPr>
                <w:rFonts w:hint="eastAsia" w:ascii="黑体" w:hAnsi="黑体" w:eastAsia="黑体" w:cs="黑体"/>
                <w:b/>
                <w:bCs/>
                <w:color w:val="auto"/>
                <w:sz w:val="24"/>
                <w:highlight w:val="none"/>
              </w:rPr>
              <w:t>服务</w:t>
            </w:r>
            <w:r>
              <w:rPr>
                <w:rFonts w:hint="eastAsia" w:ascii="黑体" w:hAnsi="黑体" w:eastAsia="黑体" w:cs="黑体"/>
                <w:b/>
                <w:bCs/>
                <w:color w:val="auto"/>
                <w:sz w:val="24"/>
                <w:highlight w:val="none"/>
                <w:lang w:val="en-US" w:eastAsia="zh-CN"/>
              </w:rPr>
              <w:t>内容</w:t>
            </w:r>
          </w:p>
        </w:tc>
        <w:tc>
          <w:tcPr>
            <w:tcW w:w="6445"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360" w:lineRule="exact"/>
              <w:ind w:firstLine="0" w:firstLineChars="0"/>
              <w:jc w:val="center"/>
              <w:textAlignment w:val="auto"/>
              <w:rPr>
                <w:rFonts w:hint="default" w:ascii="黑体" w:hAnsi="黑体" w:eastAsia="黑体" w:cs="黑体"/>
                <w:b/>
                <w:bCs/>
                <w:color w:val="auto"/>
                <w:sz w:val="24"/>
                <w:highlight w:val="none"/>
              </w:rPr>
            </w:pPr>
            <w:r>
              <w:rPr>
                <w:rFonts w:hint="default" w:ascii="黑体" w:hAnsi="黑体" w:eastAsia="黑体" w:cs="黑体"/>
                <w:b/>
                <w:bCs/>
                <w:color w:val="auto"/>
                <w:sz w:val="24"/>
                <w:highlight w:val="none"/>
                <w:lang w:eastAsia="zh-CN"/>
              </w:rPr>
              <w:t>主要</w:t>
            </w:r>
            <w:r>
              <w:rPr>
                <w:rFonts w:hint="eastAsia" w:ascii="黑体" w:hAnsi="黑体" w:eastAsia="黑体" w:cs="黑体"/>
                <w:b/>
                <w:bCs/>
                <w:color w:val="auto"/>
                <w:sz w:val="24"/>
                <w:highlight w:val="none"/>
                <w:lang w:val="en-US" w:eastAsia="zh-CN"/>
              </w:rPr>
              <w:t>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99" w:type="dxa"/>
            <w:vMerge w:val="continue"/>
            <w:tcBorders>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Lines="0" w:afterLines="0" w:line="360" w:lineRule="exact"/>
              <w:ind w:firstLine="480" w:firstLineChars="200"/>
              <w:jc w:val="center"/>
              <w:textAlignment w:val="auto"/>
              <w:rPr>
                <w:rFonts w:eastAsia="仿宋_GB2312"/>
                <w:color w:val="auto"/>
                <w:sz w:val="24"/>
                <w:highlight w:val="none"/>
              </w:rPr>
            </w:pPr>
          </w:p>
        </w:tc>
        <w:tc>
          <w:tcPr>
            <w:tcW w:w="1322" w:type="dxa"/>
            <w:vMerge w:val="continue"/>
            <w:tcBorders>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Lines="0" w:afterLines="0" w:line="360" w:lineRule="exact"/>
              <w:ind w:firstLine="480" w:firstLineChars="200"/>
              <w:jc w:val="center"/>
              <w:textAlignment w:val="auto"/>
              <w:rPr>
                <w:rFonts w:eastAsia="仿宋_GB2312"/>
                <w:color w:val="auto"/>
                <w:sz w:val="24"/>
                <w:highlight w:val="none"/>
              </w:rPr>
            </w:pPr>
          </w:p>
        </w:tc>
        <w:tc>
          <w:tcPr>
            <w:tcW w:w="6445" w:type="dxa"/>
            <w:vMerge w:val="continue"/>
            <w:tcBorders>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Lines="0" w:afterLines="0" w:line="360" w:lineRule="exact"/>
              <w:ind w:firstLine="480" w:firstLineChars="200"/>
              <w:jc w:val="center"/>
              <w:textAlignment w:val="auto"/>
              <w:rPr>
                <w:rFonts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jc w:val="center"/>
        </w:trPr>
        <w:tc>
          <w:tcPr>
            <w:tcW w:w="799" w:type="dxa"/>
            <w:tcBorders>
              <w:top w:val="single" w:color="auto" w:sz="4" w:space="0"/>
              <w:left w:val="single" w:color="auto" w:sz="4" w:space="0"/>
              <w:right w:val="single" w:color="auto" w:sz="4" w:space="0"/>
            </w:tcBorders>
            <w:noWrap w:val="0"/>
            <w:vAlign w:val="center"/>
          </w:tcPr>
          <w:p>
            <w:pPr>
              <w:keepNext w:val="0"/>
              <w:keepLines w:val="0"/>
              <w:pageBreakBefore w:val="0"/>
              <w:numPr>
                <w:ilvl w:val="0"/>
                <w:numId w:val="4"/>
              </w:numPr>
              <w:tabs>
                <w:tab w:val="clear" w:pos="0"/>
              </w:tabs>
              <w:kinsoku/>
              <w:wordWrap/>
              <w:overflowPunct/>
              <w:topLinePunct w:val="0"/>
              <w:autoSpaceDE/>
              <w:autoSpaceDN/>
              <w:bidi w:val="0"/>
              <w:adjustRightInd/>
              <w:snapToGrid/>
              <w:spacing w:beforeLines="0" w:afterLines="0" w:line="360" w:lineRule="exact"/>
              <w:ind w:left="454" w:leftChars="0" w:hanging="454" w:firstLineChars="0"/>
              <w:jc w:val="center"/>
              <w:textAlignment w:val="auto"/>
              <w:rPr>
                <w:rFonts w:hint="eastAsia" w:ascii="仿宋_GB2312" w:hAnsi="仿宋_GB2312" w:eastAsia="仿宋_GB2312" w:cs="仿宋_GB2312"/>
                <w:color w:val="auto"/>
                <w:sz w:val="24"/>
                <w:highlight w:val="none"/>
              </w:rPr>
            </w:pPr>
          </w:p>
        </w:tc>
        <w:tc>
          <w:tcPr>
            <w:tcW w:w="1322"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360" w:lineRule="exact"/>
              <w:ind w:firstLine="0" w:firstLineChars="0"/>
              <w:jc w:val="center"/>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项目管理</w:t>
            </w:r>
          </w:p>
        </w:tc>
        <w:tc>
          <w:tcPr>
            <w:tcW w:w="6445" w:type="dxa"/>
            <w:tcBorders>
              <w:top w:val="single" w:color="auto" w:sz="4" w:space="0"/>
              <w:left w:val="single" w:color="auto" w:sz="4" w:space="0"/>
              <w:right w:val="single" w:color="auto" w:sz="4" w:space="0"/>
            </w:tcBorders>
            <w:noWrap w:val="0"/>
            <w:vAlign w:val="center"/>
          </w:tcPr>
          <w:p>
            <w:pPr>
              <w:pStyle w:val="10"/>
              <w:widowControl/>
              <w:numPr>
                <w:ilvl w:val="0"/>
                <w:numId w:val="0"/>
              </w:numPr>
              <w:spacing w:after="0" w:line="400" w:lineRule="exact"/>
              <w:ind w:left="0" w:leftChars="0" w:firstLine="0" w:firstLineChars="0"/>
              <w:jc w:val="left"/>
              <w:rPr>
                <w:rFonts w:hint="eastAsia" w:ascii="仿宋_GB2312" w:hAnsi="仿宋_GB2312" w:eastAsia="仿宋_GB2312" w:cs="仿宋_GB2312"/>
                <w:color w:val="auto"/>
                <w:sz w:val="24"/>
                <w:highlight w:val="none"/>
                <w:lang w:eastAsia="zh-CN"/>
              </w:rPr>
            </w:pPr>
            <w:r>
              <w:rPr>
                <w:rFonts w:hint="eastAsia" w:ascii="仿宋_GB2312" w:hAnsi="仿宋_GB2312" w:eastAsia="仿宋_GB2312" w:cs="仿宋_GB2312"/>
                <w:sz w:val="24"/>
                <w:szCs w:val="22"/>
                <w:highlight w:val="none"/>
                <w:lang w:val="en-US" w:eastAsia="zh-CN"/>
              </w:rPr>
              <w:t>配合我行开展以下工作：</w:t>
            </w:r>
            <w:r>
              <w:rPr>
                <w:rFonts w:hint="eastAsia" w:ascii="仿宋_GB2312" w:hAnsi="仿宋_GB2312" w:eastAsia="仿宋_GB2312" w:cs="仿宋_GB2312"/>
                <w:sz w:val="24"/>
                <w:szCs w:val="22"/>
                <w:highlight w:val="none"/>
              </w:rPr>
              <w:t>制定项目计划，监督和控制项目进度</w:t>
            </w:r>
            <w:r>
              <w:rPr>
                <w:rFonts w:hint="eastAsia" w:ascii="仿宋_GB2312" w:hAnsi="仿宋_GB2312" w:eastAsia="仿宋_GB2312" w:cs="仿宋_GB2312"/>
                <w:sz w:val="24"/>
                <w:szCs w:val="22"/>
                <w:highlight w:val="none"/>
                <w:lang w:val="en-US" w:eastAsia="zh-CN"/>
              </w:rPr>
              <w:t>；</w:t>
            </w:r>
            <w:r>
              <w:rPr>
                <w:rFonts w:hint="eastAsia" w:ascii="仿宋_GB2312" w:hAnsi="仿宋_GB2312" w:eastAsia="仿宋_GB2312" w:cs="仿宋_GB2312"/>
                <w:sz w:val="24"/>
                <w:szCs w:val="22"/>
                <w:highlight w:val="none"/>
                <w:lang w:eastAsia="zh-CN"/>
              </w:rPr>
              <w:t>负责</w:t>
            </w:r>
            <w:r>
              <w:rPr>
                <w:rFonts w:hint="eastAsia" w:ascii="仿宋_GB2312" w:hAnsi="仿宋_GB2312" w:eastAsia="仿宋_GB2312" w:cs="仿宋_GB2312"/>
                <w:sz w:val="24"/>
                <w:szCs w:val="22"/>
                <w:highlight w:val="none"/>
              </w:rPr>
              <w:t>管理安排项目资源</w:t>
            </w:r>
            <w:r>
              <w:rPr>
                <w:rFonts w:hint="eastAsia" w:ascii="仿宋_GB2312" w:hAnsi="仿宋_GB2312" w:eastAsia="仿宋_GB2312" w:cs="仿宋_GB2312"/>
                <w:sz w:val="24"/>
                <w:szCs w:val="22"/>
                <w:highlight w:val="none"/>
                <w:lang w:val="en-US" w:eastAsia="zh-CN"/>
              </w:rPr>
              <w:t>；开展</w:t>
            </w:r>
            <w:r>
              <w:rPr>
                <w:rFonts w:hint="eastAsia" w:ascii="仿宋_GB2312" w:hAnsi="仿宋_GB2312" w:eastAsia="仿宋_GB2312" w:cs="仿宋_GB2312"/>
                <w:sz w:val="24"/>
                <w:szCs w:val="22"/>
                <w:highlight w:val="none"/>
              </w:rPr>
              <w:t>实施项目配置和交付管理以及项目质量管理</w:t>
            </w:r>
            <w:r>
              <w:rPr>
                <w:rFonts w:hint="eastAsia" w:ascii="仿宋_GB2312" w:hAnsi="仿宋_GB2312" w:eastAsia="仿宋_GB2312" w:cs="仿宋_GB2312"/>
                <w:sz w:val="24"/>
                <w:szCs w:val="22"/>
                <w:highlight w:val="none"/>
                <w:lang w:val="en-US" w:eastAsia="zh-CN"/>
              </w:rPr>
              <w:t>；开展</w:t>
            </w:r>
            <w:r>
              <w:rPr>
                <w:rFonts w:hint="eastAsia" w:ascii="仿宋_GB2312" w:hAnsi="仿宋_GB2312" w:eastAsia="仿宋_GB2312" w:cs="仿宋_GB2312"/>
                <w:sz w:val="24"/>
                <w:szCs w:val="22"/>
                <w:highlight w:val="none"/>
              </w:rPr>
              <w:t>项目问题管理和项目风险管理</w:t>
            </w:r>
            <w:r>
              <w:rPr>
                <w:rFonts w:hint="eastAsia" w:ascii="仿宋_GB2312" w:hAnsi="仿宋_GB2312" w:eastAsia="仿宋_GB2312" w:cs="仿宋_GB2312"/>
                <w:sz w:val="24"/>
                <w:szCs w:val="22"/>
                <w:highlight w:val="none"/>
                <w:lang w:val="en-US" w:eastAsia="zh-CN"/>
              </w:rPr>
              <w:t>；</w:t>
            </w:r>
            <w:r>
              <w:rPr>
                <w:rFonts w:hint="eastAsia" w:ascii="仿宋_GB2312" w:hAnsi="仿宋_GB2312" w:eastAsia="仿宋_GB2312" w:cs="仿宋_GB2312"/>
                <w:sz w:val="24"/>
                <w:szCs w:val="22"/>
                <w:highlight w:val="none"/>
              </w:rPr>
              <w:t>按照要求</w:t>
            </w:r>
            <w:r>
              <w:rPr>
                <w:rFonts w:hint="eastAsia" w:ascii="仿宋_GB2312" w:hAnsi="仿宋_GB2312" w:eastAsia="仿宋_GB2312" w:cs="仿宋_GB2312"/>
                <w:sz w:val="24"/>
                <w:szCs w:val="22"/>
                <w:highlight w:val="none"/>
                <w:lang w:val="en-US" w:eastAsia="zh-CN"/>
              </w:rPr>
              <w:t>定期</w:t>
            </w:r>
            <w:r>
              <w:rPr>
                <w:rFonts w:hint="eastAsia" w:ascii="仿宋_GB2312" w:hAnsi="仿宋_GB2312" w:eastAsia="仿宋_GB2312" w:cs="仿宋_GB2312"/>
                <w:sz w:val="24"/>
                <w:szCs w:val="22"/>
                <w:highlight w:val="none"/>
              </w:rPr>
              <w:t>进行工作报告</w:t>
            </w:r>
            <w:r>
              <w:rPr>
                <w:rFonts w:hint="eastAsia" w:ascii="仿宋_GB2312" w:hAnsi="仿宋_GB2312" w:eastAsia="仿宋_GB2312" w:cs="仿宋_GB2312"/>
                <w:sz w:val="24"/>
                <w:szCs w:val="22"/>
                <w:highlight w:val="none"/>
                <w:lang w:val="en-US"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799" w:type="dxa"/>
            <w:tcBorders>
              <w:left w:val="single" w:color="auto" w:sz="4" w:space="0"/>
              <w:bottom w:val="single" w:color="auto" w:sz="4" w:space="0"/>
              <w:right w:val="single" w:color="auto" w:sz="4" w:space="0"/>
            </w:tcBorders>
            <w:noWrap w:val="0"/>
            <w:vAlign w:val="center"/>
          </w:tcPr>
          <w:p>
            <w:pPr>
              <w:keepNext w:val="0"/>
              <w:keepLines w:val="0"/>
              <w:pageBreakBefore w:val="0"/>
              <w:numPr>
                <w:ilvl w:val="0"/>
                <w:numId w:val="4"/>
              </w:numPr>
              <w:tabs>
                <w:tab w:val="clear" w:pos="0"/>
              </w:tabs>
              <w:kinsoku/>
              <w:wordWrap/>
              <w:overflowPunct/>
              <w:topLinePunct w:val="0"/>
              <w:autoSpaceDE/>
              <w:autoSpaceDN/>
              <w:bidi w:val="0"/>
              <w:adjustRightInd/>
              <w:snapToGrid/>
              <w:spacing w:beforeLines="0" w:afterLines="0" w:line="360" w:lineRule="exact"/>
              <w:ind w:left="454" w:leftChars="0" w:hanging="454" w:firstLineChars="0"/>
              <w:jc w:val="center"/>
              <w:textAlignment w:val="auto"/>
              <w:rPr>
                <w:rFonts w:hint="eastAsia" w:ascii="仿宋_GB2312" w:hAnsi="仿宋_GB2312" w:eastAsia="仿宋_GB2312" w:cs="仿宋_GB2312"/>
                <w:color w:val="auto"/>
                <w:sz w:val="24"/>
                <w:highlight w:val="none"/>
              </w:rPr>
            </w:pPr>
          </w:p>
        </w:tc>
        <w:tc>
          <w:tcPr>
            <w:tcW w:w="1322" w:type="dxa"/>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360" w:lineRule="exact"/>
              <w:ind w:firstLine="0" w:firstLineChars="0"/>
              <w:jc w:val="center"/>
              <w:textAlignment w:val="auto"/>
              <w:rPr>
                <w:rFonts w:hint="eastAsia" w:ascii="仿宋_GB2312" w:hAnsi="仿宋_GB2312" w:eastAsia="仿宋_GB2312" w:cs="仿宋_GB2312"/>
                <w:color w:val="auto"/>
                <w:sz w:val="24"/>
                <w:highlight w:val="none"/>
                <w:lang w:eastAsia="zh-CN"/>
              </w:rPr>
            </w:pPr>
            <w:r>
              <w:rPr>
                <w:rFonts w:hint="eastAsia" w:ascii="仿宋_GB2312" w:hAnsi="仿宋_GB2312" w:eastAsia="仿宋_GB2312" w:cs="仿宋_GB2312"/>
                <w:color w:val="auto"/>
                <w:sz w:val="24"/>
                <w:highlight w:val="none"/>
                <w:lang w:val="en-US" w:eastAsia="zh-CN"/>
              </w:rPr>
              <w:t>需求分析</w:t>
            </w:r>
          </w:p>
        </w:tc>
        <w:tc>
          <w:tcPr>
            <w:tcW w:w="6445" w:type="dxa"/>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360" w:lineRule="exact"/>
              <w:ind w:firstLine="0" w:firstLineChars="0"/>
              <w:jc w:val="both"/>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eastAsia="zh-CN"/>
              </w:rPr>
              <w:t>根据</w:t>
            </w:r>
            <w:r>
              <w:rPr>
                <w:rFonts w:hint="eastAsia" w:ascii="仿宋_GB2312" w:hAnsi="仿宋_GB2312" w:eastAsia="仿宋_GB2312" w:cs="仿宋_GB2312"/>
                <w:color w:val="auto"/>
                <w:sz w:val="24"/>
                <w:highlight w:val="none"/>
                <w:lang w:val="en-US" w:eastAsia="zh-CN"/>
              </w:rPr>
              <w:t>业务要求，梳理转化为业务对系统功能性和非功能性等具体要求，形成需求规格说明书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99" w:type="dxa"/>
            <w:tcBorders>
              <w:left w:val="single" w:color="auto" w:sz="4" w:space="0"/>
              <w:bottom w:val="single" w:color="auto" w:sz="4" w:space="0"/>
              <w:right w:val="single" w:color="auto" w:sz="4" w:space="0"/>
            </w:tcBorders>
            <w:noWrap w:val="0"/>
            <w:vAlign w:val="center"/>
          </w:tcPr>
          <w:p>
            <w:pPr>
              <w:keepNext w:val="0"/>
              <w:keepLines w:val="0"/>
              <w:pageBreakBefore w:val="0"/>
              <w:numPr>
                <w:ilvl w:val="0"/>
                <w:numId w:val="4"/>
              </w:numPr>
              <w:tabs>
                <w:tab w:val="clear" w:pos="0"/>
              </w:tabs>
              <w:kinsoku/>
              <w:wordWrap/>
              <w:overflowPunct/>
              <w:topLinePunct w:val="0"/>
              <w:autoSpaceDE/>
              <w:autoSpaceDN/>
              <w:bidi w:val="0"/>
              <w:adjustRightInd/>
              <w:snapToGrid/>
              <w:spacing w:beforeLines="0" w:afterLines="0" w:line="360" w:lineRule="exact"/>
              <w:ind w:left="454" w:leftChars="0" w:hanging="454" w:firstLineChars="0"/>
              <w:jc w:val="center"/>
              <w:textAlignment w:val="auto"/>
              <w:rPr>
                <w:rFonts w:hint="eastAsia" w:ascii="仿宋_GB2312" w:hAnsi="仿宋_GB2312" w:eastAsia="仿宋_GB2312" w:cs="仿宋_GB2312"/>
                <w:color w:val="auto"/>
                <w:sz w:val="24"/>
                <w:highlight w:val="none"/>
              </w:rPr>
            </w:pPr>
          </w:p>
        </w:tc>
        <w:tc>
          <w:tcPr>
            <w:tcW w:w="1322" w:type="dxa"/>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360" w:lineRule="exact"/>
              <w:ind w:firstLine="0" w:firstLineChars="0"/>
              <w:jc w:val="center"/>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eastAsia="zh-CN"/>
              </w:rPr>
              <w:t>设</w:t>
            </w:r>
            <w:r>
              <w:rPr>
                <w:rFonts w:hint="eastAsia" w:ascii="仿宋_GB2312" w:hAnsi="仿宋_GB2312" w:eastAsia="仿宋_GB2312" w:cs="仿宋_GB2312"/>
                <w:color w:val="auto"/>
                <w:sz w:val="24"/>
                <w:highlight w:val="none"/>
                <w:lang w:val="en-US" w:eastAsia="zh-CN"/>
              </w:rPr>
              <w:t xml:space="preserve">  </w:t>
            </w:r>
            <w:r>
              <w:rPr>
                <w:rFonts w:hint="eastAsia" w:ascii="仿宋_GB2312" w:hAnsi="仿宋_GB2312" w:eastAsia="仿宋_GB2312" w:cs="仿宋_GB2312"/>
                <w:color w:val="auto"/>
                <w:sz w:val="24"/>
                <w:highlight w:val="none"/>
                <w:lang w:eastAsia="zh-CN"/>
              </w:rPr>
              <w:t>计</w:t>
            </w:r>
          </w:p>
        </w:tc>
        <w:tc>
          <w:tcPr>
            <w:tcW w:w="6445" w:type="dxa"/>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360" w:lineRule="exact"/>
              <w:ind w:firstLine="0" w:firstLineChars="0"/>
              <w:jc w:val="both"/>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eastAsia="zh-CN"/>
              </w:rPr>
              <w:t>完成</w:t>
            </w:r>
            <w:r>
              <w:rPr>
                <w:rFonts w:hint="eastAsia" w:ascii="仿宋_GB2312" w:hAnsi="仿宋_GB2312" w:eastAsia="仿宋_GB2312" w:cs="仿宋_GB2312"/>
                <w:color w:val="auto"/>
                <w:sz w:val="24"/>
                <w:highlight w:val="none"/>
                <w:lang w:val="en-US" w:eastAsia="zh-CN"/>
              </w:rPr>
              <w:t>相关</w:t>
            </w:r>
            <w:r>
              <w:rPr>
                <w:rFonts w:hint="eastAsia" w:ascii="仿宋_GB2312" w:hAnsi="仿宋_GB2312" w:eastAsia="仿宋_GB2312" w:cs="仿宋_GB2312"/>
                <w:color w:val="auto"/>
                <w:sz w:val="24"/>
                <w:highlight w:val="none"/>
                <w:lang w:eastAsia="zh-CN"/>
              </w:rPr>
              <w:t>物理子系统的概要设计、详细设计等相关工作，形成相应</w:t>
            </w:r>
            <w:r>
              <w:rPr>
                <w:rFonts w:hint="eastAsia" w:ascii="仿宋_GB2312" w:hAnsi="仿宋_GB2312" w:eastAsia="仿宋_GB2312" w:cs="仿宋_GB2312"/>
                <w:color w:val="auto"/>
                <w:sz w:val="24"/>
                <w:highlight w:val="none"/>
                <w:lang w:val="en-US" w:eastAsia="zh-CN"/>
              </w:rPr>
              <w:t>设计</w:t>
            </w:r>
            <w:r>
              <w:rPr>
                <w:rFonts w:hint="eastAsia" w:ascii="仿宋_GB2312" w:hAnsi="仿宋_GB2312" w:eastAsia="仿宋_GB2312" w:cs="仿宋_GB2312"/>
                <w:color w:val="auto"/>
                <w:sz w:val="24"/>
                <w:highlight w:val="none"/>
                <w:lang w:eastAsia="zh-CN"/>
              </w:rPr>
              <w:t>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799" w:type="dxa"/>
            <w:tcBorders>
              <w:top w:val="single" w:color="auto" w:sz="4" w:space="0"/>
              <w:left w:val="single" w:color="auto" w:sz="4" w:space="0"/>
              <w:right w:val="single" w:color="auto" w:sz="4" w:space="0"/>
            </w:tcBorders>
            <w:noWrap w:val="0"/>
            <w:vAlign w:val="center"/>
          </w:tcPr>
          <w:p>
            <w:pPr>
              <w:keepNext w:val="0"/>
              <w:keepLines w:val="0"/>
              <w:pageBreakBefore w:val="0"/>
              <w:numPr>
                <w:ilvl w:val="0"/>
                <w:numId w:val="4"/>
              </w:numPr>
              <w:tabs>
                <w:tab w:val="clear" w:pos="0"/>
              </w:tabs>
              <w:kinsoku/>
              <w:wordWrap/>
              <w:overflowPunct/>
              <w:topLinePunct w:val="0"/>
              <w:autoSpaceDE/>
              <w:autoSpaceDN/>
              <w:bidi w:val="0"/>
              <w:adjustRightInd/>
              <w:snapToGrid/>
              <w:spacing w:beforeLines="0" w:afterLines="0" w:line="360" w:lineRule="exact"/>
              <w:ind w:left="454" w:leftChars="0" w:hanging="454" w:firstLineChars="0"/>
              <w:jc w:val="center"/>
              <w:textAlignment w:val="auto"/>
              <w:rPr>
                <w:rFonts w:hint="eastAsia" w:ascii="仿宋_GB2312" w:hAnsi="仿宋_GB2312" w:eastAsia="仿宋_GB2312" w:cs="仿宋_GB2312"/>
                <w:color w:val="auto"/>
                <w:sz w:val="24"/>
                <w:highlight w:val="none"/>
              </w:rPr>
            </w:pPr>
          </w:p>
        </w:tc>
        <w:tc>
          <w:tcPr>
            <w:tcW w:w="1322"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360" w:lineRule="exact"/>
              <w:ind w:firstLine="0" w:firstLineChars="0"/>
              <w:jc w:val="center"/>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开  发</w:t>
            </w:r>
          </w:p>
        </w:tc>
        <w:tc>
          <w:tcPr>
            <w:tcW w:w="6445"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360" w:lineRule="exact"/>
              <w:ind w:firstLine="0" w:firstLineChars="0"/>
              <w:jc w:val="both"/>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根据功能设计按计划完成开发，实现设计功能</w:t>
            </w:r>
            <w:r>
              <w:rPr>
                <w:rFonts w:hint="eastAsia" w:ascii="仿宋_GB2312" w:hAnsi="仿宋_GB2312" w:eastAsia="仿宋_GB2312" w:cs="仿宋_GB2312"/>
                <w:color w:val="auto"/>
                <w:sz w:val="24"/>
                <w:highlight w:val="none"/>
                <w:lang w:eastAsia="zh-CN"/>
              </w:rPr>
              <w:t>，</w:t>
            </w:r>
            <w:r>
              <w:rPr>
                <w:rFonts w:hint="eastAsia" w:ascii="仿宋_GB2312" w:hAnsi="仿宋_GB2312" w:eastAsia="仿宋_GB2312" w:cs="仿宋_GB2312"/>
                <w:color w:val="auto"/>
                <w:sz w:val="24"/>
                <w:highlight w:val="none"/>
                <w:lang w:val="en-US" w:eastAsia="zh-CN"/>
              </w:rPr>
              <w:t>完成单元测试等工作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jc w:val="center"/>
        </w:trPr>
        <w:tc>
          <w:tcPr>
            <w:tcW w:w="799" w:type="dxa"/>
            <w:tcBorders>
              <w:top w:val="single" w:color="auto" w:sz="4" w:space="0"/>
              <w:left w:val="single" w:color="auto" w:sz="4" w:space="0"/>
              <w:right w:val="single" w:color="auto" w:sz="4" w:space="0"/>
            </w:tcBorders>
            <w:noWrap w:val="0"/>
            <w:vAlign w:val="center"/>
          </w:tcPr>
          <w:p>
            <w:pPr>
              <w:keepNext w:val="0"/>
              <w:keepLines w:val="0"/>
              <w:pageBreakBefore w:val="0"/>
              <w:numPr>
                <w:ilvl w:val="0"/>
                <w:numId w:val="4"/>
              </w:numPr>
              <w:tabs>
                <w:tab w:val="clear" w:pos="0"/>
              </w:tabs>
              <w:kinsoku/>
              <w:wordWrap/>
              <w:overflowPunct/>
              <w:topLinePunct w:val="0"/>
              <w:autoSpaceDE/>
              <w:autoSpaceDN/>
              <w:bidi w:val="0"/>
              <w:adjustRightInd/>
              <w:snapToGrid/>
              <w:spacing w:beforeLines="0" w:afterLines="0" w:line="360" w:lineRule="exact"/>
              <w:ind w:left="454" w:leftChars="0" w:hanging="454" w:firstLineChars="0"/>
              <w:jc w:val="center"/>
              <w:textAlignment w:val="auto"/>
              <w:rPr>
                <w:rFonts w:hint="eastAsia" w:ascii="仿宋_GB2312" w:hAnsi="仿宋_GB2312" w:eastAsia="仿宋_GB2312" w:cs="仿宋_GB2312"/>
                <w:color w:val="auto"/>
                <w:sz w:val="24"/>
                <w:highlight w:val="none"/>
              </w:rPr>
            </w:pPr>
          </w:p>
        </w:tc>
        <w:tc>
          <w:tcPr>
            <w:tcW w:w="1322"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360" w:lineRule="exact"/>
              <w:ind w:firstLine="0" w:firstLineChars="0"/>
              <w:jc w:val="center"/>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测  试</w:t>
            </w:r>
          </w:p>
        </w:tc>
        <w:tc>
          <w:tcPr>
            <w:tcW w:w="6445"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360" w:lineRule="exact"/>
              <w:ind w:firstLine="0" w:firstLineChars="0"/>
              <w:jc w:val="both"/>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开展产品、系统集成等测试工作，包括测试计划、准备和执行，完成测试案例、脚本及数据的编制和准备，及时组织系统修补和必要的回归测试，形成测试报告；协助开展用户验收测试相关工作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799" w:type="dxa"/>
            <w:tcBorders>
              <w:top w:val="single" w:color="auto" w:sz="4" w:space="0"/>
              <w:left w:val="single" w:color="auto" w:sz="4" w:space="0"/>
              <w:right w:val="single" w:color="auto" w:sz="4" w:space="0"/>
            </w:tcBorders>
            <w:noWrap w:val="0"/>
            <w:vAlign w:val="center"/>
          </w:tcPr>
          <w:p>
            <w:pPr>
              <w:keepNext w:val="0"/>
              <w:keepLines w:val="0"/>
              <w:pageBreakBefore w:val="0"/>
              <w:numPr>
                <w:ilvl w:val="0"/>
                <w:numId w:val="4"/>
              </w:numPr>
              <w:tabs>
                <w:tab w:val="clear" w:pos="0"/>
              </w:tabs>
              <w:kinsoku/>
              <w:wordWrap/>
              <w:overflowPunct/>
              <w:topLinePunct w:val="0"/>
              <w:autoSpaceDE/>
              <w:autoSpaceDN/>
              <w:bidi w:val="0"/>
              <w:adjustRightInd/>
              <w:snapToGrid/>
              <w:spacing w:beforeLines="0" w:afterLines="0" w:line="360" w:lineRule="exact"/>
              <w:ind w:left="454" w:leftChars="0" w:hanging="454" w:firstLineChars="0"/>
              <w:jc w:val="center"/>
              <w:textAlignment w:val="auto"/>
              <w:rPr>
                <w:rFonts w:hint="eastAsia" w:ascii="仿宋_GB2312" w:hAnsi="仿宋_GB2312" w:eastAsia="仿宋_GB2312" w:cs="仿宋_GB2312"/>
                <w:color w:val="auto"/>
                <w:sz w:val="24"/>
                <w:highlight w:val="none"/>
              </w:rPr>
            </w:pPr>
          </w:p>
        </w:tc>
        <w:tc>
          <w:tcPr>
            <w:tcW w:w="1322"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360" w:lineRule="exact"/>
              <w:ind w:firstLine="0" w:firstLineChars="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highlight w:val="none"/>
                <w:lang w:val="en-US" w:eastAsia="zh-CN"/>
              </w:rPr>
              <w:t>投产运维</w:t>
            </w:r>
          </w:p>
        </w:tc>
        <w:tc>
          <w:tcPr>
            <w:tcW w:w="6445"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360" w:lineRule="exact"/>
              <w:ind w:firstLine="0" w:firstLineChars="0"/>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highlight w:val="none"/>
                <w:lang w:val="en-US" w:eastAsia="zh-CN"/>
              </w:rPr>
              <w:t>为系统投产演练和投产上线等提供必要支持，包括但不限于各类方案计划和流程策略的制定、现场人员支持及运维培训等工作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799" w:type="dxa"/>
            <w:tcBorders>
              <w:top w:val="single" w:color="auto" w:sz="4" w:space="0"/>
              <w:left w:val="single" w:color="auto" w:sz="4" w:space="0"/>
              <w:right w:val="single" w:color="auto" w:sz="4" w:space="0"/>
            </w:tcBorders>
            <w:noWrap w:val="0"/>
            <w:vAlign w:val="center"/>
          </w:tcPr>
          <w:p>
            <w:pPr>
              <w:keepNext w:val="0"/>
              <w:keepLines w:val="0"/>
              <w:pageBreakBefore w:val="0"/>
              <w:numPr>
                <w:ilvl w:val="0"/>
                <w:numId w:val="4"/>
              </w:numPr>
              <w:tabs>
                <w:tab w:val="clear" w:pos="0"/>
              </w:tabs>
              <w:kinsoku/>
              <w:wordWrap/>
              <w:overflowPunct/>
              <w:topLinePunct w:val="0"/>
              <w:autoSpaceDE/>
              <w:autoSpaceDN/>
              <w:bidi w:val="0"/>
              <w:adjustRightInd/>
              <w:snapToGrid/>
              <w:spacing w:beforeLines="0" w:afterLines="0" w:line="360" w:lineRule="exact"/>
              <w:ind w:left="454" w:leftChars="0" w:hanging="454" w:firstLineChars="0"/>
              <w:jc w:val="center"/>
              <w:textAlignment w:val="auto"/>
              <w:rPr>
                <w:rFonts w:hint="eastAsia" w:ascii="仿宋_GB2312" w:hAnsi="仿宋_GB2312" w:eastAsia="仿宋_GB2312" w:cs="仿宋_GB2312"/>
                <w:color w:val="auto"/>
                <w:sz w:val="24"/>
                <w:highlight w:val="none"/>
              </w:rPr>
            </w:pPr>
          </w:p>
        </w:tc>
        <w:tc>
          <w:tcPr>
            <w:tcW w:w="1322"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360" w:lineRule="exact"/>
              <w:ind w:firstLine="0" w:firstLineChars="0"/>
              <w:jc w:val="center"/>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应用运维</w:t>
            </w:r>
          </w:p>
        </w:tc>
        <w:tc>
          <w:tcPr>
            <w:tcW w:w="6445"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360" w:lineRule="exact"/>
              <w:ind w:firstLine="0" w:firstLineChars="0"/>
              <w:jc w:val="both"/>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在本项目投产后至合同周期结束前，安排人员负责本项目开发、改造功能的日常应用二级运维工作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jc w:val="center"/>
        </w:trPr>
        <w:tc>
          <w:tcPr>
            <w:tcW w:w="799" w:type="dxa"/>
            <w:tcBorders>
              <w:top w:val="single" w:color="auto" w:sz="4" w:space="0"/>
              <w:left w:val="single" w:color="auto" w:sz="4" w:space="0"/>
              <w:right w:val="single" w:color="auto" w:sz="4" w:space="0"/>
            </w:tcBorders>
            <w:noWrap w:val="0"/>
            <w:vAlign w:val="center"/>
          </w:tcPr>
          <w:p>
            <w:pPr>
              <w:keepNext w:val="0"/>
              <w:keepLines w:val="0"/>
              <w:pageBreakBefore w:val="0"/>
              <w:numPr>
                <w:ilvl w:val="0"/>
                <w:numId w:val="4"/>
              </w:numPr>
              <w:tabs>
                <w:tab w:val="clear" w:pos="0"/>
              </w:tabs>
              <w:kinsoku/>
              <w:wordWrap/>
              <w:overflowPunct/>
              <w:topLinePunct w:val="0"/>
              <w:autoSpaceDE/>
              <w:autoSpaceDN/>
              <w:bidi w:val="0"/>
              <w:adjustRightInd/>
              <w:snapToGrid/>
              <w:spacing w:beforeLines="0" w:afterLines="0" w:line="360" w:lineRule="exact"/>
              <w:ind w:left="454" w:leftChars="0" w:hanging="454" w:firstLineChars="0"/>
              <w:jc w:val="center"/>
              <w:textAlignment w:val="auto"/>
              <w:rPr>
                <w:rFonts w:hint="eastAsia" w:ascii="仿宋_GB2312" w:hAnsi="仿宋_GB2312" w:eastAsia="仿宋_GB2312" w:cs="仿宋_GB2312"/>
                <w:color w:val="auto"/>
                <w:sz w:val="24"/>
                <w:highlight w:val="none"/>
              </w:rPr>
            </w:pPr>
          </w:p>
        </w:tc>
        <w:tc>
          <w:tcPr>
            <w:tcW w:w="1322"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360" w:lineRule="exact"/>
              <w:ind w:firstLine="0" w:firstLineChars="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highlight w:val="none"/>
                <w:lang w:val="en-US" w:eastAsia="zh-CN"/>
              </w:rPr>
              <w:t>培训及知识转移</w:t>
            </w:r>
          </w:p>
        </w:tc>
        <w:tc>
          <w:tcPr>
            <w:tcW w:w="6445"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360" w:lineRule="exact"/>
              <w:ind w:firstLine="0" w:firstLineChars="0"/>
              <w:jc w:val="both"/>
              <w:textAlignment w:val="auto"/>
              <w:rPr>
                <w:rFonts w:hint="eastAsia" w:ascii="仿宋_GB2312" w:hAnsi="仿宋_GB2312" w:eastAsia="仿宋_GB2312" w:cs="仿宋_GB2312"/>
                <w:kern w:val="2"/>
                <w:sz w:val="21"/>
                <w:szCs w:val="24"/>
                <w:highlight w:val="none"/>
                <w:lang w:val="en-US" w:eastAsia="zh-CN" w:bidi="ar-SA"/>
              </w:rPr>
            </w:pPr>
            <w:r>
              <w:rPr>
                <w:rFonts w:hint="eastAsia" w:ascii="仿宋_GB2312" w:hAnsi="仿宋_GB2312" w:eastAsia="仿宋_GB2312" w:cs="仿宋_GB2312"/>
                <w:color w:val="auto"/>
                <w:sz w:val="24"/>
                <w:highlight w:val="none"/>
                <w:lang w:val="en-US" w:eastAsia="zh-CN"/>
              </w:rPr>
              <w:t>通过必要培训（提供完备的培训材料）使我行相关人员，以及我行指定的人员</w:t>
            </w:r>
            <w:r>
              <w:rPr>
                <w:rFonts w:hint="eastAsia" w:ascii="仿宋_GB2312" w:hAnsi="仿宋_GB2312" w:eastAsia="仿宋_GB2312" w:cs="仿宋_GB2312"/>
                <w:sz w:val="24"/>
                <w:szCs w:val="22"/>
                <w:highlight w:val="none"/>
                <w:lang w:val="en-US" w:eastAsia="zh-CN"/>
              </w:rPr>
              <w:t>（包括第三方人员）</w:t>
            </w:r>
            <w:r>
              <w:rPr>
                <w:rFonts w:hint="eastAsia" w:ascii="仿宋_GB2312" w:hAnsi="仿宋_GB2312" w:eastAsia="仿宋_GB2312" w:cs="仿宋_GB2312"/>
                <w:color w:val="auto"/>
                <w:sz w:val="24"/>
                <w:highlight w:val="none"/>
                <w:lang w:val="en-US" w:eastAsia="zh-CN"/>
              </w:rPr>
              <w:t>，熟悉系统内容和功能，以及使用权限划分与操作方式，包括系统架构、部署运维、参数配置等内容，</w:t>
            </w:r>
            <w:r>
              <w:rPr>
                <w:rFonts w:hint="eastAsia" w:ascii="仿宋_GB2312" w:hAnsi="仿宋_GB2312" w:eastAsia="仿宋_GB2312" w:cs="仿宋_GB2312"/>
                <w:sz w:val="24"/>
                <w:szCs w:val="22"/>
                <w:highlight w:val="none"/>
                <w:lang w:val="en-US" w:eastAsia="zh-CN"/>
              </w:rPr>
              <w:t>掌握本项目新客户化开发部分功能的二次开发能力</w:t>
            </w:r>
          </w:p>
        </w:tc>
      </w:tr>
    </w:tbl>
    <w:p>
      <w:pPr>
        <w:pStyle w:val="18"/>
        <w:keepNext/>
        <w:keepLines/>
        <w:pageBreakBefore w:val="0"/>
        <w:widowControl w:val="0"/>
        <w:kinsoku/>
        <w:wordWrap/>
        <w:overflowPunct/>
        <w:topLinePunct w:val="0"/>
        <w:autoSpaceDE/>
        <w:autoSpaceDN/>
        <w:bidi w:val="0"/>
        <w:adjustRightInd w:val="0"/>
        <w:snapToGrid/>
        <w:spacing w:before="0" w:beforeLines="0" w:after="0" w:afterLines="0" w:line="560" w:lineRule="exact"/>
        <w:ind w:firstLine="640" w:firstLineChars="200"/>
        <w:textAlignment w:val="baseline"/>
        <w:outlineLvl w:val="0"/>
        <w:rPr>
          <w:rFonts w:hint="eastAsia" w:ascii="Times New Roman" w:hAnsi="黑体" w:eastAsia="黑体"/>
          <w:b w:val="0"/>
          <w:bCs w:val="0"/>
          <w:color w:val="auto"/>
          <w:sz w:val="32"/>
          <w:highlight w:val="none"/>
          <w:lang w:val="en-US" w:eastAsia="zh-CN"/>
        </w:rPr>
      </w:pPr>
      <w:bookmarkStart w:id="7" w:name="_Toc23314"/>
      <w:bookmarkStart w:id="8" w:name="_Toc628"/>
      <w:r>
        <w:rPr>
          <w:rFonts w:hint="eastAsia" w:ascii="Times New Roman" w:hAnsi="黑体" w:eastAsia="黑体"/>
          <w:b w:val="0"/>
          <w:bCs w:val="0"/>
          <w:color w:val="auto"/>
          <w:sz w:val="32"/>
          <w:highlight w:val="none"/>
          <w:lang w:val="en-US" w:eastAsia="zh-CN"/>
        </w:rPr>
        <w:t>三、业务要求</w:t>
      </w:r>
      <w:bookmarkEnd w:id="7"/>
    </w:p>
    <w:p>
      <w:pPr>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2026年10月底前完成系统功能改造并投产上线。改造需求详见附件2-4。</w:t>
      </w:r>
    </w:p>
    <w:p>
      <w:pPr>
        <w:pStyle w:val="18"/>
        <w:keepNext/>
        <w:keepLines/>
        <w:pageBreakBefore w:val="0"/>
        <w:widowControl w:val="0"/>
        <w:kinsoku/>
        <w:wordWrap/>
        <w:overflowPunct/>
        <w:topLinePunct w:val="0"/>
        <w:autoSpaceDE/>
        <w:autoSpaceDN/>
        <w:bidi w:val="0"/>
        <w:adjustRightInd w:val="0"/>
        <w:snapToGrid/>
        <w:spacing w:before="0" w:beforeLines="0" w:after="0" w:afterLines="0" w:line="560" w:lineRule="exact"/>
        <w:ind w:firstLine="640" w:firstLineChars="200"/>
        <w:textAlignment w:val="baseline"/>
        <w:outlineLvl w:val="0"/>
        <w:rPr>
          <w:rFonts w:hint="default" w:ascii="Times New Roman" w:hAnsi="黑体" w:eastAsia="黑体"/>
          <w:b w:val="0"/>
          <w:bCs w:val="0"/>
          <w:color w:val="auto"/>
          <w:sz w:val="32"/>
          <w:highlight w:val="none"/>
          <w:lang w:val="en-US" w:eastAsia="zh-CN"/>
        </w:rPr>
      </w:pPr>
      <w:bookmarkStart w:id="9" w:name="_Toc29572"/>
      <w:r>
        <w:rPr>
          <w:rFonts w:hint="eastAsia" w:ascii="Times New Roman" w:hAnsi="黑体" w:eastAsia="黑体"/>
          <w:b w:val="0"/>
          <w:bCs w:val="0"/>
          <w:color w:val="auto"/>
          <w:sz w:val="32"/>
          <w:highlight w:val="none"/>
          <w:lang w:val="en-US" w:eastAsia="zh-CN"/>
        </w:rPr>
        <w:t>四、技术要求</w:t>
      </w:r>
      <w:bookmarkEnd w:id="9"/>
    </w:p>
    <w:p>
      <w:pPr>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在保持现有系统整体架构和稳定运行的基础上，对各需求进行合理架构拆解，各物理子系统按照涉及需求的关联依赖情况，科学设计系统功能改造方案，确定实施计划安排，确保系统功能切分清晰，底层逻辑准确，业务流程顺畅。</w:t>
      </w:r>
    </w:p>
    <w:p>
      <w:pPr>
        <w:pStyle w:val="7"/>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highlight w:val="none"/>
          <w:lang w:val="en-US" w:eastAsia="zh-CN"/>
        </w:rPr>
      </w:pPr>
      <w:r>
        <w:rPr>
          <w:rFonts w:hint="eastAsia" w:ascii="仿宋_GB2312" w:hAnsi="仿宋_GB2312" w:eastAsia="仿宋_GB2312" w:cs="仿宋_GB2312"/>
          <w:color w:val="auto"/>
          <w:sz w:val="32"/>
          <w:szCs w:val="32"/>
          <w:highlight w:val="none"/>
          <w:lang w:val="en-US" w:eastAsia="zh-CN"/>
        </w:rPr>
        <w:t>各需求涉及系统包括但不限于下表所列物理子系统。</w:t>
      </w:r>
    </w:p>
    <w:tbl>
      <w:tblPr>
        <w:tblStyle w:val="2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0"/>
        <w:gridCol w:w="1564"/>
        <w:gridCol w:w="1089"/>
        <w:gridCol w:w="1954"/>
        <w:gridCol w:w="1954"/>
        <w:gridCol w:w="1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blHeader/>
        </w:trPr>
        <w:tc>
          <w:tcPr>
            <w:tcW w:w="298" w:type="pct"/>
            <w:noWrap w:val="0"/>
            <w:vAlign w:val="center"/>
          </w:tcPr>
          <w:p>
            <w:pPr>
              <w:keepNext w:val="0"/>
              <w:keepLines w:val="0"/>
              <w:widowControl/>
              <w:suppressLineNumbers w:val="0"/>
              <w:jc w:val="center"/>
              <w:textAlignment w:val="center"/>
              <w:rPr>
                <w:rFonts w:ascii="黑体" w:hAnsi="宋体" w:eastAsia="黑体" w:cs="黑体"/>
                <w:b/>
                <w:bCs/>
                <w:i w:val="0"/>
                <w:iCs w:val="0"/>
                <w:color w:val="000000"/>
                <w:sz w:val="21"/>
                <w:szCs w:val="21"/>
                <w:highlight w:val="none"/>
                <w:u w:val="none"/>
              </w:rPr>
            </w:pPr>
            <w:r>
              <w:rPr>
                <w:rFonts w:hint="eastAsia" w:ascii="黑体" w:hAnsi="宋体" w:eastAsia="黑体" w:cs="黑体"/>
                <w:b/>
                <w:bCs/>
                <w:i w:val="0"/>
                <w:iCs w:val="0"/>
                <w:color w:val="000000"/>
                <w:kern w:val="0"/>
                <w:sz w:val="21"/>
                <w:szCs w:val="21"/>
                <w:highlight w:val="none"/>
                <w:u w:val="none"/>
                <w:lang w:val="en-US" w:eastAsia="zh-CN" w:bidi="ar"/>
              </w:rPr>
              <w:t>序号</w:t>
            </w:r>
          </w:p>
        </w:tc>
        <w:tc>
          <w:tcPr>
            <w:tcW w:w="863" w:type="pct"/>
            <w:noWrap w:val="0"/>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1"/>
                <w:szCs w:val="21"/>
                <w:highlight w:val="none"/>
                <w:u w:val="none"/>
              </w:rPr>
            </w:pPr>
            <w:r>
              <w:rPr>
                <w:rFonts w:hint="eastAsia" w:ascii="黑体" w:hAnsi="宋体" w:eastAsia="黑体" w:cs="黑体"/>
                <w:b/>
                <w:bCs/>
                <w:i w:val="0"/>
                <w:iCs w:val="0"/>
                <w:color w:val="000000"/>
                <w:kern w:val="0"/>
                <w:sz w:val="21"/>
                <w:szCs w:val="21"/>
                <w:highlight w:val="none"/>
                <w:u w:val="none"/>
                <w:lang w:val="en-US" w:eastAsia="zh-CN" w:bidi="ar"/>
              </w:rPr>
              <w:t>需求简称</w:t>
            </w:r>
          </w:p>
        </w:tc>
        <w:tc>
          <w:tcPr>
            <w:tcW w:w="601" w:type="pct"/>
            <w:noWrap w:val="0"/>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1"/>
                <w:szCs w:val="21"/>
                <w:highlight w:val="none"/>
                <w:u w:val="none"/>
              </w:rPr>
            </w:pPr>
            <w:r>
              <w:rPr>
                <w:rFonts w:hint="eastAsia" w:ascii="黑体" w:hAnsi="宋体" w:eastAsia="黑体" w:cs="黑体"/>
                <w:b/>
                <w:bCs/>
                <w:i w:val="0"/>
                <w:iCs w:val="0"/>
                <w:color w:val="000000"/>
                <w:kern w:val="0"/>
                <w:sz w:val="21"/>
                <w:szCs w:val="21"/>
                <w:highlight w:val="none"/>
                <w:u w:val="none"/>
                <w:lang w:val="en-US" w:eastAsia="zh-CN" w:bidi="ar"/>
              </w:rPr>
              <w:t>主牵物理系统</w:t>
            </w:r>
          </w:p>
        </w:tc>
        <w:tc>
          <w:tcPr>
            <w:tcW w:w="1078" w:type="pct"/>
            <w:noWrap w:val="0"/>
            <w:vAlign w:val="center"/>
          </w:tcPr>
          <w:p>
            <w:pPr>
              <w:keepNext w:val="0"/>
              <w:keepLines w:val="0"/>
              <w:widowControl/>
              <w:suppressLineNumbers w:val="0"/>
              <w:jc w:val="center"/>
              <w:textAlignment w:val="center"/>
              <w:rPr>
                <w:rFonts w:hint="default" w:ascii="黑体" w:hAnsi="宋体" w:eastAsia="黑体" w:cs="黑体"/>
                <w:b/>
                <w:bCs/>
                <w:i w:val="0"/>
                <w:iCs w:val="0"/>
                <w:color w:val="000000"/>
                <w:kern w:val="0"/>
                <w:sz w:val="21"/>
                <w:szCs w:val="21"/>
                <w:highlight w:val="none"/>
                <w:u w:val="none"/>
                <w:lang w:val="en-US" w:eastAsia="zh-CN" w:bidi="ar"/>
              </w:rPr>
            </w:pPr>
            <w:r>
              <w:rPr>
                <w:rFonts w:hint="eastAsia" w:ascii="黑体" w:hAnsi="宋体" w:eastAsia="黑体" w:cs="黑体"/>
                <w:b/>
                <w:bCs/>
                <w:i w:val="0"/>
                <w:iCs w:val="0"/>
                <w:color w:val="000000"/>
                <w:kern w:val="0"/>
                <w:sz w:val="21"/>
                <w:szCs w:val="21"/>
                <w:highlight w:val="none"/>
                <w:u w:val="none"/>
                <w:lang w:val="en-US" w:eastAsia="zh-CN" w:bidi="ar"/>
              </w:rPr>
              <w:t>配合改造物理系统</w:t>
            </w:r>
          </w:p>
        </w:tc>
        <w:tc>
          <w:tcPr>
            <w:tcW w:w="1078" w:type="pct"/>
            <w:noWrap w:val="0"/>
            <w:vAlign w:val="center"/>
          </w:tcPr>
          <w:p>
            <w:pPr>
              <w:keepNext w:val="0"/>
              <w:keepLines w:val="0"/>
              <w:widowControl/>
              <w:suppressLineNumbers w:val="0"/>
              <w:jc w:val="center"/>
              <w:textAlignment w:val="center"/>
              <w:rPr>
                <w:rFonts w:hint="default" w:ascii="黑体" w:hAnsi="宋体" w:eastAsia="黑体" w:cs="黑体"/>
                <w:b/>
                <w:bCs/>
                <w:i w:val="0"/>
                <w:iCs w:val="0"/>
                <w:color w:val="000000"/>
                <w:kern w:val="0"/>
                <w:sz w:val="21"/>
                <w:szCs w:val="21"/>
                <w:highlight w:val="none"/>
                <w:u w:val="none"/>
                <w:lang w:val="en-US" w:eastAsia="zh-CN" w:bidi="ar"/>
              </w:rPr>
            </w:pPr>
            <w:r>
              <w:rPr>
                <w:rFonts w:hint="eastAsia" w:ascii="黑体" w:hAnsi="宋体" w:eastAsia="黑体" w:cs="黑体"/>
                <w:b/>
                <w:bCs/>
                <w:i w:val="0"/>
                <w:iCs w:val="0"/>
                <w:color w:val="000000"/>
                <w:kern w:val="0"/>
                <w:sz w:val="21"/>
                <w:szCs w:val="21"/>
                <w:highlight w:val="none"/>
                <w:u w:val="none"/>
                <w:lang w:val="en-US" w:eastAsia="zh-CN" w:bidi="ar"/>
              </w:rPr>
              <w:t>配合配置物理系统</w:t>
            </w:r>
          </w:p>
        </w:tc>
        <w:tc>
          <w:tcPr>
            <w:tcW w:w="1079" w:type="pct"/>
            <w:noWrap w:val="0"/>
            <w:vAlign w:val="center"/>
          </w:tcPr>
          <w:p>
            <w:pPr>
              <w:keepNext w:val="0"/>
              <w:keepLines w:val="0"/>
              <w:widowControl/>
              <w:suppressLineNumbers w:val="0"/>
              <w:jc w:val="center"/>
              <w:textAlignment w:val="center"/>
              <w:rPr>
                <w:rFonts w:hint="default" w:ascii="黑体" w:hAnsi="宋体" w:eastAsia="黑体" w:cs="黑体"/>
                <w:b/>
                <w:bCs/>
                <w:i w:val="0"/>
                <w:iCs w:val="0"/>
                <w:color w:val="000000"/>
                <w:kern w:val="0"/>
                <w:sz w:val="21"/>
                <w:szCs w:val="21"/>
                <w:highlight w:val="none"/>
                <w:u w:val="none"/>
                <w:lang w:val="en-US" w:eastAsia="zh-CN" w:bidi="ar"/>
              </w:rPr>
            </w:pPr>
            <w:r>
              <w:rPr>
                <w:rFonts w:hint="eastAsia" w:ascii="黑体" w:hAnsi="宋体" w:eastAsia="黑体" w:cs="黑体"/>
                <w:b/>
                <w:bCs/>
                <w:i w:val="0"/>
                <w:iCs w:val="0"/>
                <w:color w:val="000000"/>
                <w:kern w:val="0"/>
                <w:sz w:val="21"/>
                <w:szCs w:val="21"/>
                <w:highlight w:val="none"/>
                <w:u w:val="none"/>
                <w:lang w:val="en-US" w:eastAsia="zh-CN" w:bidi="ar"/>
              </w:rPr>
              <w:t>配合测试物理系统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98" w:type="pct"/>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1"/>
                <w:szCs w:val="21"/>
                <w:highlight w:val="none"/>
                <w:u w:val="none"/>
              </w:rPr>
            </w:pPr>
            <w:r>
              <w:rPr>
                <w:rFonts w:hint="eastAsia" w:ascii="仿宋_GB2312" w:hAnsi="宋体" w:eastAsia="仿宋_GB2312" w:cs="仿宋_GB2312"/>
                <w:i w:val="0"/>
                <w:iCs w:val="0"/>
                <w:color w:val="000000"/>
                <w:kern w:val="0"/>
                <w:sz w:val="21"/>
                <w:szCs w:val="21"/>
                <w:highlight w:val="none"/>
                <w:u w:val="none"/>
                <w:lang w:val="en-US" w:eastAsia="zh-CN" w:bidi="ar"/>
              </w:rPr>
              <w:t>1</w:t>
            </w:r>
          </w:p>
        </w:tc>
        <w:tc>
          <w:tcPr>
            <w:tcW w:w="863" w:type="pct"/>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1"/>
                <w:szCs w:val="21"/>
                <w:highlight w:val="none"/>
                <w:u w:val="none"/>
              </w:rPr>
            </w:pPr>
            <w:r>
              <w:rPr>
                <w:rFonts w:hint="eastAsia" w:ascii="仿宋_GB2312" w:hAnsi="宋体" w:eastAsia="仿宋_GB2312" w:cs="仿宋_GB2312"/>
                <w:i w:val="0"/>
                <w:iCs w:val="0"/>
                <w:color w:val="000000"/>
                <w:sz w:val="21"/>
                <w:szCs w:val="21"/>
                <w:highlight w:val="none"/>
                <w:u w:val="none"/>
              </w:rPr>
              <w:t>贷款损失准备金系统按照监管新规要求改造</w:t>
            </w:r>
          </w:p>
        </w:tc>
        <w:tc>
          <w:tcPr>
            <w:tcW w:w="601" w:type="pct"/>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highlight w:val="none"/>
                <w:u w:val="none"/>
              </w:rPr>
            </w:pPr>
            <w:r>
              <w:rPr>
                <w:rFonts w:hint="eastAsia" w:ascii="仿宋_GB2312" w:hAnsi="宋体" w:eastAsia="仿宋_GB2312" w:cs="仿宋_GB2312"/>
                <w:i w:val="0"/>
                <w:iCs w:val="0"/>
                <w:color w:val="000000"/>
                <w:kern w:val="0"/>
                <w:sz w:val="21"/>
                <w:szCs w:val="21"/>
                <w:highlight w:val="none"/>
                <w:u w:val="none"/>
                <w:lang w:val="en-US" w:eastAsia="zh-CN" w:bidi="ar"/>
              </w:rPr>
              <w:t>贷款损失准备金管理</w:t>
            </w:r>
          </w:p>
        </w:tc>
        <w:tc>
          <w:tcPr>
            <w:tcW w:w="1078" w:type="pct"/>
            <w:noWrap w:val="0"/>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企业数据仓库，国别风险管理系统</w:t>
            </w:r>
          </w:p>
        </w:tc>
        <w:tc>
          <w:tcPr>
            <w:tcW w:w="1078" w:type="pct"/>
            <w:noWrap w:val="0"/>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P2-企业内部管理领域，机构信息和用户管理系统，员工渠道整合平台</w:t>
            </w:r>
          </w:p>
        </w:tc>
        <w:tc>
          <w:tcPr>
            <w:tcW w:w="1079" w:type="pct"/>
            <w:noWrap w:val="0"/>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highlight w:val="none"/>
                <w:u w:val="none"/>
                <w:lang w:val="en-US" w:eastAsia="zh-CN" w:bidi="ar"/>
              </w:rPr>
              <w:t>信贷业务管理，财务会计-非引擎，财务会计-中收计量内部帐，财务会计-会计引擎，贷款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98" w:type="pct"/>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highlight w:val="none"/>
                <w:u w:val="none"/>
              </w:rPr>
            </w:pPr>
            <w:r>
              <w:rPr>
                <w:rFonts w:hint="eastAsia" w:ascii="仿宋_GB2312" w:hAnsi="宋体" w:eastAsia="仿宋_GB2312" w:cs="仿宋_GB2312"/>
                <w:i w:val="0"/>
                <w:iCs w:val="0"/>
                <w:color w:val="000000"/>
                <w:kern w:val="0"/>
                <w:sz w:val="21"/>
                <w:szCs w:val="21"/>
                <w:highlight w:val="none"/>
                <w:u w:val="none"/>
                <w:lang w:val="en-US" w:eastAsia="zh-CN" w:bidi="ar"/>
              </w:rPr>
              <w:t>2</w:t>
            </w:r>
          </w:p>
        </w:tc>
        <w:tc>
          <w:tcPr>
            <w:tcW w:w="863" w:type="pct"/>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1"/>
                <w:szCs w:val="21"/>
                <w:highlight w:val="none"/>
                <w:u w:val="none"/>
              </w:rPr>
            </w:pPr>
            <w:r>
              <w:rPr>
                <w:rFonts w:hint="eastAsia" w:ascii="仿宋_GB2312" w:hAnsi="宋体" w:eastAsia="仿宋_GB2312" w:cs="仿宋_GB2312"/>
                <w:i w:val="0"/>
                <w:iCs w:val="0"/>
                <w:color w:val="000000"/>
                <w:kern w:val="0"/>
                <w:sz w:val="21"/>
                <w:szCs w:val="21"/>
                <w:highlight w:val="none"/>
                <w:u w:val="none"/>
                <w:lang w:val="en-US" w:eastAsia="zh-CN" w:bidi="ar"/>
              </w:rPr>
              <w:t>贷款损失准备金系统按照监管新规要求改造（第二阶段）</w:t>
            </w:r>
          </w:p>
        </w:tc>
        <w:tc>
          <w:tcPr>
            <w:tcW w:w="601" w:type="pct"/>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highlight w:val="none"/>
                <w:u w:val="none"/>
              </w:rPr>
            </w:pPr>
          </w:p>
        </w:tc>
        <w:tc>
          <w:tcPr>
            <w:tcW w:w="1078" w:type="pct"/>
            <w:noWrap w:val="0"/>
            <w:vAlign w:val="center"/>
          </w:tcPr>
          <w:p>
            <w:pPr>
              <w:jc w:val="left"/>
              <w:rPr>
                <w:rFonts w:hint="eastAsia" w:ascii="仿宋_GB2312" w:hAnsi="宋体" w:eastAsia="仿宋_GB2312" w:cs="仿宋_GB2312"/>
                <w:i w:val="0"/>
                <w:iCs w:val="0"/>
                <w:color w:val="000000"/>
                <w:sz w:val="21"/>
                <w:szCs w:val="21"/>
                <w:highlight w:val="none"/>
                <w:u w:val="none"/>
                <w:lang w:val="en-US" w:eastAsia="zh-CN"/>
              </w:rPr>
            </w:pPr>
            <w:r>
              <w:rPr>
                <w:rFonts w:hint="eastAsia" w:ascii="仿宋_GB2312" w:hAnsi="宋体" w:eastAsia="仿宋_GB2312" w:cs="仿宋_GB2312"/>
                <w:i w:val="0"/>
                <w:iCs w:val="0"/>
                <w:color w:val="000000"/>
                <w:sz w:val="21"/>
                <w:szCs w:val="21"/>
                <w:highlight w:val="none"/>
                <w:u w:val="none"/>
                <w:lang w:val="en-US" w:eastAsia="zh-CN"/>
              </w:rPr>
              <w:t>企业数据仓库</w:t>
            </w:r>
          </w:p>
        </w:tc>
        <w:tc>
          <w:tcPr>
            <w:tcW w:w="1078" w:type="pct"/>
            <w:noWrap w:val="0"/>
            <w:vAlign w:val="center"/>
          </w:tcPr>
          <w:p>
            <w:pPr>
              <w:jc w:val="left"/>
              <w:rPr>
                <w:rFonts w:hint="eastAsia" w:ascii="仿宋_GB2312" w:hAnsi="宋体" w:eastAsia="仿宋_GB2312" w:cs="仿宋_GB2312"/>
                <w:i w:val="0"/>
                <w:iCs w:val="0"/>
                <w:color w:val="000000"/>
                <w:sz w:val="21"/>
                <w:szCs w:val="21"/>
                <w:highlight w:val="none"/>
                <w:u w:val="none"/>
              </w:rPr>
            </w:pPr>
            <w:r>
              <w:rPr>
                <w:rFonts w:hint="eastAsia" w:ascii="仿宋_GB2312" w:hAnsi="宋体" w:eastAsia="仿宋_GB2312" w:cs="仿宋_GB2312"/>
                <w:i w:val="0"/>
                <w:iCs w:val="0"/>
                <w:color w:val="000000"/>
                <w:kern w:val="0"/>
                <w:sz w:val="21"/>
                <w:szCs w:val="21"/>
                <w:highlight w:val="none"/>
                <w:u w:val="none"/>
                <w:lang w:val="en-US" w:eastAsia="zh-CN" w:bidi="ar"/>
              </w:rPr>
              <w:t>P2-企业内部管理领域，机构信息和用户管理系统</w:t>
            </w:r>
          </w:p>
        </w:tc>
        <w:tc>
          <w:tcPr>
            <w:tcW w:w="1079" w:type="pct"/>
            <w:noWrap w:val="0"/>
            <w:vAlign w:val="center"/>
          </w:tcPr>
          <w:p>
            <w:pPr>
              <w:jc w:val="both"/>
              <w:rPr>
                <w:rFonts w:hint="eastAsia" w:ascii="仿宋_GB2312" w:hAnsi="宋体" w:eastAsia="仿宋_GB2312" w:cs="仿宋_GB2312"/>
                <w:i w:val="0"/>
                <w:iCs w:val="0"/>
                <w:color w:val="000000"/>
                <w:sz w:val="21"/>
                <w:szCs w:val="21"/>
                <w:highlight w:val="none"/>
                <w:u w:val="none"/>
                <w:lang w:val="en-US" w:eastAsia="zh-CN"/>
              </w:rPr>
            </w:pPr>
            <w:r>
              <w:rPr>
                <w:rFonts w:hint="eastAsia" w:ascii="仿宋_GB2312" w:hAnsi="宋体" w:eastAsia="仿宋_GB2312" w:cs="仿宋_GB2312"/>
                <w:i w:val="0"/>
                <w:iCs w:val="0"/>
                <w:color w:val="000000"/>
                <w:sz w:val="21"/>
                <w:szCs w:val="21"/>
                <w:highlight w:val="none"/>
                <w:u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98" w:type="pct"/>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highlight w:val="none"/>
                <w:u w:val="none"/>
              </w:rPr>
            </w:pPr>
            <w:r>
              <w:rPr>
                <w:rFonts w:hint="eastAsia" w:ascii="仿宋_GB2312" w:hAnsi="宋体" w:eastAsia="仿宋_GB2312" w:cs="仿宋_GB2312"/>
                <w:i w:val="0"/>
                <w:iCs w:val="0"/>
                <w:color w:val="000000"/>
                <w:kern w:val="0"/>
                <w:sz w:val="21"/>
                <w:szCs w:val="21"/>
                <w:highlight w:val="none"/>
                <w:u w:val="none"/>
                <w:lang w:val="en-US" w:eastAsia="zh-CN" w:bidi="ar"/>
              </w:rPr>
              <w:t>3</w:t>
            </w:r>
          </w:p>
        </w:tc>
        <w:tc>
          <w:tcPr>
            <w:tcW w:w="863" w:type="pct"/>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1"/>
                <w:szCs w:val="21"/>
                <w:highlight w:val="none"/>
                <w:u w:val="none"/>
              </w:rPr>
            </w:pPr>
            <w:r>
              <w:rPr>
                <w:rFonts w:hint="eastAsia" w:ascii="仿宋_GB2312" w:hAnsi="宋体" w:eastAsia="仿宋_GB2312" w:cs="仿宋_GB2312"/>
                <w:i w:val="0"/>
                <w:iCs w:val="0"/>
                <w:color w:val="000000"/>
                <w:sz w:val="21"/>
                <w:szCs w:val="21"/>
                <w:highlight w:val="none"/>
                <w:u w:val="none"/>
              </w:rPr>
              <w:t>贸金贷款损失准备金取数逻辑调整</w:t>
            </w:r>
          </w:p>
        </w:tc>
        <w:tc>
          <w:tcPr>
            <w:tcW w:w="601" w:type="pct"/>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highlight w:val="none"/>
                <w:u w:val="none"/>
              </w:rPr>
            </w:pPr>
          </w:p>
        </w:tc>
        <w:tc>
          <w:tcPr>
            <w:tcW w:w="1078" w:type="pct"/>
            <w:noWrap w:val="0"/>
            <w:vAlign w:val="center"/>
          </w:tcPr>
          <w:p>
            <w:pPr>
              <w:jc w:val="left"/>
              <w:rPr>
                <w:rFonts w:hint="default" w:ascii="仿宋_GB2312" w:hAnsi="宋体" w:eastAsia="仿宋_GB2312" w:cs="仿宋_GB2312"/>
                <w:i w:val="0"/>
                <w:iCs w:val="0"/>
                <w:color w:val="000000"/>
                <w:sz w:val="21"/>
                <w:szCs w:val="21"/>
                <w:highlight w:val="none"/>
                <w:u w:val="none"/>
                <w:lang w:val="en-US" w:eastAsia="zh-CN"/>
              </w:rPr>
            </w:pPr>
            <w:r>
              <w:rPr>
                <w:rFonts w:hint="eastAsia" w:ascii="仿宋_GB2312" w:hAnsi="宋体" w:eastAsia="仿宋_GB2312" w:cs="仿宋_GB2312"/>
                <w:i w:val="0"/>
                <w:iCs w:val="0"/>
                <w:color w:val="000000"/>
                <w:sz w:val="21"/>
                <w:szCs w:val="21"/>
                <w:highlight w:val="none"/>
                <w:u w:val="none"/>
                <w:lang w:val="en-US" w:eastAsia="zh-CN"/>
              </w:rPr>
              <w:t>无</w:t>
            </w:r>
          </w:p>
        </w:tc>
        <w:tc>
          <w:tcPr>
            <w:tcW w:w="1078" w:type="pct"/>
            <w:noWrap w:val="0"/>
            <w:vAlign w:val="center"/>
          </w:tcPr>
          <w:p>
            <w:pPr>
              <w:jc w:val="left"/>
              <w:rPr>
                <w:rFonts w:hint="eastAsia" w:ascii="仿宋_GB2312" w:hAnsi="宋体" w:eastAsia="仿宋_GB2312" w:cs="仿宋_GB2312"/>
                <w:i w:val="0"/>
                <w:iCs w:val="0"/>
                <w:color w:val="000000"/>
                <w:sz w:val="21"/>
                <w:szCs w:val="21"/>
                <w:highlight w:val="none"/>
                <w:u w:val="none"/>
                <w:lang w:val="en-US" w:eastAsia="zh-CN"/>
              </w:rPr>
            </w:pPr>
            <w:r>
              <w:rPr>
                <w:rFonts w:hint="eastAsia" w:ascii="仿宋_GB2312" w:hAnsi="宋体" w:eastAsia="仿宋_GB2312" w:cs="仿宋_GB2312"/>
                <w:i w:val="0"/>
                <w:iCs w:val="0"/>
                <w:color w:val="000000"/>
                <w:sz w:val="21"/>
                <w:szCs w:val="21"/>
                <w:highlight w:val="none"/>
                <w:u w:val="none"/>
                <w:lang w:val="en-US" w:eastAsia="zh-CN"/>
              </w:rPr>
              <w:t>无</w:t>
            </w:r>
          </w:p>
        </w:tc>
        <w:tc>
          <w:tcPr>
            <w:tcW w:w="1079" w:type="pct"/>
            <w:noWrap w:val="0"/>
            <w:vAlign w:val="center"/>
          </w:tcPr>
          <w:p>
            <w:pPr>
              <w:jc w:val="left"/>
              <w:rPr>
                <w:rFonts w:hint="eastAsia" w:ascii="仿宋_GB2312" w:hAnsi="宋体" w:eastAsia="仿宋_GB2312" w:cs="仿宋_GB2312"/>
                <w:i w:val="0"/>
                <w:iCs w:val="0"/>
                <w:color w:val="000000"/>
                <w:sz w:val="21"/>
                <w:szCs w:val="21"/>
                <w:highlight w:val="none"/>
                <w:u w:val="none"/>
              </w:rPr>
            </w:pPr>
            <w:r>
              <w:rPr>
                <w:rFonts w:hint="eastAsia" w:ascii="仿宋_GB2312" w:hAnsi="宋体" w:eastAsia="仿宋_GB2312" w:cs="仿宋_GB2312"/>
                <w:i w:val="0"/>
                <w:iCs w:val="0"/>
                <w:color w:val="000000"/>
                <w:sz w:val="21"/>
                <w:szCs w:val="21"/>
                <w:highlight w:val="none"/>
                <w:u w:val="none"/>
              </w:rPr>
              <w:t>支付结算-国际结算组件，信贷业务管理</w:t>
            </w:r>
          </w:p>
        </w:tc>
      </w:tr>
    </w:tbl>
    <w:p>
      <w:pPr>
        <w:pStyle w:val="18"/>
        <w:keepNext/>
        <w:keepLines/>
        <w:pageBreakBefore w:val="0"/>
        <w:widowControl w:val="0"/>
        <w:kinsoku/>
        <w:wordWrap/>
        <w:overflowPunct/>
        <w:topLinePunct w:val="0"/>
        <w:autoSpaceDE/>
        <w:autoSpaceDN/>
        <w:bidi w:val="0"/>
        <w:adjustRightInd w:val="0"/>
        <w:snapToGrid/>
        <w:spacing w:before="0" w:beforeLines="0" w:after="0" w:afterLines="0" w:line="560" w:lineRule="exact"/>
        <w:ind w:firstLine="640" w:firstLineChars="200"/>
        <w:textAlignment w:val="baseline"/>
        <w:outlineLvl w:val="0"/>
        <w:rPr>
          <w:rFonts w:ascii="Times New Roman" w:hAnsi="Times New Roman" w:eastAsia="仿宋_GB2312"/>
          <w:b w:val="0"/>
          <w:bCs w:val="0"/>
          <w:color w:val="auto"/>
          <w:sz w:val="32"/>
          <w:highlight w:val="none"/>
        </w:rPr>
      </w:pPr>
      <w:bookmarkStart w:id="10" w:name="_Toc287"/>
      <w:r>
        <w:rPr>
          <w:rFonts w:hint="eastAsia" w:ascii="Times New Roman" w:hAnsi="黑体" w:eastAsia="黑体"/>
          <w:b w:val="0"/>
          <w:bCs w:val="0"/>
          <w:color w:val="auto"/>
          <w:sz w:val="32"/>
          <w:highlight w:val="none"/>
          <w:lang w:val="en-US" w:eastAsia="zh-CN"/>
        </w:rPr>
        <w:t>五</w:t>
      </w:r>
      <w:r>
        <w:rPr>
          <w:rFonts w:ascii="Times New Roman" w:hAnsi="黑体" w:eastAsia="黑体"/>
          <w:b w:val="0"/>
          <w:bCs w:val="0"/>
          <w:color w:val="auto"/>
          <w:sz w:val="32"/>
          <w:highlight w:val="none"/>
        </w:rPr>
        <w:t>、服务要求</w:t>
      </w:r>
      <w:bookmarkEnd w:id="8"/>
      <w:bookmarkEnd w:id="10"/>
    </w:p>
    <w:p>
      <w:pPr>
        <w:pStyle w:val="9"/>
        <w:pageBreakBefore w:val="0"/>
        <w:numPr>
          <w:ilvl w:val="0"/>
          <w:numId w:val="0"/>
        </w:numPr>
        <w:kinsoku/>
        <w:wordWrap/>
        <w:overflowPunct/>
        <w:topLinePunct w:val="0"/>
        <w:autoSpaceDE/>
        <w:autoSpaceDN/>
        <w:bidi w:val="0"/>
        <w:adjustRightInd w:val="0"/>
        <w:snapToGrid/>
        <w:spacing w:line="560" w:lineRule="exact"/>
        <w:ind w:firstLine="640" w:firstLineChars="200"/>
        <w:rPr>
          <w:rFonts w:hint="eastAsia" w:ascii="楷体_GB2312" w:hAnsi="楷体_GB2312" w:eastAsia="楷体_GB2312" w:cs="楷体_GB2312"/>
          <w:color w:val="auto"/>
          <w:sz w:val="32"/>
          <w:szCs w:val="28"/>
          <w:highlight w:val="none"/>
          <w:lang w:val="en-US" w:eastAsia="zh-CN"/>
        </w:rPr>
      </w:pPr>
      <w:r>
        <w:rPr>
          <w:rFonts w:hint="eastAsia" w:ascii="楷体_GB2312" w:hAnsi="楷体_GB2312" w:eastAsia="楷体_GB2312" w:cs="楷体_GB2312"/>
          <w:b w:val="0"/>
          <w:bCs w:val="0"/>
          <w:color w:val="auto"/>
          <w:sz w:val="32"/>
          <w:highlight w:val="none"/>
          <w:lang w:eastAsia="zh-CN"/>
        </w:rPr>
        <w:t>（</w:t>
      </w:r>
      <w:r>
        <w:rPr>
          <w:rFonts w:hint="eastAsia" w:ascii="楷体_GB2312" w:hAnsi="楷体_GB2312" w:eastAsia="楷体_GB2312" w:cs="楷体_GB2312"/>
          <w:b w:val="0"/>
          <w:bCs w:val="0"/>
          <w:color w:val="auto"/>
          <w:sz w:val="32"/>
          <w:highlight w:val="none"/>
          <w:lang w:val="en-US" w:eastAsia="zh-CN"/>
        </w:rPr>
        <w:t>一</w:t>
      </w:r>
      <w:r>
        <w:rPr>
          <w:rFonts w:hint="eastAsia" w:ascii="楷体_GB2312" w:hAnsi="楷体_GB2312" w:eastAsia="楷体_GB2312" w:cs="楷体_GB2312"/>
          <w:b w:val="0"/>
          <w:bCs w:val="0"/>
          <w:color w:val="auto"/>
          <w:sz w:val="32"/>
          <w:highlight w:val="none"/>
          <w:lang w:eastAsia="zh-CN"/>
        </w:rPr>
        <w:t>）</w:t>
      </w:r>
      <w:r>
        <w:rPr>
          <w:rFonts w:hint="eastAsia" w:ascii="楷体_GB2312" w:hAnsi="楷体_GB2312" w:eastAsia="楷体_GB2312" w:cs="楷体_GB2312"/>
          <w:b w:val="0"/>
          <w:bCs w:val="0"/>
          <w:color w:val="auto"/>
          <w:sz w:val="32"/>
          <w:highlight w:val="none"/>
          <w:lang w:val="en-US" w:eastAsia="zh-CN"/>
        </w:rPr>
        <w:t>服务</w:t>
      </w:r>
      <w:r>
        <w:rPr>
          <w:rFonts w:hint="eastAsia" w:ascii="楷体_GB2312" w:hAnsi="楷体_GB2312" w:eastAsia="楷体_GB2312" w:cs="楷体_GB2312"/>
          <w:color w:val="auto"/>
          <w:sz w:val="32"/>
          <w:szCs w:val="28"/>
          <w:highlight w:val="none"/>
          <w:lang w:val="en-US" w:eastAsia="zh-CN"/>
        </w:rPr>
        <w:t>要求</w:t>
      </w:r>
    </w:p>
    <w:p>
      <w:pPr>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bookmarkStart w:id="11" w:name="_Toc36545096"/>
      <w:r>
        <w:rPr>
          <w:rFonts w:hint="eastAsia" w:ascii="仿宋_GB2312" w:hAnsi="仿宋_GB2312" w:eastAsia="仿宋_GB2312" w:cs="仿宋_GB2312"/>
          <w:color w:val="auto"/>
          <w:sz w:val="32"/>
          <w:szCs w:val="32"/>
          <w:highlight w:val="none"/>
          <w:lang w:val="en-US" w:eastAsia="zh-CN"/>
        </w:rPr>
        <w:t>1.总体要求</w:t>
      </w:r>
    </w:p>
    <w:p>
      <w:pPr>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供应商应向我行提供客户化软件及项目涉及的已有系统中客户化部分的目标程序及全部源代码，以及为实现项目需求引入的产品软件的目标程序及全部源代码。源代码提供方式由双方协商确定。</w:t>
      </w:r>
    </w:p>
    <w:p>
      <w:pPr>
        <w:pageBreakBefore w:val="0"/>
        <w:widowControl/>
        <w:kinsoku/>
        <w:wordWrap/>
        <w:overflowPunct/>
        <w:topLinePunct w:val="0"/>
        <w:autoSpaceDE/>
        <w:autoSpaceDN/>
        <w:bidi w:val="0"/>
        <w:snapToGrid/>
        <w:spacing w:line="560" w:lineRule="exact"/>
        <w:ind w:left="0" w:leftChars="0" w:firstLine="640" w:firstLineChars="200"/>
        <w:jc w:val="lef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保证能够满足项目实施全生命周期中对开发、测试的要求，并支持通过开发实现对未来业务和技术功能的扩展。</w:t>
      </w:r>
    </w:p>
    <w:p>
      <w:pPr>
        <w:pageBreakBefore w:val="0"/>
        <w:widowControl/>
        <w:kinsoku/>
        <w:wordWrap/>
        <w:overflowPunct/>
        <w:topLinePunct w:val="0"/>
        <w:autoSpaceDE/>
        <w:autoSpaceDN/>
        <w:bidi w:val="0"/>
        <w:snapToGrid/>
        <w:spacing w:line="560" w:lineRule="exact"/>
        <w:ind w:left="0" w:leftChars="0" w:firstLine="640" w:firstLineChars="200"/>
        <w:jc w:val="left"/>
        <w:rPr>
          <w:rFonts w:hint="eastAsia" w:ascii="仿宋_GB2312" w:hAnsi="仿宋_GB2312" w:eastAsia="仿宋_GB2312" w:cs="仿宋_GB2312"/>
          <w:color w:val="auto"/>
          <w:sz w:val="32"/>
          <w:szCs w:val="28"/>
          <w:highlight w:val="none"/>
          <w:lang w:val="en-US" w:eastAsia="zh-CN"/>
        </w:rPr>
      </w:pPr>
      <w:r>
        <w:rPr>
          <w:rFonts w:hint="default" w:hAnsi="楷体" w:eastAsia="仿宋_GB2312" w:cs="Times New Roman"/>
          <w:color w:val="auto"/>
          <w:sz w:val="32"/>
          <w:szCs w:val="28"/>
          <w:highlight w:val="none"/>
          <w:lang w:val="en-US" w:eastAsia="zh-CN"/>
        </w:rPr>
        <w:t>为项目配备具有相关资质、技能和经验的技术服务人员，提供所需的信息技术服务。</w:t>
      </w:r>
      <w:r>
        <w:rPr>
          <w:rFonts w:hint="eastAsia" w:ascii="仿宋_GB2312" w:hAnsi="仿宋_GB2312" w:eastAsia="仿宋_GB2312" w:cs="仿宋_GB2312"/>
          <w:color w:val="auto"/>
          <w:sz w:val="32"/>
          <w:szCs w:val="28"/>
          <w:highlight w:val="none"/>
          <w:lang w:val="en-US" w:eastAsia="zh-CN"/>
        </w:rPr>
        <w:t>在人员供给方面，应高效及时提供满足我行要求的高质量人力资源，并且</w:t>
      </w:r>
      <w:r>
        <w:rPr>
          <w:rFonts w:hint="default" w:ascii="Times New Roman" w:hAnsi="楷体" w:eastAsia="仿宋_GB2312"/>
          <w:color w:val="auto"/>
          <w:sz w:val="32"/>
          <w:szCs w:val="28"/>
          <w:highlight w:val="none"/>
          <w:lang w:eastAsia="zh-CN"/>
        </w:rPr>
        <w:t>供应商</w:t>
      </w:r>
      <w:r>
        <w:rPr>
          <w:rFonts w:hint="eastAsia" w:ascii="仿宋_GB2312" w:hAnsi="仿宋_GB2312" w:eastAsia="仿宋_GB2312" w:cs="仿宋_GB2312"/>
          <w:color w:val="auto"/>
          <w:sz w:val="32"/>
          <w:szCs w:val="28"/>
          <w:highlight w:val="none"/>
          <w:lang w:val="en-US" w:eastAsia="zh-CN"/>
        </w:rPr>
        <w:t>应该具备此类人力资源的储备，保证满足我行各项业务需求的开发质量及时间要求。在人员稳定性方面，应有效保障服务队伍的稳定性，以确保服务质量。在人员培训方面，应定期对服务人员进行内部培训，以使人员不断补充提高服务技能。</w:t>
      </w:r>
    </w:p>
    <w:bookmarkEnd w:id="11"/>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hAnsi="楷体" w:eastAsia="仿宋_GB2312"/>
          <w:color w:val="auto"/>
          <w:sz w:val="32"/>
          <w:szCs w:val="28"/>
          <w:highlight w:val="none"/>
          <w:lang w:eastAsia="zh-CN"/>
        </w:rPr>
      </w:pPr>
      <w:r>
        <w:rPr>
          <w:rFonts w:hint="default" w:ascii="Times New Roman" w:hAnsi="楷体" w:eastAsia="仿宋_GB2312"/>
          <w:color w:val="auto"/>
          <w:sz w:val="32"/>
          <w:szCs w:val="28"/>
          <w:highlight w:val="none"/>
          <w:lang w:eastAsia="zh-CN"/>
        </w:rPr>
        <w:t>供应商</w:t>
      </w:r>
      <w:r>
        <w:rPr>
          <w:rFonts w:hint="default" w:ascii="Times New Roman" w:hAnsi="楷体" w:eastAsia="仿宋_GB2312"/>
          <w:color w:val="auto"/>
          <w:sz w:val="32"/>
          <w:szCs w:val="28"/>
          <w:highlight w:val="none"/>
        </w:rPr>
        <w:t>通过电话、电子邮件、传真等</w:t>
      </w:r>
      <w:r>
        <w:rPr>
          <w:rFonts w:hint="eastAsia" w:hAnsi="楷体" w:eastAsia="仿宋_GB2312"/>
          <w:color w:val="auto"/>
          <w:sz w:val="32"/>
          <w:szCs w:val="28"/>
          <w:highlight w:val="none"/>
          <w:lang w:val="en-US" w:eastAsia="zh-CN"/>
        </w:rPr>
        <w:t>可能必要</w:t>
      </w:r>
      <w:r>
        <w:rPr>
          <w:rFonts w:hint="default" w:ascii="Times New Roman" w:hAnsi="楷体" w:eastAsia="仿宋_GB2312"/>
          <w:color w:val="auto"/>
          <w:sz w:val="32"/>
          <w:szCs w:val="28"/>
          <w:highlight w:val="none"/>
        </w:rPr>
        <w:t>方式向</w:t>
      </w:r>
      <w:r>
        <w:rPr>
          <w:rFonts w:hint="eastAsia" w:hAnsi="楷体" w:eastAsia="仿宋_GB2312"/>
          <w:color w:val="auto"/>
          <w:sz w:val="32"/>
          <w:szCs w:val="28"/>
          <w:highlight w:val="none"/>
          <w:lang w:val="en-US" w:eastAsia="zh-CN"/>
        </w:rPr>
        <w:t>我</w:t>
      </w:r>
      <w:r>
        <w:rPr>
          <w:rFonts w:hint="default" w:ascii="Times New Roman" w:hAnsi="楷体" w:eastAsia="仿宋_GB2312"/>
          <w:color w:val="auto"/>
          <w:sz w:val="32"/>
          <w:szCs w:val="28"/>
          <w:highlight w:val="none"/>
        </w:rPr>
        <w:t>行提供远程技术支持，</w:t>
      </w:r>
      <w:r>
        <w:rPr>
          <w:rFonts w:hint="eastAsia" w:hAnsi="楷体" w:eastAsia="仿宋_GB2312"/>
          <w:color w:val="auto"/>
          <w:sz w:val="32"/>
          <w:szCs w:val="28"/>
          <w:highlight w:val="none"/>
          <w:lang w:val="en-US" w:eastAsia="zh-CN"/>
        </w:rPr>
        <w:t>及时</w:t>
      </w:r>
      <w:r>
        <w:rPr>
          <w:rFonts w:hint="default" w:ascii="Times New Roman" w:hAnsi="楷体" w:eastAsia="仿宋_GB2312"/>
          <w:color w:val="auto"/>
          <w:sz w:val="32"/>
          <w:szCs w:val="28"/>
          <w:highlight w:val="none"/>
        </w:rPr>
        <w:t>响应</w:t>
      </w:r>
      <w:r>
        <w:rPr>
          <w:rFonts w:hint="eastAsia" w:hAnsi="楷体" w:eastAsia="仿宋_GB2312"/>
          <w:color w:val="auto"/>
          <w:sz w:val="32"/>
          <w:szCs w:val="28"/>
          <w:highlight w:val="none"/>
          <w:lang w:val="en-US" w:eastAsia="zh-CN"/>
        </w:rPr>
        <w:t>我行</w:t>
      </w:r>
      <w:r>
        <w:rPr>
          <w:rFonts w:hint="default" w:ascii="Times New Roman" w:hAnsi="楷体" w:eastAsia="仿宋_GB2312"/>
          <w:color w:val="auto"/>
          <w:sz w:val="32"/>
          <w:szCs w:val="28"/>
          <w:highlight w:val="none"/>
        </w:rPr>
        <w:t>服务请求</w:t>
      </w:r>
      <w:r>
        <w:rPr>
          <w:rFonts w:hint="eastAsia" w:ascii="Times New Roman" w:hAnsi="楷体" w:eastAsia="仿宋_GB2312"/>
          <w:color w:val="auto"/>
          <w:sz w:val="32"/>
          <w:szCs w:val="28"/>
          <w:highlight w:val="none"/>
          <w:lang w:eastAsia="zh-CN"/>
        </w:rPr>
        <w:t>，</w:t>
      </w:r>
      <w:r>
        <w:rPr>
          <w:rFonts w:hint="default" w:ascii="Times New Roman" w:hAnsi="楷体" w:eastAsia="仿宋_GB2312"/>
          <w:color w:val="auto"/>
          <w:sz w:val="32"/>
          <w:szCs w:val="28"/>
          <w:highlight w:val="none"/>
        </w:rPr>
        <w:t>必要时协商提供人员现场服务支持</w:t>
      </w:r>
      <w:r>
        <w:rPr>
          <w:rFonts w:hint="eastAsia" w:hAnsi="楷体" w:eastAsia="仿宋_GB2312"/>
          <w:color w:val="auto"/>
          <w:sz w:val="32"/>
          <w:szCs w:val="28"/>
          <w:highlight w:val="none"/>
          <w:lang w:eastAsia="zh-CN"/>
        </w:rPr>
        <w:t>。</w:t>
      </w:r>
    </w:p>
    <w:p>
      <w:pPr>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2.服务指标</w:t>
      </w:r>
    </w:p>
    <w:p>
      <w:pPr>
        <w:pStyle w:val="9"/>
        <w:pageBreakBefore w:val="0"/>
        <w:numPr>
          <w:ilvl w:val="0"/>
          <w:numId w:val="0"/>
        </w:numPr>
        <w:kinsoku/>
        <w:wordWrap/>
        <w:overflowPunct/>
        <w:topLinePunct w:val="0"/>
        <w:autoSpaceDE/>
        <w:autoSpaceDN/>
        <w:bidi w:val="0"/>
        <w:adjustRightInd w:val="0"/>
        <w:snapToGrid/>
        <w:spacing w:line="560" w:lineRule="exact"/>
        <w:ind w:firstLine="640" w:firstLineChars="200"/>
        <w:rPr>
          <w:rFonts w:hint="default" w:hAnsi="楷体" w:eastAsia="仿宋_GB2312"/>
          <w:sz w:val="32"/>
          <w:szCs w:val="28"/>
          <w:highlight w:val="none"/>
          <w:lang w:val="en-US" w:eastAsia="zh-CN"/>
        </w:rPr>
      </w:pPr>
      <w:r>
        <w:rPr>
          <w:rFonts w:hint="eastAsia" w:hAnsi="楷体" w:eastAsia="仿宋_GB2312"/>
          <w:sz w:val="32"/>
          <w:szCs w:val="28"/>
          <w:highlight w:val="none"/>
          <w:lang w:val="en-US" w:eastAsia="zh-CN"/>
        </w:rPr>
        <w:t>服务内容及标准如下：</w:t>
      </w:r>
    </w:p>
    <w:tbl>
      <w:tblPr>
        <w:tblStyle w:val="22"/>
        <w:tblW w:w="8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1332"/>
        <w:gridCol w:w="722"/>
        <w:gridCol w:w="5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9" w:type="dxa"/>
            <w:noWrap w:val="0"/>
            <w:vAlign w:val="top"/>
          </w:tcPr>
          <w:p>
            <w:pPr>
              <w:jc w:val="center"/>
              <w:rPr>
                <w:rFonts w:eastAsia="仿宋_GB2312"/>
                <w:b/>
                <w:bCs/>
                <w:sz w:val="24"/>
                <w:szCs w:val="22"/>
                <w:highlight w:val="none"/>
              </w:rPr>
            </w:pPr>
            <w:r>
              <w:rPr>
                <w:rFonts w:hAnsi="楷体" w:eastAsia="仿宋_GB2312"/>
                <w:b/>
                <w:bCs/>
                <w:sz w:val="24"/>
                <w:szCs w:val="22"/>
                <w:highlight w:val="none"/>
              </w:rPr>
              <w:t>序号</w:t>
            </w:r>
          </w:p>
        </w:tc>
        <w:tc>
          <w:tcPr>
            <w:tcW w:w="1332" w:type="dxa"/>
            <w:noWrap w:val="0"/>
            <w:vAlign w:val="top"/>
          </w:tcPr>
          <w:p>
            <w:pPr>
              <w:jc w:val="center"/>
              <w:rPr>
                <w:rFonts w:eastAsia="仿宋_GB2312"/>
                <w:b/>
                <w:bCs/>
                <w:sz w:val="24"/>
                <w:szCs w:val="22"/>
                <w:highlight w:val="none"/>
              </w:rPr>
            </w:pPr>
            <w:r>
              <w:rPr>
                <w:rFonts w:hAnsi="楷体" w:eastAsia="仿宋_GB2312"/>
                <w:b/>
                <w:bCs/>
                <w:sz w:val="24"/>
                <w:szCs w:val="22"/>
                <w:highlight w:val="none"/>
              </w:rPr>
              <w:t>服务要求项目</w:t>
            </w:r>
          </w:p>
        </w:tc>
        <w:tc>
          <w:tcPr>
            <w:tcW w:w="722" w:type="dxa"/>
            <w:noWrap w:val="0"/>
            <w:vAlign w:val="top"/>
          </w:tcPr>
          <w:p>
            <w:pPr>
              <w:jc w:val="center"/>
              <w:rPr>
                <w:rFonts w:eastAsia="仿宋_GB2312"/>
                <w:b/>
                <w:bCs/>
                <w:sz w:val="24"/>
                <w:szCs w:val="22"/>
                <w:highlight w:val="none"/>
              </w:rPr>
            </w:pPr>
            <w:r>
              <w:rPr>
                <w:rFonts w:hAnsi="楷体" w:eastAsia="仿宋_GB2312"/>
                <w:b/>
                <w:bCs/>
                <w:sz w:val="24"/>
                <w:szCs w:val="22"/>
                <w:highlight w:val="none"/>
              </w:rPr>
              <w:t>重要性</w:t>
            </w:r>
          </w:p>
        </w:tc>
        <w:tc>
          <w:tcPr>
            <w:tcW w:w="5857" w:type="dxa"/>
            <w:noWrap w:val="0"/>
            <w:vAlign w:val="center"/>
          </w:tcPr>
          <w:p>
            <w:pPr>
              <w:jc w:val="center"/>
              <w:rPr>
                <w:rFonts w:eastAsia="仿宋_GB2312"/>
                <w:b/>
                <w:bCs/>
                <w:sz w:val="24"/>
                <w:szCs w:val="22"/>
                <w:highlight w:val="none"/>
              </w:rPr>
            </w:pPr>
            <w:r>
              <w:rPr>
                <w:rFonts w:hAnsi="楷体" w:eastAsia="仿宋_GB2312"/>
                <w:b/>
                <w:bCs/>
                <w:sz w:val="24"/>
                <w:szCs w:val="22"/>
                <w:highlight w:val="none"/>
              </w:rPr>
              <w:t>服务要求标准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619"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1</w:t>
            </w:r>
          </w:p>
        </w:tc>
        <w:tc>
          <w:tcPr>
            <w:tcW w:w="1332"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仿宋_GB2312" w:hAnsi="仿宋_GB2312" w:eastAsia="仿宋_GB2312" w:cs="仿宋_GB2312"/>
                <w:b w:val="0"/>
                <w:bCs w:val="0"/>
                <w:sz w:val="24"/>
                <w:szCs w:val="22"/>
                <w:highlight w:val="none"/>
                <w:lang w:val="en-US" w:eastAsia="zh-CN"/>
              </w:rPr>
            </w:pPr>
            <w:r>
              <w:rPr>
                <w:rFonts w:hint="eastAsia" w:ascii="仿宋_GB2312" w:hAnsi="仿宋_GB2312" w:eastAsia="仿宋_GB2312" w:cs="仿宋_GB2312"/>
                <w:b w:val="0"/>
                <w:bCs w:val="0"/>
                <w:sz w:val="24"/>
                <w:szCs w:val="22"/>
                <w:highlight w:val="none"/>
                <w:lang w:val="en-US" w:eastAsia="zh-CN"/>
              </w:rPr>
              <w:t>实施能力</w:t>
            </w:r>
          </w:p>
        </w:tc>
        <w:tc>
          <w:tcPr>
            <w:tcW w:w="722"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585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int="eastAsia"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供应商需已具备本项目涉及系统（具体系统范围见四、技术要求部分）的自主开发及实施能力，我行不提供任何系统培训和材料。</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int="default"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对本项目中涉及代码改造的系统，供应商需提供以往相同系统实施案例作为实施能力证明，提供材料（包括但不限于商务合同、工作说明书、验收报告等）的内容应能够直观体现供应商对该系统的功能改造能力。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jc w:val="center"/>
        </w:trPr>
        <w:tc>
          <w:tcPr>
            <w:tcW w:w="619"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2</w:t>
            </w:r>
          </w:p>
        </w:tc>
        <w:tc>
          <w:tcPr>
            <w:tcW w:w="1332"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b w:val="0"/>
                <w:bCs w:val="0"/>
                <w:sz w:val="24"/>
                <w:szCs w:val="22"/>
                <w:highlight w:val="none"/>
                <w:lang w:val="en-US" w:eastAsia="zh-CN"/>
              </w:rPr>
            </w:pPr>
            <w:r>
              <w:rPr>
                <w:rFonts w:hint="eastAsia" w:ascii="仿宋_GB2312" w:hAnsi="仿宋_GB2312" w:eastAsia="仿宋_GB2312" w:cs="仿宋_GB2312"/>
                <w:b w:val="0"/>
                <w:bCs w:val="0"/>
                <w:sz w:val="24"/>
                <w:szCs w:val="22"/>
                <w:highlight w:val="none"/>
                <w:lang w:val="en-US" w:eastAsia="zh-CN"/>
              </w:rPr>
              <w:t>源代码</w:t>
            </w:r>
          </w:p>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b w:val="0"/>
                <w:bCs w:val="0"/>
                <w:sz w:val="24"/>
                <w:szCs w:val="22"/>
                <w:highlight w:val="none"/>
                <w:lang w:eastAsia="zh-CN"/>
              </w:rPr>
              <w:t>要求</w:t>
            </w:r>
          </w:p>
        </w:tc>
        <w:tc>
          <w:tcPr>
            <w:tcW w:w="722"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585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int="default"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eastAsia="zh-CN"/>
              </w:rPr>
              <w:t>向我行提供客户化软件及</w:t>
            </w:r>
            <w:r>
              <w:rPr>
                <w:rFonts w:hint="eastAsia" w:ascii="仿宋_GB2312" w:hAnsi="仿宋_GB2312" w:eastAsia="仿宋_GB2312" w:cs="仿宋_GB2312"/>
                <w:sz w:val="24"/>
                <w:szCs w:val="22"/>
                <w:highlight w:val="none"/>
                <w:lang w:val="en-US" w:eastAsia="zh-CN"/>
              </w:rPr>
              <w:t>项目涉及的已有</w:t>
            </w:r>
            <w:r>
              <w:rPr>
                <w:rFonts w:hint="eastAsia" w:ascii="仿宋_GB2312" w:hAnsi="仿宋_GB2312" w:eastAsia="仿宋_GB2312" w:cs="仿宋_GB2312"/>
                <w:sz w:val="24"/>
                <w:szCs w:val="22"/>
                <w:highlight w:val="none"/>
                <w:lang w:eastAsia="zh-CN"/>
              </w:rPr>
              <w:t>系统中客户化部分的目标程序及全部源代码，以及</w:t>
            </w:r>
            <w:r>
              <w:rPr>
                <w:rFonts w:hint="eastAsia" w:ascii="仿宋_GB2312" w:hAnsi="仿宋_GB2312" w:eastAsia="仿宋_GB2312" w:cs="仿宋_GB2312"/>
                <w:sz w:val="24"/>
                <w:szCs w:val="22"/>
                <w:highlight w:val="none"/>
                <w:lang w:val="en-US" w:eastAsia="zh-CN"/>
              </w:rPr>
              <w:t>为实现项目需求引入的</w:t>
            </w:r>
            <w:r>
              <w:rPr>
                <w:rFonts w:hint="eastAsia" w:ascii="仿宋_GB2312" w:hAnsi="仿宋_GB2312" w:eastAsia="仿宋_GB2312" w:cs="仿宋_GB2312"/>
                <w:sz w:val="24"/>
                <w:szCs w:val="22"/>
                <w:highlight w:val="none"/>
                <w:lang w:eastAsia="zh-CN"/>
              </w:rPr>
              <w:t>产品软件的目标程序及全部源代码。</w:t>
            </w:r>
            <w:r>
              <w:rPr>
                <w:rFonts w:hint="eastAsia" w:ascii="仿宋_GB2312" w:hAnsi="仿宋_GB2312" w:eastAsia="仿宋_GB2312" w:cs="仿宋_GB2312"/>
                <w:sz w:val="24"/>
                <w:szCs w:val="22"/>
                <w:highlight w:val="none"/>
                <w:lang w:val="en-US" w:eastAsia="zh-CN"/>
              </w:rPr>
              <w:t>源代码提供方式由双方协商确定。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619"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3</w:t>
            </w:r>
          </w:p>
        </w:tc>
        <w:tc>
          <w:tcPr>
            <w:tcW w:w="1332"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仿宋_GB2312" w:hAnsi="仿宋_GB2312" w:eastAsia="仿宋_GB2312" w:cs="仿宋_GB2312"/>
                <w:b w:val="0"/>
                <w:bCs w:val="0"/>
                <w:sz w:val="24"/>
                <w:szCs w:val="22"/>
                <w:highlight w:val="none"/>
                <w:lang w:val="en-US" w:eastAsia="zh-CN"/>
              </w:rPr>
            </w:pPr>
            <w:r>
              <w:rPr>
                <w:rFonts w:hint="eastAsia" w:ascii="仿宋_GB2312" w:hAnsi="仿宋_GB2312" w:eastAsia="仿宋_GB2312" w:cs="仿宋_GB2312"/>
                <w:b w:val="0"/>
                <w:bCs w:val="0"/>
                <w:sz w:val="24"/>
                <w:szCs w:val="22"/>
                <w:highlight w:val="none"/>
                <w:lang w:val="en-US" w:eastAsia="zh-CN"/>
              </w:rPr>
              <w:t>方式要求</w:t>
            </w:r>
          </w:p>
        </w:tc>
        <w:tc>
          <w:tcPr>
            <w:tcW w:w="722"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585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int="default" w:ascii="仿宋_GB2312" w:hAnsi="仿宋_GB2312" w:eastAsia="仿宋_GB2312" w:cs="仿宋_GB2312"/>
                <w:sz w:val="24"/>
                <w:szCs w:val="22"/>
                <w:highlight w:val="none"/>
                <w:lang w:val="en-US"/>
              </w:rPr>
            </w:pPr>
            <w:r>
              <w:rPr>
                <w:rFonts w:hint="eastAsia" w:ascii="仿宋_GB2312" w:hAnsi="仿宋_GB2312" w:eastAsia="仿宋_GB2312" w:cs="仿宋_GB2312"/>
                <w:sz w:val="24"/>
                <w:szCs w:val="22"/>
                <w:highlight w:val="none"/>
                <w:lang w:val="en-US" w:eastAsia="zh-CN"/>
              </w:rPr>
              <w:t>在保持现有系统（具体系统范围见四、技术要求部分）整体架构和稳定运行的基础上进行本项目开发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19"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4</w:t>
            </w:r>
          </w:p>
        </w:tc>
        <w:tc>
          <w:tcPr>
            <w:tcW w:w="1332"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仿宋_GB2312" w:hAnsi="仿宋_GB2312" w:eastAsia="仿宋_GB2312" w:cs="仿宋_GB2312"/>
                <w:b w:val="0"/>
                <w:bCs w:val="0"/>
                <w:sz w:val="24"/>
                <w:szCs w:val="22"/>
                <w:highlight w:val="none"/>
                <w:lang w:val="en-US" w:eastAsia="zh-CN"/>
              </w:rPr>
            </w:pPr>
            <w:r>
              <w:rPr>
                <w:rFonts w:hint="eastAsia" w:ascii="仿宋_GB2312" w:hAnsi="仿宋_GB2312" w:eastAsia="仿宋_GB2312" w:cs="仿宋_GB2312"/>
                <w:b w:val="0"/>
                <w:bCs w:val="0"/>
                <w:sz w:val="24"/>
                <w:szCs w:val="22"/>
                <w:highlight w:val="none"/>
                <w:lang w:val="en-US" w:eastAsia="zh-CN"/>
              </w:rPr>
              <w:t>上线要求</w:t>
            </w:r>
          </w:p>
        </w:tc>
        <w:tc>
          <w:tcPr>
            <w:tcW w:w="722"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w:t>
            </w:r>
          </w:p>
        </w:tc>
        <w:tc>
          <w:tcPr>
            <w:tcW w:w="585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int="default"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全部需求于2026年10月底前投产上线。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9"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5</w:t>
            </w:r>
          </w:p>
        </w:tc>
        <w:tc>
          <w:tcPr>
            <w:tcW w:w="1332"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2"/>
                <w:highlight w:val="none"/>
              </w:rPr>
            </w:pPr>
            <w:r>
              <w:rPr>
                <w:rFonts w:hint="eastAsia" w:ascii="仿宋_GB2312" w:hAnsi="仿宋_GB2312" w:eastAsia="仿宋_GB2312" w:cs="仿宋_GB2312"/>
                <w:kern w:val="2"/>
                <w:sz w:val="24"/>
                <w:szCs w:val="22"/>
                <w:highlight w:val="none"/>
              </w:rPr>
              <w:t>故障处理</w:t>
            </w:r>
          </w:p>
        </w:tc>
        <w:tc>
          <w:tcPr>
            <w:tcW w:w="722"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rPr>
              <w:t>＃</w:t>
            </w:r>
          </w:p>
        </w:tc>
        <w:tc>
          <w:tcPr>
            <w:tcW w:w="5857" w:type="dxa"/>
            <w:noWrap w:val="0"/>
            <w:vAlign w:val="top"/>
          </w:tcPr>
          <w:p>
            <w:pPr>
              <w:pStyle w:val="10"/>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Chars="0" w:firstLine="480" w:firstLineChars="200"/>
              <w:jc w:val="left"/>
              <w:textAlignment w:val="auto"/>
              <w:rPr>
                <w:rFonts w:hint="eastAsia" w:ascii="仿宋_GB2312" w:hAnsi="仿宋_GB2312" w:eastAsia="仿宋_GB2312" w:cs="仿宋_GB2312"/>
                <w:sz w:val="24"/>
                <w:szCs w:val="22"/>
                <w:highlight w:val="none"/>
                <w:lang w:val="en-US"/>
              </w:rPr>
            </w:pPr>
            <w:r>
              <w:rPr>
                <w:rFonts w:hint="eastAsia" w:ascii="仿宋_GB2312" w:hAnsi="仿宋_GB2312" w:eastAsia="仿宋_GB2312" w:cs="仿宋_GB2312"/>
                <w:sz w:val="24"/>
                <w:szCs w:val="22"/>
                <w:highlight w:val="none"/>
                <w:lang w:val="en-US" w:eastAsia="zh-CN"/>
              </w:rPr>
              <w:t>供应商</w:t>
            </w:r>
            <w:r>
              <w:rPr>
                <w:rFonts w:hint="eastAsia" w:ascii="仿宋_GB2312" w:hAnsi="仿宋_GB2312" w:eastAsia="仿宋_GB2312" w:cs="仿宋_GB2312"/>
                <w:sz w:val="24"/>
                <w:szCs w:val="22"/>
                <w:highlight w:val="none"/>
                <w:lang w:val="en-US"/>
              </w:rPr>
              <w:t>通过标准化的操作流程进行软件的故障诊断和排除；配合其他条线进行故障处理。</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Chars="0" w:firstLine="480" w:firstLineChars="200"/>
              <w:jc w:val="left"/>
              <w:textAlignment w:val="auto"/>
              <w:rPr>
                <w:rFonts w:hint="eastAsia"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rPr>
              <w:t>响应时限：（&lt;</w:t>
            </w:r>
            <w:r>
              <w:rPr>
                <w:rFonts w:hint="eastAsia" w:ascii="仿宋_GB2312" w:hAnsi="仿宋_GB2312" w:eastAsia="仿宋_GB2312" w:cs="仿宋_GB2312"/>
                <w:sz w:val="24"/>
                <w:szCs w:val="22"/>
                <w:highlight w:val="none"/>
                <w:lang w:val="en-US" w:eastAsia="zh-CN"/>
              </w:rPr>
              <w:t>15</w:t>
            </w:r>
            <w:r>
              <w:rPr>
                <w:rFonts w:hint="eastAsia" w:ascii="仿宋_GB2312" w:hAnsi="仿宋_GB2312" w:eastAsia="仿宋_GB2312" w:cs="仿宋_GB2312"/>
                <w:sz w:val="24"/>
                <w:szCs w:val="22"/>
                <w:highlight w:val="none"/>
                <w:lang w:val="en-US"/>
              </w:rPr>
              <w:t>）</w:t>
            </w:r>
            <w:r>
              <w:rPr>
                <w:rFonts w:hint="eastAsia" w:ascii="仿宋_GB2312" w:hAnsi="仿宋_GB2312" w:eastAsia="仿宋_GB2312" w:cs="仿宋_GB2312"/>
                <w:sz w:val="24"/>
                <w:szCs w:val="22"/>
                <w:highlight w:val="none"/>
                <w:lang w:val="en-US" w:eastAsia="zh-CN"/>
              </w:rPr>
              <w:t>分钟</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Chars="0" w:firstLine="480" w:firstLineChars="200"/>
              <w:jc w:val="left"/>
              <w:textAlignment w:val="auto"/>
              <w:rPr>
                <w:rFonts w:hint="eastAsia" w:ascii="仿宋_GB2312" w:hAnsi="仿宋_GB2312" w:eastAsia="仿宋_GB2312" w:cs="仿宋_GB2312"/>
                <w:sz w:val="24"/>
                <w:szCs w:val="22"/>
                <w:highlight w:val="none"/>
                <w:lang w:val="en-US"/>
              </w:rPr>
            </w:pPr>
            <w:r>
              <w:rPr>
                <w:rFonts w:hint="eastAsia" w:ascii="仿宋_GB2312" w:hAnsi="仿宋_GB2312" w:eastAsia="仿宋_GB2312" w:cs="仿宋_GB2312"/>
                <w:sz w:val="24"/>
                <w:szCs w:val="22"/>
                <w:highlight w:val="none"/>
                <w:lang w:val="en-US"/>
              </w:rPr>
              <w:t>到达现场时限：（&lt;2）小时</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Chars="0" w:firstLine="480" w:firstLineChars="200"/>
              <w:jc w:val="left"/>
              <w:textAlignment w:val="auto"/>
              <w:rPr>
                <w:rFonts w:hint="eastAsia" w:ascii="仿宋_GB2312" w:hAnsi="仿宋_GB2312" w:eastAsia="仿宋_GB2312" w:cs="仿宋_GB2312"/>
                <w:sz w:val="24"/>
                <w:szCs w:val="22"/>
                <w:highlight w:val="none"/>
                <w:lang w:val="en-US"/>
              </w:rPr>
            </w:pPr>
            <w:r>
              <w:rPr>
                <w:rFonts w:hint="eastAsia" w:ascii="仿宋_GB2312" w:hAnsi="仿宋_GB2312" w:eastAsia="仿宋_GB2312" w:cs="仿宋_GB2312"/>
                <w:sz w:val="24"/>
                <w:szCs w:val="22"/>
                <w:highlight w:val="none"/>
                <w:lang w:val="en-US"/>
              </w:rPr>
              <w:t>解决问题时限：（&lt;4）小时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619"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6</w:t>
            </w:r>
          </w:p>
        </w:tc>
        <w:tc>
          <w:tcPr>
            <w:tcW w:w="1332"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lang w:eastAsia="zh-CN"/>
              </w:rPr>
              <w:t>总体要求</w:t>
            </w:r>
          </w:p>
        </w:tc>
        <w:tc>
          <w:tcPr>
            <w:tcW w:w="722" w:type="dxa"/>
            <w:noWrap w:val="0"/>
            <w:vAlign w:val="top"/>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2"/>
                <w:highlight w:val="none"/>
                <w:lang w:val="en-US" w:eastAsia="zh-CN"/>
              </w:rPr>
            </w:pPr>
          </w:p>
        </w:tc>
        <w:tc>
          <w:tcPr>
            <w:tcW w:w="5857" w:type="dxa"/>
            <w:noWrap w:val="0"/>
            <w:vAlign w:val="top"/>
          </w:tcPr>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针对进出口银行业务特点阐述系统实施方法论，并结合方法论，描述完整、可行的系统整体技术方案</w:t>
            </w:r>
            <w:r>
              <w:rPr>
                <w:rFonts w:hint="eastAsia" w:ascii="仿宋_GB2312" w:hAnsi="仿宋_GB2312" w:eastAsia="仿宋_GB2312" w:cs="仿宋_GB2312"/>
                <w:sz w:val="24"/>
                <w:szCs w:val="22"/>
                <w:highlight w:val="none"/>
                <w:lang w:eastAsia="zh-CN"/>
              </w:rPr>
              <w:t>、</w:t>
            </w:r>
            <w:r>
              <w:rPr>
                <w:rFonts w:hint="eastAsia" w:ascii="仿宋_GB2312" w:hAnsi="仿宋_GB2312" w:eastAsia="仿宋_GB2312" w:cs="仿宋_GB2312"/>
                <w:sz w:val="24"/>
                <w:szCs w:val="22"/>
                <w:highlight w:val="none"/>
              </w:rPr>
              <w:t>实施方案，包括但不限于项目管理、需求确认、系统设计、系统开发、系统测试、系统切换、系统推广等方案，以及试运行策略。</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要求完成项目实施、测试及系统投产</w:t>
            </w:r>
            <w:r>
              <w:rPr>
                <w:rFonts w:hint="eastAsia" w:ascii="仿宋_GB2312" w:hAnsi="仿宋_GB2312" w:eastAsia="仿宋_GB2312" w:cs="仿宋_GB2312"/>
                <w:sz w:val="24"/>
                <w:szCs w:val="22"/>
                <w:highlight w:val="none"/>
                <w:lang w:val="en-US" w:eastAsia="zh-CN"/>
              </w:rPr>
              <w:t>等</w:t>
            </w:r>
            <w:r>
              <w:rPr>
                <w:rFonts w:hint="eastAsia" w:ascii="仿宋_GB2312" w:hAnsi="仿宋_GB2312" w:eastAsia="仿宋_GB2312" w:cs="仿宋_GB2312"/>
                <w:sz w:val="24"/>
                <w:szCs w:val="22"/>
                <w:highlight w:val="none"/>
              </w:rPr>
              <w:t>工作，并阐述系统的项目整体技术方案、实施方案、测试方案、系统投产方案</w:t>
            </w:r>
            <w:r>
              <w:rPr>
                <w:rFonts w:hint="eastAsia" w:ascii="仿宋_GB2312" w:hAnsi="仿宋_GB2312" w:eastAsia="仿宋_GB2312" w:cs="仿宋_GB2312"/>
                <w:sz w:val="24"/>
                <w:szCs w:val="22"/>
                <w:highlight w:val="none"/>
                <w:lang w:eastAsia="zh-CN"/>
              </w:rPr>
              <w:t>，</w:t>
            </w:r>
            <w:r>
              <w:rPr>
                <w:rFonts w:hint="eastAsia" w:ascii="仿宋_GB2312" w:hAnsi="仿宋_GB2312" w:eastAsia="仿宋_GB2312" w:cs="仿宋_GB2312"/>
                <w:sz w:val="24"/>
                <w:szCs w:val="22"/>
                <w:highlight w:val="none"/>
              </w:rPr>
              <w:t>根据需要附相应模板。对于其中进出口银行有模板要求的交付件，应使用要求的</w:t>
            </w:r>
            <w:r>
              <w:rPr>
                <w:rFonts w:hint="eastAsia" w:ascii="仿宋_GB2312" w:hAnsi="仿宋_GB2312" w:eastAsia="仿宋_GB2312" w:cs="仿宋_GB2312"/>
                <w:sz w:val="24"/>
                <w:szCs w:val="22"/>
                <w:highlight w:val="none"/>
                <w:lang w:eastAsia="zh-CN"/>
              </w:rPr>
              <w:t>模板</w:t>
            </w:r>
            <w:r>
              <w:rPr>
                <w:rFonts w:hint="eastAsia" w:ascii="仿宋_GB2312" w:hAnsi="仿宋_GB2312" w:eastAsia="仿宋_GB2312" w:cs="仿宋_GB2312"/>
                <w:sz w:val="24"/>
                <w:szCs w:val="22"/>
                <w:highlight w:val="none"/>
              </w:rPr>
              <w:t>进行编写。</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阐述项目实施的组织架构（其中应包含进出口银行人员），并描述实施预期的时间进度表，提供具有明确里程碑的项目实施计划。</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要求提供初步的验收测试计划以及充分的验收标准，并提供系统集成测试和投产测试的测试方案、测试案例和测试工具。</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lang w:eastAsia="zh-CN"/>
              </w:rPr>
              <w:t>供应商</w:t>
            </w:r>
            <w:r>
              <w:rPr>
                <w:rFonts w:hint="eastAsia" w:ascii="仿宋_GB2312" w:hAnsi="仿宋_GB2312" w:eastAsia="仿宋_GB2312" w:cs="仿宋_GB2312"/>
                <w:sz w:val="24"/>
                <w:szCs w:val="22"/>
                <w:highlight w:val="none"/>
              </w:rPr>
              <w:t>在本项目实施过程中，须服从进出口银行项目管理机构的管理。</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要求</w:t>
            </w:r>
            <w:r>
              <w:rPr>
                <w:rFonts w:hint="eastAsia" w:ascii="仿宋_GB2312" w:hAnsi="仿宋_GB2312" w:eastAsia="仿宋_GB2312" w:cs="仿宋_GB2312"/>
                <w:sz w:val="24"/>
                <w:szCs w:val="22"/>
                <w:highlight w:val="none"/>
                <w:lang w:eastAsia="zh-CN"/>
              </w:rPr>
              <w:t>供应商</w:t>
            </w:r>
            <w:r>
              <w:rPr>
                <w:rFonts w:hint="eastAsia" w:ascii="仿宋_GB2312" w:hAnsi="仿宋_GB2312" w:eastAsia="仿宋_GB2312" w:cs="仿宋_GB2312"/>
                <w:sz w:val="24"/>
                <w:szCs w:val="22"/>
                <w:highlight w:val="none"/>
              </w:rPr>
              <w:t>提供本项目中所有交付物清单</w:t>
            </w:r>
            <w:r>
              <w:rPr>
                <w:rFonts w:hint="eastAsia" w:ascii="仿宋_GB2312" w:hAnsi="仿宋_GB2312" w:eastAsia="仿宋_GB2312" w:cs="仿宋_GB2312"/>
                <w:sz w:val="24"/>
                <w:szCs w:val="22"/>
                <w:highlight w:val="none"/>
                <w:lang w:eastAsia="zh-CN"/>
              </w:rPr>
              <w:t>，</w:t>
            </w:r>
            <w:r>
              <w:rPr>
                <w:rFonts w:hint="eastAsia" w:ascii="仿宋_GB2312" w:hAnsi="仿宋_GB2312" w:eastAsia="仿宋_GB2312" w:cs="仿宋_GB2312"/>
                <w:sz w:val="24"/>
                <w:szCs w:val="22"/>
                <w:highlight w:val="none"/>
              </w:rPr>
              <w:t>包括但不限于项目文档、产品技术文档</w:t>
            </w:r>
            <w:r>
              <w:rPr>
                <w:rFonts w:hint="eastAsia" w:ascii="仿宋_GB2312" w:hAnsi="仿宋_GB2312" w:eastAsia="仿宋_GB2312" w:cs="仿宋_GB2312"/>
                <w:sz w:val="24"/>
                <w:szCs w:val="22"/>
                <w:highlight w:val="none"/>
                <w:lang w:eastAsia="zh-CN"/>
              </w:rPr>
              <w:t>（包括</w:t>
            </w:r>
            <w:r>
              <w:rPr>
                <w:rFonts w:hint="eastAsia" w:ascii="仿宋_GB2312" w:hAnsi="仿宋_GB2312" w:eastAsia="仿宋_GB2312" w:cs="仿宋_GB2312"/>
                <w:sz w:val="24"/>
                <w:szCs w:val="22"/>
                <w:highlight w:val="none"/>
                <w:lang w:val="en-US" w:eastAsia="zh-CN"/>
              </w:rPr>
              <w:t>平台/系统相关的接口和集成技术规范、设计规范等规范类文件，与整体技术方案一并纳入评审范围。如需外部专家参加评审的，供应商负责外部专家评审费用）</w:t>
            </w:r>
            <w:r>
              <w:rPr>
                <w:rFonts w:hint="eastAsia" w:ascii="仿宋_GB2312" w:hAnsi="仿宋_GB2312" w:eastAsia="仿宋_GB2312" w:cs="仿宋_GB2312"/>
                <w:sz w:val="24"/>
                <w:szCs w:val="22"/>
                <w:highlight w:val="none"/>
              </w:rPr>
              <w:t>、用户手册和系统管理手册。</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阐述系统故障应急预案，确保系统在突发状况后能够及时发现，补救，恢复。</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如果系统运行需要使用独立的中间件、数据库软件，应优先使用商业软件，原则上不允许使用开源软件。如有涉及第三方产品及服务，阐述相关产品及服务内容，报价及后期维护方式和费用。</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lang w:val="en-US" w:eastAsia="zh-CN"/>
              </w:rPr>
              <w:t>系</w:t>
            </w:r>
            <w:r>
              <w:rPr>
                <w:rFonts w:hint="eastAsia" w:ascii="仿宋_GB2312" w:hAnsi="仿宋_GB2312" w:eastAsia="仿宋_GB2312" w:cs="仿宋_GB2312"/>
                <w:sz w:val="24"/>
                <w:szCs w:val="22"/>
                <w:highlight w:val="none"/>
              </w:rPr>
              <w:t>统运行维护中对采用开源软件，视同应用系统组件，须由应用系统厂商提供后续运维支持，如运维相关手册、漏洞修复、补丁更新等内容，并按照我行相关制度规定，配合我行开展软件成分分析工作，负责本系统所引入开源软件的开源技术风险问题整改。在技术方案评审阶段，提供软件物料清单，如涉及开源软件引入和使用的，应按照</w:t>
            </w:r>
            <w:r>
              <w:rPr>
                <w:rFonts w:hint="eastAsia" w:ascii="仿宋_GB2312" w:hAnsi="仿宋_GB2312" w:eastAsia="仿宋_GB2312" w:cs="仿宋_GB2312"/>
                <w:sz w:val="24"/>
                <w:szCs w:val="22"/>
                <w:highlight w:val="none"/>
                <w:lang w:eastAsia="zh-CN"/>
              </w:rPr>
              <w:t>我行</w:t>
            </w:r>
            <w:r>
              <w:rPr>
                <w:rFonts w:hint="eastAsia" w:ascii="仿宋_GB2312" w:hAnsi="仿宋_GB2312" w:eastAsia="仿宋_GB2312" w:cs="仿宋_GB2312"/>
                <w:sz w:val="24"/>
                <w:szCs w:val="22"/>
                <w:highlight w:val="none"/>
              </w:rPr>
              <w:t>要求开展引入评审和使用备案后方可使用。提供后续对开源软件的维护及升级支持，纳入维保范围。</w:t>
            </w:r>
          </w:p>
          <w:p>
            <w:pPr>
              <w:pStyle w:val="10"/>
              <w:keepNext w:val="0"/>
              <w:keepLines w:val="0"/>
              <w:pageBreakBefore w:val="0"/>
              <w:kinsoku/>
              <w:wordWrap/>
              <w:overflowPunct/>
              <w:topLinePunct w:val="0"/>
              <w:autoSpaceDE/>
              <w:autoSpaceDN/>
              <w:bidi w:val="0"/>
              <w:adjustRightInd/>
              <w:snapToGrid/>
              <w:spacing w:after="0" w:line="320" w:lineRule="exact"/>
              <w:ind w:firstLine="480" w:firstLineChars="200"/>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项目所涉及系统的新建及升级改造应遵循</w:t>
            </w:r>
            <w:r>
              <w:rPr>
                <w:rFonts w:hint="eastAsia" w:ascii="仿宋_GB2312" w:hAnsi="仿宋_GB2312" w:eastAsia="仿宋_GB2312" w:cs="仿宋_GB2312"/>
                <w:sz w:val="24"/>
                <w:szCs w:val="22"/>
                <w:highlight w:val="none"/>
                <w:lang w:eastAsia="zh-CN"/>
              </w:rPr>
              <w:t>我行</w:t>
            </w:r>
            <w:r>
              <w:rPr>
                <w:rFonts w:hint="eastAsia" w:ascii="仿宋_GB2312" w:hAnsi="仿宋_GB2312" w:eastAsia="仿宋_GB2312" w:cs="仿宋_GB2312"/>
                <w:sz w:val="24"/>
                <w:szCs w:val="22"/>
                <w:highlight w:val="none"/>
              </w:rPr>
              <w:t>企业级架构原则进行系统设计，制定系统架构方案</w:t>
            </w:r>
            <w:r>
              <w:rPr>
                <w:rFonts w:hint="eastAsia" w:ascii="仿宋_GB2312" w:hAnsi="仿宋_GB2312" w:eastAsia="仿宋_GB2312" w:cs="仿宋_GB2312"/>
                <w:sz w:val="24"/>
                <w:szCs w:val="22"/>
                <w:highlight w:val="none"/>
                <w:lang w:eastAsia="zh-CN"/>
              </w:rPr>
              <w:t>，</w:t>
            </w:r>
            <w:r>
              <w:rPr>
                <w:rFonts w:hint="eastAsia" w:ascii="仿宋_GB2312" w:hAnsi="仿宋_GB2312" w:eastAsia="仿宋_GB2312" w:cs="仿宋_GB2312"/>
                <w:sz w:val="24"/>
                <w:szCs w:val="22"/>
                <w:highlight w:val="none"/>
                <w:lang w:val="en-US" w:eastAsia="zh-CN"/>
              </w:rPr>
              <w:t>并综合考虑我行国产化替代工作情况</w:t>
            </w:r>
            <w:r>
              <w:rPr>
                <w:rFonts w:hint="eastAsia" w:ascii="仿宋_GB2312" w:hAnsi="仿宋_GB2312" w:eastAsia="仿宋_GB2312" w:cs="仿宋_GB2312"/>
                <w:sz w:val="24"/>
                <w:szCs w:val="22"/>
                <w:highlight w:val="none"/>
              </w:rPr>
              <w:t>。包括但不限于按照我行联机、批量、消息等接口标准与行内系统进行交互；可对接我行统一的用户认证系统，平台内部应用实现单点登录功能；Web页面应基于chrome内核浏览器进行开发等。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619"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7</w:t>
            </w:r>
          </w:p>
        </w:tc>
        <w:tc>
          <w:tcPr>
            <w:tcW w:w="1332"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2"/>
                <w:highlight w:val="none"/>
                <w:lang w:eastAsia="zh-CN"/>
              </w:rPr>
            </w:pPr>
            <w:r>
              <w:rPr>
                <w:rFonts w:hint="eastAsia" w:ascii="仿宋_GB2312" w:hAnsi="仿宋_GB2312" w:eastAsia="仿宋_GB2312" w:cs="仿宋_GB2312"/>
                <w:sz w:val="24"/>
                <w:szCs w:val="22"/>
                <w:highlight w:val="none"/>
                <w:lang w:eastAsia="zh-CN"/>
              </w:rPr>
              <w:t>项目实施要求</w:t>
            </w:r>
          </w:p>
        </w:tc>
        <w:tc>
          <w:tcPr>
            <w:tcW w:w="722" w:type="dxa"/>
            <w:noWrap w:val="0"/>
            <w:vAlign w:val="top"/>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2"/>
                <w:highlight w:val="none"/>
              </w:rPr>
            </w:pPr>
          </w:p>
        </w:tc>
        <w:tc>
          <w:tcPr>
            <w:tcW w:w="5857" w:type="dxa"/>
            <w:noWrap w:val="0"/>
            <w:vAlign w:val="top"/>
          </w:tcPr>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以下列出了本项目实施过程中重要的实施任务，</w:t>
            </w:r>
            <w:r>
              <w:rPr>
                <w:rFonts w:hint="eastAsia" w:ascii="仿宋_GB2312" w:hAnsi="仿宋_GB2312" w:eastAsia="仿宋_GB2312" w:cs="仿宋_GB2312"/>
                <w:sz w:val="24"/>
                <w:szCs w:val="22"/>
                <w:highlight w:val="none"/>
                <w:lang w:val="en-US" w:eastAsia="zh-CN"/>
              </w:rPr>
              <w:t>供应商</w:t>
            </w:r>
            <w:r>
              <w:rPr>
                <w:rFonts w:hint="eastAsia" w:ascii="仿宋_GB2312" w:hAnsi="仿宋_GB2312" w:eastAsia="仿宋_GB2312" w:cs="仿宋_GB2312"/>
                <w:sz w:val="24"/>
                <w:szCs w:val="22"/>
                <w:highlight w:val="none"/>
              </w:rPr>
              <w:t>应承诺完成所有实施任务，并遵守其中相关约定。相关要求参照项目工作说明书。</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lang w:eastAsia="zh-CN"/>
              </w:rPr>
            </w:pPr>
            <w:r>
              <w:rPr>
                <w:rFonts w:hint="eastAsia" w:ascii="仿宋_GB2312" w:hAnsi="仿宋_GB2312" w:eastAsia="仿宋_GB2312" w:cs="仿宋_GB2312"/>
                <w:sz w:val="24"/>
                <w:szCs w:val="22"/>
                <w:highlight w:val="none"/>
              </w:rPr>
              <w:t>（一）项目管理</w:t>
            </w:r>
            <w:r>
              <w:rPr>
                <w:rFonts w:hint="eastAsia" w:ascii="仿宋_GB2312" w:hAnsi="仿宋_GB2312" w:eastAsia="仿宋_GB2312" w:cs="仿宋_GB2312"/>
                <w:sz w:val="24"/>
                <w:szCs w:val="22"/>
                <w:highlight w:val="none"/>
                <w:lang w:eastAsia="zh-CN"/>
              </w:rPr>
              <w:t>。</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负责制定项目计划，并按照进出口银行的要求进行必要的调整。监督和控制项目进度。</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lang w:eastAsia="zh-CN"/>
              </w:rPr>
              <w:t>负责</w:t>
            </w:r>
            <w:r>
              <w:rPr>
                <w:rFonts w:hint="eastAsia" w:ascii="仿宋_GB2312" w:hAnsi="仿宋_GB2312" w:eastAsia="仿宋_GB2312" w:cs="仿宋_GB2312"/>
                <w:sz w:val="24"/>
                <w:szCs w:val="22"/>
                <w:highlight w:val="none"/>
              </w:rPr>
              <w:t>管理安排项目资源。</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w:t>
            </w:r>
            <w:r>
              <w:rPr>
                <w:rFonts w:hint="eastAsia" w:ascii="仿宋_GB2312" w:hAnsi="仿宋_GB2312" w:eastAsia="仿宋_GB2312" w:cs="仿宋_GB2312"/>
                <w:sz w:val="24"/>
                <w:szCs w:val="22"/>
                <w:highlight w:val="none"/>
                <w:lang w:val="en-US" w:eastAsia="zh-CN"/>
              </w:rPr>
              <w:t>配合</w:t>
            </w:r>
            <w:r>
              <w:rPr>
                <w:rFonts w:hint="eastAsia" w:ascii="仿宋_GB2312" w:hAnsi="仿宋_GB2312" w:eastAsia="仿宋_GB2312" w:cs="仿宋_GB2312"/>
                <w:sz w:val="24"/>
                <w:szCs w:val="22"/>
                <w:highlight w:val="none"/>
              </w:rPr>
              <w:t>管理项目的各项任务执行、人力资源、相互工作配合与交付承诺。</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w:t>
            </w:r>
            <w:r>
              <w:rPr>
                <w:rFonts w:hint="eastAsia" w:ascii="仿宋_GB2312" w:hAnsi="仿宋_GB2312" w:eastAsia="仿宋_GB2312" w:cs="仿宋_GB2312"/>
                <w:sz w:val="24"/>
                <w:szCs w:val="22"/>
                <w:highlight w:val="none"/>
                <w:lang w:val="en-US" w:eastAsia="zh-CN"/>
              </w:rPr>
              <w:t>配合</w:t>
            </w:r>
            <w:r>
              <w:rPr>
                <w:rFonts w:hint="eastAsia" w:ascii="仿宋_GB2312" w:hAnsi="仿宋_GB2312" w:eastAsia="仿宋_GB2312" w:cs="仿宋_GB2312"/>
                <w:sz w:val="24"/>
                <w:szCs w:val="22"/>
                <w:highlight w:val="none"/>
              </w:rPr>
              <w:t>管理项目范围和需求变更，并协调变更要求的签署。</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负责实施项目配置和交付管理以及项目质量管理。</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负责项目问题管理和项目风险管理。</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负责与进出口银行进行沟通并按照要求进行工作报告。</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lang w:eastAsia="zh-CN"/>
              </w:rPr>
            </w:pPr>
            <w:r>
              <w:rPr>
                <w:rFonts w:hint="eastAsia" w:ascii="仿宋_GB2312" w:hAnsi="仿宋_GB2312" w:eastAsia="仿宋_GB2312" w:cs="仿宋_GB2312"/>
                <w:sz w:val="24"/>
                <w:szCs w:val="22"/>
                <w:highlight w:val="none"/>
              </w:rPr>
              <w:t>（二）业务功能分析和设计</w:t>
            </w:r>
            <w:r>
              <w:rPr>
                <w:rFonts w:hint="eastAsia" w:ascii="仿宋_GB2312" w:hAnsi="仿宋_GB2312" w:eastAsia="仿宋_GB2312" w:cs="仿宋_GB2312"/>
                <w:sz w:val="24"/>
                <w:szCs w:val="22"/>
                <w:highlight w:val="none"/>
                <w:lang w:eastAsia="zh-CN"/>
              </w:rPr>
              <w:t>。</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负责对本项目需求梳理细化。</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负责业务需求分析</w:t>
            </w:r>
            <w:r>
              <w:rPr>
                <w:rFonts w:hint="eastAsia" w:ascii="仿宋_GB2312" w:hAnsi="仿宋_GB2312" w:eastAsia="仿宋_GB2312" w:cs="仿宋_GB2312"/>
                <w:sz w:val="24"/>
                <w:szCs w:val="22"/>
                <w:highlight w:val="none"/>
                <w:lang w:eastAsia="zh-CN"/>
              </w:rPr>
              <w:t>、</w:t>
            </w:r>
            <w:r>
              <w:rPr>
                <w:rFonts w:hint="eastAsia" w:ascii="仿宋_GB2312" w:hAnsi="仿宋_GB2312" w:eastAsia="仿宋_GB2312" w:cs="仿宋_GB2312"/>
                <w:sz w:val="24"/>
                <w:szCs w:val="22"/>
                <w:highlight w:val="none"/>
                <w:lang w:val="en-US" w:eastAsia="zh-CN"/>
              </w:rPr>
              <w:t>澄清</w:t>
            </w:r>
            <w:r>
              <w:rPr>
                <w:rFonts w:hint="eastAsia" w:ascii="仿宋_GB2312" w:hAnsi="仿宋_GB2312" w:eastAsia="仿宋_GB2312" w:cs="仿宋_GB2312"/>
                <w:sz w:val="24"/>
                <w:szCs w:val="22"/>
                <w:highlight w:val="none"/>
              </w:rPr>
              <w:t>和评估。</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负责业务功能分析和制定。</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负责编写需求规格说明书。</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负责提出与周边系统的集成解决方案。</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负责系统配置设计、界面设计、扩展功能开发设计、数据转换设计等。</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lang w:eastAsia="zh-CN"/>
              </w:rPr>
            </w:pPr>
            <w:r>
              <w:rPr>
                <w:rFonts w:hint="eastAsia" w:ascii="仿宋_GB2312" w:hAnsi="仿宋_GB2312" w:eastAsia="仿宋_GB2312" w:cs="仿宋_GB2312"/>
                <w:sz w:val="24"/>
                <w:szCs w:val="22"/>
                <w:highlight w:val="none"/>
              </w:rPr>
              <w:t>（三）技术架构分析和设计</w:t>
            </w:r>
            <w:r>
              <w:rPr>
                <w:rFonts w:hint="eastAsia" w:ascii="仿宋_GB2312" w:hAnsi="仿宋_GB2312" w:eastAsia="仿宋_GB2312" w:cs="仿宋_GB2312"/>
                <w:sz w:val="24"/>
                <w:szCs w:val="22"/>
                <w:highlight w:val="none"/>
                <w:lang w:eastAsia="zh-CN"/>
              </w:rPr>
              <w:t>。</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负责制定技术架构方案。</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负责制定运维管理方案。</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负责分析接口定义并提出技术实现方案。</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负责评估与进出口银行总体技术架构的差异，并编写技术规格说明书。</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负责提出开发与测试环境的构建方案。</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负责提出生产环境的构建方案。</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负责编写技术设计说明书。</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lang w:eastAsia="zh-CN"/>
              </w:rPr>
            </w:pPr>
            <w:r>
              <w:rPr>
                <w:rFonts w:hint="eastAsia" w:ascii="仿宋_GB2312" w:hAnsi="仿宋_GB2312" w:eastAsia="仿宋_GB2312" w:cs="仿宋_GB2312"/>
                <w:sz w:val="24"/>
                <w:szCs w:val="22"/>
                <w:highlight w:val="none"/>
              </w:rPr>
              <w:t>（四）业务功能构建</w:t>
            </w:r>
            <w:r>
              <w:rPr>
                <w:rFonts w:hint="eastAsia" w:ascii="仿宋_GB2312" w:hAnsi="仿宋_GB2312" w:eastAsia="仿宋_GB2312" w:cs="仿宋_GB2312"/>
                <w:sz w:val="24"/>
                <w:szCs w:val="22"/>
                <w:highlight w:val="none"/>
                <w:lang w:eastAsia="zh-CN"/>
              </w:rPr>
              <w:t>。</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负责提出参数配置</w:t>
            </w:r>
            <w:r>
              <w:rPr>
                <w:rFonts w:hint="eastAsia" w:ascii="仿宋_GB2312" w:hAnsi="仿宋_GB2312" w:eastAsia="仿宋_GB2312" w:cs="仿宋_GB2312"/>
                <w:sz w:val="24"/>
                <w:szCs w:val="22"/>
                <w:highlight w:val="none"/>
                <w:lang w:eastAsia="zh-CN"/>
              </w:rPr>
              <w:t>模板</w:t>
            </w:r>
            <w:r>
              <w:rPr>
                <w:rFonts w:hint="eastAsia" w:ascii="仿宋_GB2312" w:hAnsi="仿宋_GB2312" w:eastAsia="仿宋_GB2312" w:cs="仿宋_GB2312"/>
                <w:sz w:val="24"/>
                <w:szCs w:val="22"/>
                <w:highlight w:val="none"/>
              </w:rPr>
              <w:t>及配置方案。</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负责进行客户化部分的详细设计，并编写详细设计说明书。</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负责接口开发、扩展功能开发、数据转换开发。</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负责计划、准备与执行单元测试。</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负责确认单元测试结果并提交单元测试报告。</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lang w:eastAsia="zh-CN"/>
              </w:rPr>
            </w:pPr>
            <w:r>
              <w:rPr>
                <w:rFonts w:hint="eastAsia" w:ascii="仿宋_GB2312" w:hAnsi="仿宋_GB2312" w:eastAsia="仿宋_GB2312" w:cs="仿宋_GB2312"/>
                <w:sz w:val="24"/>
                <w:szCs w:val="22"/>
                <w:highlight w:val="none"/>
              </w:rPr>
              <w:t>（五）技术架构构建</w:t>
            </w:r>
            <w:r>
              <w:rPr>
                <w:rFonts w:hint="eastAsia" w:ascii="仿宋_GB2312" w:hAnsi="仿宋_GB2312" w:eastAsia="仿宋_GB2312" w:cs="仿宋_GB2312"/>
                <w:sz w:val="24"/>
                <w:szCs w:val="22"/>
                <w:highlight w:val="none"/>
                <w:lang w:eastAsia="zh-CN"/>
              </w:rPr>
              <w:t>。</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负责测试环境的构建与确认。</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负责就测试环境管理流程和制度与进出口银行达成一致。</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负责进行测试环境下的应用系统的安装和配置。</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lang w:eastAsia="zh-CN"/>
              </w:rPr>
            </w:pPr>
            <w:r>
              <w:rPr>
                <w:rFonts w:hint="eastAsia" w:ascii="仿宋_GB2312" w:hAnsi="仿宋_GB2312" w:eastAsia="仿宋_GB2312" w:cs="仿宋_GB2312"/>
                <w:sz w:val="24"/>
                <w:szCs w:val="22"/>
                <w:highlight w:val="none"/>
              </w:rPr>
              <w:t>（六）产品测试和性能测试</w:t>
            </w:r>
            <w:r>
              <w:rPr>
                <w:rFonts w:hint="eastAsia" w:ascii="仿宋_GB2312" w:hAnsi="仿宋_GB2312" w:eastAsia="仿宋_GB2312" w:cs="仿宋_GB2312"/>
                <w:sz w:val="24"/>
                <w:szCs w:val="22"/>
                <w:highlight w:val="none"/>
                <w:lang w:eastAsia="zh-CN"/>
              </w:rPr>
              <w:t>。</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负责产品测试的计划、准备和执行。</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负责系统修补，并完成产品测试报告。</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负责性能测试的计划、准备和执行。</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负责系统调优和进一步的性能测试，并负责完成性能测试报告。</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lang w:eastAsia="zh-CN"/>
              </w:rPr>
            </w:pPr>
            <w:r>
              <w:rPr>
                <w:rFonts w:hint="eastAsia" w:ascii="仿宋_GB2312" w:hAnsi="仿宋_GB2312" w:eastAsia="仿宋_GB2312" w:cs="仿宋_GB2312"/>
                <w:sz w:val="24"/>
                <w:szCs w:val="22"/>
                <w:highlight w:val="none"/>
              </w:rPr>
              <w:t>（七）系统集成测试</w:t>
            </w:r>
            <w:r>
              <w:rPr>
                <w:rFonts w:hint="eastAsia" w:ascii="仿宋_GB2312" w:hAnsi="仿宋_GB2312" w:eastAsia="仿宋_GB2312" w:cs="仿宋_GB2312"/>
                <w:sz w:val="24"/>
                <w:szCs w:val="22"/>
                <w:highlight w:val="none"/>
                <w:lang w:eastAsia="zh-CN"/>
              </w:rPr>
              <w:t>。</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负责提出系统集成测试计划和方案。</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负责完成系统集成测试案例、测试脚本以及相关的测试数据。</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负责在进出口银行统一管理下执行系统集成测试，进行系统修补和必要的回归测试。</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负责完成相应的系统集成测试报告。</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lang w:eastAsia="zh-CN"/>
              </w:rPr>
            </w:pPr>
            <w:r>
              <w:rPr>
                <w:rFonts w:hint="eastAsia" w:ascii="仿宋_GB2312" w:hAnsi="仿宋_GB2312" w:eastAsia="仿宋_GB2312" w:cs="仿宋_GB2312"/>
                <w:sz w:val="24"/>
                <w:szCs w:val="22"/>
                <w:highlight w:val="none"/>
              </w:rPr>
              <w:t>（八）用户验收测试</w:t>
            </w:r>
            <w:r>
              <w:rPr>
                <w:rFonts w:hint="eastAsia" w:ascii="仿宋_GB2312" w:hAnsi="仿宋_GB2312" w:eastAsia="仿宋_GB2312" w:cs="仿宋_GB2312"/>
                <w:sz w:val="24"/>
                <w:szCs w:val="22"/>
                <w:highlight w:val="none"/>
                <w:lang w:eastAsia="zh-CN"/>
              </w:rPr>
              <w:t>。</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协助提出用户验收测试计划和方案。</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协助准备用户验收测试案例、测试脚本和数据。</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协助执行用户验收测试。</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负责系统修补。</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协助进行回归测试、协助完成用户验收测试报告。</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lang w:eastAsia="zh-CN"/>
              </w:rPr>
            </w:pPr>
            <w:r>
              <w:rPr>
                <w:rFonts w:hint="eastAsia" w:ascii="仿宋_GB2312" w:hAnsi="仿宋_GB2312" w:eastAsia="仿宋_GB2312" w:cs="仿宋_GB2312"/>
                <w:sz w:val="24"/>
                <w:szCs w:val="22"/>
                <w:highlight w:val="none"/>
              </w:rPr>
              <w:t>（九）投产和推广（包括投产、试运行、正式运行、最终验收）</w:t>
            </w:r>
            <w:r>
              <w:rPr>
                <w:rFonts w:hint="eastAsia" w:ascii="仿宋_GB2312" w:hAnsi="仿宋_GB2312" w:eastAsia="仿宋_GB2312" w:cs="仿宋_GB2312"/>
                <w:sz w:val="24"/>
                <w:szCs w:val="22"/>
                <w:highlight w:val="none"/>
                <w:lang w:eastAsia="zh-CN"/>
              </w:rPr>
              <w:t>。</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根据需要负责制定上线演练计划和方案。</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负责制定投产演练方案、运维测试方案，负责运维培训，配合行方完成投产演练和运维测试工作。</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在进出口银行统一管理下执行上线演练。</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负责制定投产上线范围、制定系统（数据、业务）投产上线计划。</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负责制定投产上线操作方案、流程和策略，并制定应急和恢复方案。</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负责制定试运行方案、流程和策略，并制定应急和恢复方案。</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协助进出口银行进行推广文档编制。</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协助进出口银行完成投产上线。</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支持系统试运行工作。</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协助进出口银行完成系统最终验收。</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lang w:eastAsia="zh-CN"/>
              </w:rPr>
            </w:pPr>
            <w:r>
              <w:rPr>
                <w:rFonts w:hint="eastAsia" w:ascii="仿宋_GB2312" w:hAnsi="仿宋_GB2312" w:eastAsia="仿宋_GB2312" w:cs="仿宋_GB2312"/>
                <w:sz w:val="24"/>
                <w:szCs w:val="22"/>
                <w:highlight w:val="none"/>
              </w:rPr>
              <w:t>（十）第三方测试（如</w:t>
            </w:r>
            <w:r>
              <w:rPr>
                <w:rFonts w:hint="eastAsia" w:ascii="仿宋_GB2312" w:hAnsi="仿宋_GB2312" w:eastAsia="仿宋_GB2312" w:cs="仿宋_GB2312"/>
                <w:sz w:val="24"/>
                <w:szCs w:val="22"/>
                <w:highlight w:val="none"/>
                <w:lang w:val="en-US" w:eastAsia="zh-CN"/>
              </w:rPr>
              <w:t>有</w:t>
            </w:r>
            <w:r>
              <w:rPr>
                <w:rFonts w:hint="eastAsia" w:ascii="仿宋_GB2312" w:hAnsi="仿宋_GB2312" w:eastAsia="仿宋_GB2312" w:cs="仿宋_GB2312"/>
                <w:sz w:val="24"/>
                <w:szCs w:val="22"/>
                <w:highlight w:val="none"/>
              </w:rPr>
              <w:t>）</w:t>
            </w:r>
            <w:r>
              <w:rPr>
                <w:rFonts w:hint="eastAsia" w:ascii="仿宋_GB2312" w:hAnsi="仿宋_GB2312" w:eastAsia="仿宋_GB2312" w:cs="仿宋_GB2312"/>
                <w:sz w:val="24"/>
                <w:szCs w:val="22"/>
                <w:highlight w:val="none"/>
                <w:lang w:eastAsia="zh-CN"/>
              </w:rPr>
              <w:t>。</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负责准备测试对象的搭建及调试。</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负责按第三方测试要求准备测试数据。</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为第三方测试提供技术支持。</w:t>
            </w:r>
          </w:p>
          <w:p>
            <w:pPr>
              <w:pStyle w:val="10"/>
              <w:keepNext w:val="0"/>
              <w:keepLines w:val="0"/>
              <w:pageBreakBefore w:val="0"/>
              <w:kinsoku/>
              <w:wordWrap/>
              <w:overflowPunct/>
              <w:topLinePunct w:val="0"/>
              <w:autoSpaceDE/>
              <w:autoSpaceDN/>
              <w:bidi w:val="0"/>
              <w:adjustRightInd/>
              <w:snapToGrid/>
              <w:spacing w:after="0" w:line="320" w:lineRule="exact"/>
              <w:ind w:firstLine="480" w:firstLineChars="200"/>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负责缺陷修复。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9"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8</w:t>
            </w:r>
          </w:p>
        </w:tc>
        <w:tc>
          <w:tcPr>
            <w:tcW w:w="1332"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2"/>
                <w:highlight w:val="none"/>
                <w:lang w:eastAsia="zh-CN"/>
              </w:rPr>
            </w:pPr>
            <w:r>
              <w:rPr>
                <w:rFonts w:hint="eastAsia" w:ascii="仿宋_GB2312" w:hAnsi="仿宋_GB2312" w:eastAsia="仿宋_GB2312" w:cs="仿宋_GB2312"/>
                <w:kern w:val="2"/>
                <w:sz w:val="24"/>
                <w:szCs w:val="22"/>
                <w:highlight w:val="none"/>
              </w:rPr>
              <w:t>培训及知识转移要求</w:t>
            </w:r>
          </w:p>
        </w:tc>
        <w:tc>
          <w:tcPr>
            <w:tcW w:w="722" w:type="dxa"/>
            <w:noWrap w:val="0"/>
            <w:vAlign w:val="top"/>
          </w:tcPr>
          <w:p>
            <w:pPr>
              <w:keepNext w:val="0"/>
              <w:keepLines w:val="0"/>
              <w:pageBreakBefore w:val="0"/>
              <w:kinsoku/>
              <w:wordWrap/>
              <w:overflowPunct/>
              <w:topLinePunct w:val="0"/>
              <w:autoSpaceDE/>
              <w:autoSpaceDN/>
              <w:bidi w:val="0"/>
              <w:adjustRightInd/>
              <w:snapToGrid/>
              <w:textAlignment w:val="auto"/>
              <w:rPr>
                <w:rFonts w:hint="eastAsia" w:ascii="仿宋_GB2312" w:hAnsi="仿宋_GB2312" w:eastAsia="仿宋_GB2312" w:cs="仿宋_GB2312"/>
                <w:sz w:val="24"/>
                <w:szCs w:val="22"/>
                <w:highlight w:val="none"/>
                <w:lang w:val="en-US" w:eastAsia="zh-CN"/>
              </w:rPr>
            </w:pPr>
          </w:p>
        </w:tc>
        <w:tc>
          <w:tcPr>
            <w:tcW w:w="5857" w:type="dxa"/>
            <w:noWrap w:val="0"/>
            <w:vAlign w:val="top"/>
          </w:tcPr>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eastAsia" w:ascii="仿宋_GB2312" w:hAnsi="仿宋_GB2312" w:eastAsia="仿宋_GB2312" w:cs="仿宋_GB2312"/>
                <w:sz w:val="24"/>
                <w:szCs w:val="22"/>
                <w:highlight w:val="none"/>
                <w:lang w:val="en-US"/>
              </w:rPr>
            </w:pPr>
            <w:r>
              <w:rPr>
                <w:rFonts w:hint="eastAsia" w:ascii="仿宋_GB2312" w:hAnsi="仿宋_GB2312" w:eastAsia="仿宋_GB2312" w:cs="仿宋_GB2312"/>
                <w:sz w:val="24"/>
                <w:szCs w:val="22"/>
                <w:highlight w:val="none"/>
                <w:lang w:val="en-US"/>
              </w:rPr>
              <w:t>（一）培训对象：培训对象包括进出口银行的开发人员、系统运行维护管理人员，以及进出口银行</w:t>
            </w:r>
            <w:r>
              <w:rPr>
                <w:rFonts w:hint="eastAsia" w:ascii="仿宋_GB2312" w:hAnsi="仿宋_GB2312" w:eastAsia="仿宋_GB2312" w:cs="仿宋_GB2312"/>
                <w:sz w:val="24"/>
                <w:szCs w:val="22"/>
                <w:highlight w:val="none"/>
                <w:lang w:val="en-US" w:eastAsia="zh-CN"/>
              </w:rPr>
              <w:t>指定的</w:t>
            </w:r>
            <w:r>
              <w:rPr>
                <w:rFonts w:hint="eastAsia" w:ascii="仿宋_GB2312" w:hAnsi="仿宋_GB2312" w:eastAsia="仿宋_GB2312" w:cs="仿宋_GB2312"/>
                <w:sz w:val="24"/>
                <w:szCs w:val="22"/>
                <w:highlight w:val="none"/>
                <w:lang w:val="en-US"/>
              </w:rPr>
              <w:t>其他相关人员</w:t>
            </w:r>
            <w:r>
              <w:rPr>
                <w:rFonts w:hint="eastAsia" w:ascii="仿宋_GB2312" w:hAnsi="仿宋_GB2312" w:eastAsia="仿宋_GB2312" w:cs="仿宋_GB2312"/>
                <w:sz w:val="24"/>
                <w:szCs w:val="22"/>
                <w:highlight w:val="none"/>
                <w:lang w:val="en-US" w:eastAsia="zh-CN"/>
              </w:rPr>
              <w:t>（包括第三方人员）</w:t>
            </w:r>
            <w:r>
              <w:rPr>
                <w:rFonts w:hint="eastAsia" w:ascii="仿宋_GB2312" w:hAnsi="仿宋_GB2312" w:eastAsia="仿宋_GB2312" w:cs="仿宋_GB2312"/>
                <w:sz w:val="24"/>
                <w:szCs w:val="22"/>
                <w:highlight w:val="none"/>
                <w:lang w:val="en-US"/>
              </w:rPr>
              <w:t>。</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default"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rPr>
              <w:t>（二）培训目标：通过培训，应使上述人员</w:t>
            </w:r>
            <w:r>
              <w:rPr>
                <w:rFonts w:hint="eastAsia" w:ascii="仿宋_GB2312" w:hAnsi="仿宋_GB2312" w:eastAsia="仿宋_GB2312" w:cs="仿宋_GB2312"/>
                <w:sz w:val="24"/>
                <w:szCs w:val="22"/>
                <w:highlight w:val="none"/>
                <w:lang w:val="en-US" w:eastAsia="zh-CN"/>
              </w:rPr>
              <w:t>：</w:t>
            </w:r>
            <w:r>
              <w:rPr>
                <w:rFonts w:hint="eastAsia" w:ascii="仿宋_GB2312" w:hAnsi="仿宋_GB2312" w:eastAsia="仿宋_GB2312" w:cs="仿宋_GB2312"/>
                <w:sz w:val="24"/>
                <w:szCs w:val="22"/>
                <w:highlight w:val="none"/>
                <w:lang w:val="en-US"/>
              </w:rPr>
              <w:t>掌握系统提供的内容和功能，以及使用权限划分与操作方式</w:t>
            </w:r>
            <w:r>
              <w:rPr>
                <w:rFonts w:hint="eastAsia" w:ascii="仿宋_GB2312" w:hAnsi="仿宋_GB2312" w:eastAsia="仿宋_GB2312" w:cs="仿宋_GB2312"/>
                <w:sz w:val="24"/>
                <w:szCs w:val="22"/>
                <w:highlight w:val="none"/>
                <w:lang w:val="en-US" w:eastAsia="zh-CN"/>
              </w:rPr>
              <w:t>；掌握本项目新客户化开发部分功能的二次开发能力。</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firstLine="480" w:firstLineChars="200"/>
              <w:jc w:val="left"/>
              <w:textAlignment w:val="auto"/>
              <w:rPr>
                <w:rFonts w:hint="default"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rPr>
              <w:t>（三）培训内容：</w:t>
            </w:r>
            <w:r>
              <w:rPr>
                <w:rFonts w:hint="eastAsia" w:ascii="仿宋_GB2312" w:hAnsi="仿宋_GB2312" w:eastAsia="仿宋_GB2312" w:cs="仿宋_GB2312"/>
                <w:sz w:val="24"/>
                <w:szCs w:val="22"/>
                <w:highlight w:val="none"/>
                <w:lang w:val="en-US" w:eastAsia="zh-CN"/>
              </w:rPr>
              <w:t>供应商</w:t>
            </w:r>
            <w:r>
              <w:rPr>
                <w:rFonts w:hint="eastAsia" w:ascii="仿宋_GB2312" w:hAnsi="仿宋_GB2312" w:eastAsia="仿宋_GB2312" w:cs="仿宋_GB2312"/>
                <w:sz w:val="24"/>
                <w:szCs w:val="22"/>
                <w:highlight w:val="none"/>
                <w:lang w:val="en-US"/>
              </w:rPr>
              <w:t>应具有知识和技术转移的意愿，并阐述详细的实际措施，以对项目实施阶段的参与者及项目最终的使用</w:t>
            </w:r>
            <w:r>
              <w:rPr>
                <w:rFonts w:hint="eastAsia" w:ascii="仿宋_GB2312" w:hAnsi="仿宋_GB2312" w:eastAsia="仿宋_GB2312" w:cs="仿宋_GB2312"/>
                <w:sz w:val="24"/>
                <w:szCs w:val="22"/>
                <w:highlight w:val="none"/>
                <w:lang w:val="en-US" w:eastAsia="zh-CN"/>
              </w:rPr>
              <w:t>、开发</w:t>
            </w:r>
            <w:r>
              <w:rPr>
                <w:rFonts w:hint="eastAsia" w:ascii="仿宋_GB2312" w:hAnsi="仿宋_GB2312" w:eastAsia="仿宋_GB2312" w:cs="仿宋_GB2312"/>
                <w:sz w:val="24"/>
                <w:szCs w:val="22"/>
                <w:highlight w:val="none"/>
                <w:lang w:val="en-US"/>
              </w:rPr>
              <w:t>和运维团队进行全面、有效的知识转移。</w:t>
            </w:r>
            <w:r>
              <w:rPr>
                <w:rFonts w:hint="eastAsia" w:ascii="仿宋_GB2312" w:hAnsi="仿宋_GB2312" w:eastAsia="仿宋_GB2312" w:cs="仿宋_GB2312"/>
                <w:sz w:val="24"/>
                <w:szCs w:val="22"/>
                <w:highlight w:val="none"/>
                <w:lang w:val="en-US" w:eastAsia="zh-CN"/>
              </w:rPr>
              <w:t>供应商</w:t>
            </w:r>
            <w:r>
              <w:rPr>
                <w:rFonts w:hint="eastAsia" w:ascii="仿宋_GB2312" w:hAnsi="仿宋_GB2312" w:eastAsia="仿宋_GB2312" w:cs="仿宋_GB2312"/>
                <w:sz w:val="24"/>
                <w:szCs w:val="22"/>
                <w:highlight w:val="none"/>
                <w:lang w:val="en-US"/>
              </w:rPr>
              <w:t>需提供系统在配置、开发、安装、使用、监控和维护等方面的培训。</w:t>
            </w:r>
            <w:r>
              <w:rPr>
                <w:rFonts w:hint="eastAsia" w:ascii="仿宋_GB2312" w:hAnsi="仿宋_GB2312" w:eastAsia="仿宋_GB2312" w:cs="仿宋_GB2312"/>
                <w:sz w:val="24"/>
                <w:szCs w:val="22"/>
                <w:highlight w:val="none"/>
                <w:lang w:val="en-US" w:eastAsia="zh-CN"/>
              </w:rPr>
              <w:t>供应商</w:t>
            </w:r>
            <w:r>
              <w:rPr>
                <w:rFonts w:hint="eastAsia" w:ascii="仿宋_GB2312" w:hAnsi="仿宋_GB2312" w:eastAsia="仿宋_GB2312" w:cs="仿宋_GB2312"/>
                <w:sz w:val="24"/>
                <w:szCs w:val="22"/>
                <w:highlight w:val="none"/>
                <w:lang w:val="en-US"/>
              </w:rPr>
              <w:t>须详细列出各阶段培训的服务清单，服务清单包括培训内容、授课方式、培训对象、时间计划安排和培训反馈处理等，对项目实施阶段的参与者及项目最终的使用</w:t>
            </w:r>
            <w:r>
              <w:rPr>
                <w:rFonts w:hint="eastAsia" w:ascii="仿宋_GB2312" w:hAnsi="仿宋_GB2312" w:eastAsia="仿宋_GB2312" w:cs="仿宋_GB2312"/>
                <w:sz w:val="24"/>
                <w:szCs w:val="22"/>
                <w:highlight w:val="none"/>
                <w:lang w:val="en-US" w:eastAsia="zh-CN"/>
              </w:rPr>
              <w:t>、开发</w:t>
            </w:r>
            <w:r>
              <w:rPr>
                <w:rFonts w:hint="eastAsia" w:ascii="仿宋_GB2312" w:hAnsi="仿宋_GB2312" w:eastAsia="仿宋_GB2312" w:cs="仿宋_GB2312"/>
                <w:sz w:val="24"/>
                <w:szCs w:val="22"/>
                <w:highlight w:val="none"/>
                <w:lang w:val="en-US"/>
              </w:rPr>
              <w:t>和运维团队进行全面、有效的知识转移，确保进出口银行形成一支熟悉系统运用</w:t>
            </w:r>
            <w:r>
              <w:rPr>
                <w:rFonts w:hint="eastAsia" w:ascii="仿宋_GB2312" w:hAnsi="仿宋_GB2312" w:eastAsia="仿宋_GB2312" w:cs="仿宋_GB2312"/>
                <w:sz w:val="24"/>
                <w:szCs w:val="22"/>
                <w:highlight w:val="none"/>
                <w:lang w:val="en-US" w:eastAsia="zh-CN"/>
              </w:rPr>
              <w:t>、二次开发</w:t>
            </w:r>
            <w:r>
              <w:rPr>
                <w:rFonts w:hint="eastAsia" w:ascii="仿宋_GB2312" w:hAnsi="仿宋_GB2312" w:eastAsia="仿宋_GB2312" w:cs="仿宋_GB2312"/>
                <w:sz w:val="24"/>
                <w:szCs w:val="22"/>
                <w:highlight w:val="none"/>
                <w:lang w:val="en-US"/>
              </w:rPr>
              <w:t>和维护的队伍。</w:t>
            </w:r>
            <w:r>
              <w:rPr>
                <w:rFonts w:hint="eastAsia" w:ascii="仿宋_GB2312" w:hAnsi="仿宋_GB2312" w:eastAsia="仿宋_GB2312" w:cs="仿宋_GB2312"/>
                <w:sz w:val="24"/>
                <w:szCs w:val="22"/>
                <w:highlight w:val="none"/>
                <w:lang w:val="en-US" w:eastAsia="zh-CN"/>
              </w:rPr>
              <w:t>对于开发部分的知识和技术转移时间安排由我行确定。</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320" w:lineRule="exact"/>
              <w:ind w:leftChars="0" w:firstLine="480" w:firstLineChars="200"/>
              <w:jc w:val="left"/>
              <w:textAlignment w:val="auto"/>
              <w:rPr>
                <w:rFonts w:hint="eastAsia" w:ascii="仿宋_GB2312" w:hAnsi="仿宋_GB2312" w:eastAsia="仿宋_GB2312" w:cs="仿宋_GB2312"/>
                <w:sz w:val="24"/>
                <w:szCs w:val="22"/>
                <w:highlight w:val="none"/>
                <w:lang w:val="en-US"/>
              </w:rPr>
            </w:pPr>
            <w:r>
              <w:rPr>
                <w:rFonts w:hint="eastAsia" w:ascii="仿宋_GB2312" w:hAnsi="仿宋_GB2312" w:eastAsia="仿宋_GB2312" w:cs="仿宋_GB2312"/>
                <w:sz w:val="24"/>
                <w:szCs w:val="22"/>
                <w:highlight w:val="none"/>
                <w:lang w:val="en-US"/>
              </w:rPr>
              <w:t>（四）培训材料：</w:t>
            </w:r>
            <w:r>
              <w:rPr>
                <w:rFonts w:hint="eastAsia" w:ascii="仿宋_GB2312" w:hAnsi="仿宋_GB2312" w:eastAsia="仿宋_GB2312" w:cs="仿宋_GB2312"/>
                <w:sz w:val="24"/>
                <w:szCs w:val="22"/>
                <w:highlight w:val="none"/>
                <w:lang w:val="en-US" w:eastAsia="zh-CN"/>
              </w:rPr>
              <w:t>供应商</w:t>
            </w:r>
            <w:r>
              <w:rPr>
                <w:rFonts w:hint="eastAsia" w:ascii="仿宋_GB2312" w:hAnsi="仿宋_GB2312" w:eastAsia="仿宋_GB2312" w:cs="仿宋_GB2312"/>
                <w:sz w:val="24"/>
                <w:szCs w:val="22"/>
                <w:highlight w:val="none"/>
                <w:lang w:val="en-US"/>
              </w:rPr>
              <w:t>为所有被培训人员提供完备的文字资料（书面及电子版）和讲义（书面及电子版）等相关用品。</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eastAsia" w:ascii="楷体_GB2312" w:hAnsi="楷体_GB2312" w:eastAsia="楷体_GB2312" w:cs="楷体_GB2312"/>
          <w:bCs/>
          <w:color w:val="auto"/>
          <w:sz w:val="32"/>
          <w:szCs w:val="22"/>
          <w:highlight w:val="none"/>
        </w:rPr>
      </w:pPr>
      <w:r>
        <w:rPr>
          <w:rFonts w:hint="eastAsia" w:ascii="楷体_GB2312" w:hAnsi="楷体_GB2312" w:eastAsia="楷体_GB2312" w:cs="楷体_GB2312"/>
          <w:color w:val="auto"/>
          <w:sz w:val="32"/>
          <w:szCs w:val="28"/>
          <w:highlight w:val="none"/>
          <w:lang w:val="en-US" w:eastAsia="zh-CN"/>
        </w:rPr>
        <w:t>（二）主要交付物</w:t>
      </w:r>
    </w:p>
    <w:p>
      <w:pPr>
        <w:pStyle w:val="36"/>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eastAsia" w:hAnsi="楷体" w:eastAsia="仿宋_GB2312"/>
          <w:color w:val="auto"/>
          <w:sz w:val="32"/>
          <w:szCs w:val="28"/>
          <w:highlight w:val="none"/>
          <w:lang w:val="en-US" w:eastAsia="zh-CN"/>
        </w:rPr>
      </w:pPr>
      <w:r>
        <w:rPr>
          <w:rFonts w:hint="eastAsia" w:hAnsi="楷体" w:eastAsia="仿宋_GB2312"/>
          <w:color w:val="auto"/>
          <w:sz w:val="32"/>
          <w:szCs w:val="28"/>
          <w:highlight w:val="none"/>
          <w:lang w:val="en-US" w:eastAsia="zh-CN"/>
        </w:rPr>
        <w:t>在项目工作说明书中明确交付物类型、内容及交付形式，包含但不限于以下内容。</w:t>
      </w:r>
    </w:p>
    <w:tbl>
      <w:tblPr>
        <w:tblStyle w:val="22"/>
        <w:tblW w:w="42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1"/>
        <w:gridCol w:w="6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22" w:type="pct"/>
            <w:shd w:val="clear" w:color="auto" w:fill="BEBEBE"/>
            <w:noWrap w:val="0"/>
            <w:vAlign w:val="center"/>
          </w:tcPr>
          <w:p>
            <w:pPr>
              <w:spacing w:line="240" w:lineRule="auto"/>
              <w:jc w:val="center"/>
              <w:rPr>
                <w:rFonts w:hint="eastAsia" w:ascii="仿宋_GB2312" w:hAnsi="仿宋_GB2312" w:eastAsia="仿宋_GB2312" w:cs="仿宋_GB2312"/>
                <w:b/>
                <w:highlight w:val="none"/>
              </w:rPr>
            </w:pPr>
            <w:r>
              <w:rPr>
                <w:rFonts w:hint="eastAsia" w:ascii="仿宋_GB2312" w:hAnsi="仿宋_GB2312" w:eastAsia="仿宋_GB2312" w:cs="仿宋_GB2312"/>
                <w:b/>
                <w:highlight w:val="none"/>
              </w:rPr>
              <w:t>过程域</w:t>
            </w:r>
          </w:p>
        </w:tc>
        <w:tc>
          <w:tcPr>
            <w:tcW w:w="4177" w:type="pct"/>
            <w:shd w:val="clear" w:color="auto" w:fill="BEBEBE"/>
            <w:noWrap w:val="0"/>
            <w:vAlign w:val="center"/>
          </w:tcPr>
          <w:p>
            <w:pPr>
              <w:spacing w:line="240" w:lineRule="auto"/>
              <w:jc w:val="center"/>
              <w:rPr>
                <w:rFonts w:hint="eastAsia" w:ascii="仿宋_GB2312" w:hAnsi="仿宋_GB2312" w:eastAsia="仿宋_GB2312" w:cs="仿宋_GB2312"/>
                <w:b/>
                <w:highlight w:val="none"/>
              </w:rPr>
            </w:pPr>
            <w:r>
              <w:rPr>
                <w:rFonts w:hint="eastAsia" w:ascii="仿宋_GB2312" w:hAnsi="仿宋_GB2312" w:eastAsia="仿宋_GB2312" w:cs="仿宋_GB2312"/>
                <w:b/>
                <w:highlight w:val="none"/>
              </w:rPr>
              <w:t>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restar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项目管理</w:t>
            </w:r>
          </w:p>
        </w:tc>
        <w:tc>
          <w:tcPr>
            <w:tcW w:w="4177" w:type="pc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《项目详细实施计划》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《项目质量审计报告》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《关键人员简历》</w:t>
            </w:r>
            <w:r>
              <w:rPr>
                <w:rFonts w:hint="eastAsia" w:ascii="仿宋_GB2312" w:hAnsi="仿宋_GB2312" w:eastAsia="仿宋_GB2312" w:cs="仿宋_GB2312"/>
                <w:highlight w:val="none"/>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《关键人员人力资源变动报告》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项目状态报告：日常管理采用周报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restar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需求分析</w:t>
            </w: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《功能需求规格说明书》</w:t>
            </w:r>
            <w:r>
              <w:rPr>
                <w:rFonts w:hint="eastAsia" w:ascii="仿宋_GB2312" w:hAnsi="仿宋_GB2312" w:eastAsia="仿宋_GB2312" w:cs="仿宋_GB2312"/>
                <w:highlight w:val="none"/>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《非功能需求规格说明书》（如有）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22" w:type="pct"/>
            <w:vMerge w:val="restar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设计</w:t>
            </w: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《概要设计说明书》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《详细设计说明书》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应用系统部署架构（如有）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基础软硬件配置清单（如有）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restar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开发</w:t>
            </w: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《单元测试案例》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《系统内集成测试案例》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《系统内集成测试报告》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restar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测试</w:t>
            </w: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《应用组装测试案例》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《应用组装测试报告》</w:t>
            </w:r>
            <w:r>
              <w:rPr>
                <w:rFonts w:hint="eastAsia" w:ascii="仿宋_GB2312" w:hAnsi="仿宋_GB2312" w:eastAsia="仿宋_GB2312" w:cs="仿宋_GB2312"/>
                <w:highlight w:val="none"/>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通过用户验收测试后的源代码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restar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业务培训</w:t>
            </w: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《培训讲义》（如有）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《用户操作手册》（如有）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技术培训</w:t>
            </w: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《培训讲义》（如有）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restar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系统投产</w:t>
            </w: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《投产任务跟踪表》（按版本）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《操作控制表》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待投产的应用程序版本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《应急预案》（如有）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《投产报告》（按版本）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《运维手册》、《日志报错代码表》、《批量手册》、《监控手册》、《知识库》（如有）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restar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系统应用维护</w:t>
            </w: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知识转移文档：《运维手册》（含《日志存储备份清理方案》等日常运维的必要件）、《日志报错代码表》、《批量手册》、《监控手册》（如有）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知识库（包含《上线运行问题报告和问题跟踪表》、《重大问题分析报告》（如有））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《维护期总结报告》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《月度运行维护报告》</w:t>
            </w:r>
          </w:p>
        </w:tc>
      </w:tr>
    </w:tbl>
    <w:p>
      <w:pPr>
        <w:pStyle w:val="18"/>
        <w:keepNext/>
        <w:keepLines/>
        <w:pageBreakBefore w:val="0"/>
        <w:widowControl w:val="0"/>
        <w:kinsoku/>
        <w:wordWrap/>
        <w:overflowPunct/>
        <w:topLinePunct w:val="0"/>
        <w:autoSpaceDE/>
        <w:autoSpaceDN/>
        <w:bidi w:val="0"/>
        <w:adjustRightInd w:val="0"/>
        <w:snapToGrid/>
        <w:spacing w:before="0" w:beforeLines="0" w:after="0" w:afterLines="0" w:line="560" w:lineRule="exact"/>
        <w:ind w:firstLine="640" w:firstLineChars="200"/>
        <w:textAlignment w:val="baseline"/>
        <w:outlineLvl w:val="0"/>
        <w:rPr>
          <w:rFonts w:hint="eastAsia" w:ascii="Times New Roman" w:hAnsi="黑体" w:eastAsia="黑体" w:cs="Times New Roman"/>
          <w:b w:val="0"/>
          <w:bCs w:val="0"/>
          <w:color w:val="auto"/>
          <w:sz w:val="32"/>
          <w:highlight w:val="none"/>
          <w:lang w:val="en-US" w:eastAsia="zh-CN"/>
        </w:rPr>
      </w:pPr>
      <w:bookmarkStart w:id="12" w:name="_Toc21094"/>
      <w:r>
        <w:rPr>
          <w:rFonts w:hint="eastAsia" w:ascii="Times New Roman" w:hAnsi="黑体" w:eastAsia="黑体" w:cs="Times New Roman"/>
          <w:b w:val="0"/>
          <w:bCs w:val="0"/>
          <w:color w:val="auto"/>
          <w:sz w:val="32"/>
          <w:highlight w:val="none"/>
          <w:lang w:val="en-US" w:eastAsia="zh-CN"/>
        </w:rPr>
        <w:fldChar w:fldCharType="begin"/>
      </w:r>
      <w:r>
        <w:rPr>
          <w:rFonts w:hint="eastAsia" w:ascii="Times New Roman" w:hAnsi="黑体" w:eastAsia="黑体" w:cs="Times New Roman"/>
          <w:b w:val="0"/>
          <w:bCs w:val="0"/>
          <w:color w:val="auto"/>
          <w:sz w:val="32"/>
          <w:highlight w:val="none"/>
          <w:lang w:val="en-US" w:eastAsia="zh-CN"/>
        </w:rPr>
        <w:instrText xml:space="preserve"> HYPERLINK \l _Toc29694 </w:instrText>
      </w:r>
      <w:r>
        <w:rPr>
          <w:rFonts w:hint="eastAsia" w:ascii="Times New Roman" w:hAnsi="黑体" w:eastAsia="黑体" w:cs="Times New Roman"/>
          <w:b w:val="0"/>
          <w:bCs w:val="0"/>
          <w:color w:val="auto"/>
          <w:sz w:val="32"/>
          <w:highlight w:val="none"/>
          <w:lang w:val="en-US" w:eastAsia="zh-CN"/>
        </w:rPr>
        <w:fldChar w:fldCharType="separate"/>
      </w:r>
      <w:r>
        <w:rPr>
          <w:rFonts w:hint="eastAsia" w:ascii="Times New Roman" w:hAnsi="黑体" w:eastAsia="黑体" w:cs="Times New Roman"/>
          <w:b w:val="0"/>
          <w:bCs w:val="0"/>
          <w:color w:val="auto"/>
          <w:sz w:val="32"/>
          <w:highlight w:val="none"/>
          <w:lang w:val="en-US" w:eastAsia="zh-CN"/>
        </w:rPr>
        <w:t>六、项目团队要求</w:t>
      </w:r>
      <w:r>
        <w:rPr>
          <w:rFonts w:hint="eastAsia" w:ascii="Times New Roman" w:hAnsi="黑体" w:eastAsia="黑体" w:cs="Times New Roman"/>
          <w:b w:val="0"/>
          <w:bCs w:val="0"/>
          <w:color w:val="auto"/>
          <w:sz w:val="32"/>
          <w:highlight w:val="none"/>
          <w:lang w:val="en-US" w:eastAsia="zh-CN"/>
        </w:rPr>
        <w:fldChar w:fldCharType="end"/>
      </w:r>
      <w:bookmarkEnd w:id="12"/>
    </w:p>
    <w:p>
      <w:pPr>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熟悉我行联合开发系统实施现状，具有项目系统相关实施经验；具备完成服务范围内各项工作的能力；团队中关键核心岗位人员，如项目经理、关键技术人员等不得外包。</w:t>
      </w:r>
    </w:p>
    <w:p>
      <w:pPr>
        <w:pageBreakBefore w:val="0"/>
        <w:kinsoku/>
        <w:wordWrap/>
        <w:overflowPunct/>
        <w:topLinePunct w:val="0"/>
        <w:autoSpaceDE/>
        <w:autoSpaceDN/>
        <w:bidi w:val="0"/>
        <w:snapToGrid/>
        <w:spacing w:line="560" w:lineRule="exact"/>
        <w:ind w:firstLine="640" w:firstLineChars="2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1.项目经理、关键技术人员应具有</w:t>
      </w:r>
      <w:r>
        <w:rPr>
          <w:rFonts w:hint="eastAsia" w:ascii="仿宋_GB2312" w:hAnsi="仿宋_GB2312" w:eastAsia="仿宋_GB2312" w:cs="仿宋_GB2312"/>
          <w:sz w:val="32"/>
          <w:szCs w:val="28"/>
          <w:highlight w:val="none"/>
          <w:lang w:val="en-US" w:eastAsia="zh-CN"/>
        </w:rPr>
        <w:t>服务建设银行或其输出客户同类项目的工作经验，提供</w:t>
      </w:r>
      <w:r>
        <w:rPr>
          <w:rFonts w:hint="eastAsia" w:ascii="仿宋_GB2312" w:hAnsi="仿宋_GB2312" w:eastAsia="仿宋_GB2312" w:cs="仿宋_GB2312"/>
          <w:sz w:val="32"/>
          <w:szCs w:val="28"/>
          <w:highlight w:val="none"/>
        </w:rPr>
        <w:t>人员简历</w:t>
      </w:r>
      <w:r>
        <w:rPr>
          <w:rFonts w:hint="eastAsia" w:ascii="仿宋_GB2312" w:hAnsi="仿宋_GB2312" w:eastAsia="仿宋_GB2312" w:cs="仿宋_GB2312"/>
          <w:sz w:val="32"/>
          <w:szCs w:val="28"/>
          <w:highlight w:val="none"/>
          <w:lang w:val="en-US" w:eastAsia="zh-CN"/>
        </w:rPr>
        <w:t>。如发生更换，对替代人员的工作经验要求相同。</w:t>
      </w:r>
    </w:p>
    <w:p>
      <w:pPr>
        <w:pageBreakBefore w:val="0"/>
        <w:kinsoku/>
        <w:wordWrap/>
        <w:overflowPunct/>
        <w:topLinePunct w:val="0"/>
        <w:autoSpaceDE/>
        <w:autoSpaceDN/>
        <w:bidi w:val="0"/>
        <w:snapToGrid/>
        <w:spacing w:line="560" w:lineRule="exact"/>
        <w:ind w:firstLine="640" w:firstLineChars="2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承诺已进入项目组的</w:t>
      </w:r>
      <w:r>
        <w:rPr>
          <w:rFonts w:hint="eastAsia" w:ascii="仿宋_GB2312" w:hAnsi="仿宋_GB2312" w:eastAsia="仿宋_GB2312" w:cs="仿宋_GB2312"/>
          <w:sz w:val="32"/>
          <w:szCs w:val="32"/>
          <w:highlight w:val="none"/>
          <w:lang w:val="en-US" w:eastAsia="zh-CN"/>
        </w:rPr>
        <w:t>关键核心岗位</w:t>
      </w:r>
      <w:r>
        <w:rPr>
          <w:rFonts w:hint="eastAsia" w:ascii="仿宋_GB2312" w:hAnsi="仿宋_GB2312" w:eastAsia="仿宋_GB2312" w:cs="仿宋_GB2312"/>
          <w:sz w:val="32"/>
          <w:szCs w:val="32"/>
          <w:highlight w:val="none"/>
        </w:rPr>
        <w:t>人员不得随意更换。如确实需要更换人员须经过</w:t>
      </w:r>
      <w:r>
        <w:rPr>
          <w:rFonts w:hint="eastAsia" w:ascii="仿宋_GB2312" w:hAnsi="仿宋_GB2312" w:eastAsia="仿宋_GB2312" w:cs="仿宋_GB2312"/>
          <w:sz w:val="32"/>
          <w:szCs w:val="32"/>
          <w:highlight w:val="none"/>
          <w:lang w:eastAsia="zh-CN"/>
        </w:rPr>
        <w:t>我行</w:t>
      </w:r>
      <w:r>
        <w:rPr>
          <w:rFonts w:hint="eastAsia" w:ascii="仿宋_GB2312" w:hAnsi="仿宋_GB2312" w:eastAsia="仿宋_GB2312" w:cs="仿宋_GB2312"/>
          <w:sz w:val="32"/>
          <w:szCs w:val="32"/>
          <w:highlight w:val="none"/>
        </w:rPr>
        <w:t>审核通过后方可换人。同时要求新换人员必须通过</w:t>
      </w:r>
      <w:r>
        <w:rPr>
          <w:rFonts w:hint="eastAsia" w:ascii="仿宋_GB2312" w:hAnsi="仿宋_GB2312" w:eastAsia="仿宋_GB2312" w:cs="仿宋_GB2312"/>
          <w:sz w:val="32"/>
          <w:szCs w:val="32"/>
          <w:highlight w:val="none"/>
          <w:lang w:eastAsia="zh-CN"/>
        </w:rPr>
        <w:t>我行</w:t>
      </w:r>
      <w:r>
        <w:rPr>
          <w:rFonts w:hint="eastAsia" w:ascii="仿宋_GB2312" w:hAnsi="仿宋_GB2312" w:eastAsia="仿宋_GB2312" w:cs="仿宋_GB2312"/>
          <w:sz w:val="32"/>
          <w:szCs w:val="32"/>
          <w:highlight w:val="none"/>
        </w:rPr>
        <w:t>的审核，且由</w:t>
      </w:r>
      <w:r>
        <w:rPr>
          <w:rFonts w:hint="eastAsia" w:ascii="仿宋_GB2312" w:hAnsi="仿宋_GB2312" w:eastAsia="仿宋_GB2312" w:cs="仿宋_GB2312"/>
          <w:sz w:val="32"/>
          <w:szCs w:val="32"/>
          <w:highlight w:val="none"/>
          <w:lang w:val="en-US" w:eastAsia="zh-CN"/>
        </w:rPr>
        <w:t>供应商</w:t>
      </w:r>
      <w:r>
        <w:rPr>
          <w:rFonts w:hint="eastAsia" w:ascii="仿宋_GB2312" w:hAnsi="仿宋_GB2312" w:eastAsia="仿宋_GB2312" w:cs="仿宋_GB2312"/>
          <w:sz w:val="32"/>
          <w:szCs w:val="32"/>
          <w:highlight w:val="none"/>
        </w:rPr>
        <w:t>保证人员更换期间工作的连续性。</w:t>
      </w:r>
      <w:r>
        <w:rPr>
          <w:rFonts w:hint="eastAsia" w:ascii="仿宋_GB2312" w:hAnsi="仿宋_GB2312" w:eastAsia="仿宋_GB2312" w:cs="仿宋_GB2312"/>
          <w:sz w:val="32"/>
          <w:szCs w:val="32"/>
          <w:highlight w:val="none"/>
          <w:lang w:val="en-US" w:eastAsia="zh-CN"/>
        </w:rPr>
        <w:t>其他岗位人员如有更换需书面告知我行，并承诺不因此降低服务质量。</w:t>
      </w:r>
    </w:p>
    <w:p>
      <w:pPr>
        <w:pageBreakBefore w:val="0"/>
        <w:kinsoku/>
        <w:wordWrap/>
        <w:overflowPunct/>
        <w:topLinePunct w:val="0"/>
        <w:autoSpaceDE/>
        <w:autoSpaceDN/>
        <w:bidi w:val="0"/>
        <w:snapToGrid/>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承诺已进入项目组的</w:t>
      </w:r>
      <w:r>
        <w:rPr>
          <w:rFonts w:hint="eastAsia" w:ascii="仿宋_GB2312" w:hAnsi="仿宋_GB2312" w:eastAsia="仿宋_GB2312" w:cs="仿宋_GB2312"/>
          <w:sz w:val="32"/>
          <w:szCs w:val="32"/>
          <w:highlight w:val="none"/>
          <w:lang w:val="en-US" w:eastAsia="zh-CN"/>
        </w:rPr>
        <w:t>服务</w:t>
      </w:r>
      <w:r>
        <w:rPr>
          <w:rFonts w:hint="eastAsia" w:ascii="仿宋_GB2312" w:hAnsi="仿宋_GB2312" w:eastAsia="仿宋_GB2312" w:cs="仿宋_GB2312"/>
          <w:sz w:val="32"/>
          <w:szCs w:val="32"/>
          <w:highlight w:val="none"/>
        </w:rPr>
        <w:t>人员</w:t>
      </w:r>
      <w:r>
        <w:rPr>
          <w:rFonts w:hint="eastAsia" w:ascii="仿宋_GB2312" w:hAnsi="仿宋_GB2312" w:eastAsia="仿宋_GB2312" w:cs="仿宋_GB2312"/>
          <w:sz w:val="32"/>
          <w:szCs w:val="32"/>
          <w:highlight w:val="none"/>
          <w:lang w:eastAsia="zh-CN"/>
        </w:rPr>
        <w:t>，</w:t>
      </w:r>
      <w:r>
        <w:rPr>
          <w:rFonts w:hint="eastAsia" w:ascii="仿宋" w:hAnsi="仿宋" w:eastAsia="仿宋" w:cs="仿宋"/>
          <w:sz w:val="32"/>
          <w:szCs w:val="32"/>
          <w:highlight w:val="none"/>
          <w:lang w:val="en-US" w:eastAsia="zh-CN"/>
        </w:rPr>
        <w:t>须提供人员简历、学历证明复印件及人员相关认证资质复印件，</w:t>
      </w:r>
      <w:r>
        <w:rPr>
          <w:rFonts w:hint="eastAsia" w:ascii="仿宋" w:hAnsi="仿宋" w:eastAsia="仿宋" w:cs="仿宋"/>
          <w:sz w:val="32"/>
          <w:szCs w:val="32"/>
          <w:highlight w:val="none"/>
        </w:rPr>
        <w:t>签署安全保密承诺书</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并</w:t>
      </w:r>
      <w:r>
        <w:rPr>
          <w:rFonts w:hint="eastAsia" w:ascii="仿宋_GB2312" w:hAnsi="仿宋_GB2312" w:eastAsia="仿宋_GB2312" w:cs="仿宋_GB2312"/>
          <w:sz w:val="32"/>
          <w:szCs w:val="32"/>
          <w:highlight w:val="none"/>
          <w:lang w:val="en-US" w:eastAsia="zh-CN"/>
        </w:rPr>
        <w:t>满足我行</w:t>
      </w:r>
      <w:r>
        <w:rPr>
          <w:rFonts w:hint="eastAsia" w:ascii="仿宋_GB2312" w:hAnsi="仿宋_GB2312" w:eastAsia="仿宋_GB2312" w:cs="仿宋_GB2312"/>
          <w:sz w:val="32"/>
          <w:szCs w:val="32"/>
          <w:highlight w:val="none"/>
        </w:rPr>
        <w:t>管理</w:t>
      </w:r>
      <w:r>
        <w:rPr>
          <w:rFonts w:hint="eastAsia" w:ascii="仿宋_GB2312" w:hAnsi="仿宋_GB2312" w:eastAsia="仿宋_GB2312" w:cs="仿宋_GB2312"/>
          <w:sz w:val="32"/>
          <w:szCs w:val="32"/>
          <w:highlight w:val="none"/>
          <w:lang w:val="en-US" w:eastAsia="zh-CN"/>
        </w:rPr>
        <w:t>要求：</w:t>
      </w:r>
    </w:p>
    <w:p>
      <w:pPr>
        <w:pageBreakBefore w:val="0"/>
        <w:kinsoku/>
        <w:wordWrap/>
        <w:overflowPunct/>
        <w:topLinePunct w:val="0"/>
        <w:autoSpaceDE/>
        <w:autoSpaceDN/>
        <w:bidi w:val="0"/>
        <w:snapToGrid/>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（1）所有驻场服务人员必须遵守</w:t>
      </w:r>
      <w:r>
        <w:rPr>
          <w:rFonts w:hint="eastAsia" w:ascii="仿宋_GB2312" w:hAnsi="仿宋_GB2312" w:eastAsia="仿宋_GB2312" w:cs="仿宋_GB2312"/>
          <w:sz w:val="32"/>
          <w:szCs w:val="32"/>
          <w:highlight w:val="none"/>
          <w:lang w:val="en-US" w:eastAsia="zh-CN"/>
        </w:rPr>
        <w:t>我行</w:t>
      </w:r>
      <w:r>
        <w:rPr>
          <w:rFonts w:hint="eastAsia" w:ascii="仿宋_GB2312" w:hAnsi="仿宋_GB2312" w:eastAsia="仿宋_GB2312" w:cs="仿宋_GB2312"/>
          <w:sz w:val="32"/>
          <w:szCs w:val="32"/>
          <w:highlight w:val="none"/>
        </w:rPr>
        <w:t>作息制度和相关工作制度规定，提供5*8小时驻场服务。</w:t>
      </w:r>
    </w:p>
    <w:p>
      <w:pPr>
        <w:pageBreakBefore w:val="0"/>
        <w:kinsoku/>
        <w:wordWrap/>
        <w:overflowPunct/>
        <w:topLinePunct w:val="0"/>
        <w:autoSpaceDE/>
        <w:autoSpaceDN/>
        <w:bidi w:val="0"/>
        <w:snapToGrid/>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（2）驻场服务期间，所有驻场服务人员必须严格按照</w:t>
      </w:r>
      <w:r>
        <w:rPr>
          <w:rFonts w:hint="eastAsia" w:ascii="仿宋_GB2312" w:hAnsi="仿宋_GB2312" w:eastAsia="仿宋_GB2312" w:cs="仿宋_GB2312"/>
          <w:sz w:val="32"/>
          <w:szCs w:val="32"/>
          <w:highlight w:val="none"/>
          <w:lang w:val="en-US" w:eastAsia="zh-CN"/>
        </w:rPr>
        <w:t>我行</w:t>
      </w:r>
      <w:r>
        <w:rPr>
          <w:rFonts w:hint="eastAsia" w:ascii="仿宋_GB2312" w:hAnsi="仿宋_GB2312" w:eastAsia="仿宋_GB2312" w:cs="仿宋_GB2312"/>
          <w:sz w:val="32"/>
          <w:szCs w:val="32"/>
          <w:highlight w:val="none"/>
        </w:rPr>
        <w:t>各项规章制度合规开展工作；驻场服务地点为</w:t>
      </w:r>
      <w:r>
        <w:rPr>
          <w:rFonts w:hint="eastAsia" w:ascii="仿宋_GB2312" w:hAnsi="仿宋_GB2312" w:eastAsia="仿宋_GB2312" w:cs="仿宋_GB2312"/>
          <w:sz w:val="32"/>
          <w:szCs w:val="32"/>
          <w:highlight w:val="none"/>
          <w:lang w:eastAsia="zh-CN"/>
        </w:rPr>
        <w:t>我行</w:t>
      </w:r>
      <w:r>
        <w:rPr>
          <w:rFonts w:hint="eastAsia" w:ascii="仿宋_GB2312" w:hAnsi="仿宋_GB2312" w:eastAsia="仿宋_GB2312" w:cs="仿宋_GB2312"/>
          <w:sz w:val="32"/>
          <w:szCs w:val="32"/>
          <w:highlight w:val="none"/>
        </w:rPr>
        <w:t>指定地点。</w:t>
      </w:r>
    </w:p>
    <w:p>
      <w:pPr>
        <w:pageBreakBefore w:val="0"/>
        <w:kinsoku/>
        <w:wordWrap/>
        <w:overflowPunct/>
        <w:topLinePunct w:val="0"/>
        <w:autoSpaceDE/>
        <w:autoSpaceDN/>
        <w:bidi w:val="0"/>
        <w:snapToGrid/>
        <w:spacing w:line="560" w:lineRule="exact"/>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（3）任何驻场</w:t>
      </w:r>
      <w:r>
        <w:rPr>
          <w:rFonts w:hint="eastAsia" w:ascii="仿宋_GB2312" w:hAnsi="仿宋_GB2312" w:eastAsia="仿宋_GB2312" w:cs="仿宋_GB2312"/>
          <w:sz w:val="32"/>
          <w:szCs w:val="32"/>
          <w:highlight w:val="none"/>
          <w:lang w:val="en-US" w:eastAsia="zh-CN"/>
        </w:rPr>
        <w:t>服务</w:t>
      </w:r>
      <w:r>
        <w:rPr>
          <w:rFonts w:hint="eastAsia" w:ascii="仿宋_GB2312" w:hAnsi="仿宋_GB2312" w:eastAsia="仿宋_GB2312" w:cs="仿宋_GB2312"/>
          <w:sz w:val="32"/>
          <w:szCs w:val="32"/>
          <w:highlight w:val="none"/>
        </w:rPr>
        <w:t>人员不得随意更换。如果更换人员则</w:t>
      </w:r>
      <w:r>
        <w:rPr>
          <w:rFonts w:hint="eastAsia" w:ascii="仿宋_GB2312" w:hAnsi="仿宋_GB2312" w:eastAsia="仿宋_GB2312" w:cs="仿宋_GB2312"/>
          <w:sz w:val="32"/>
          <w:szCs w:val="32"/>
          <w:highlight w:val="none"/>
          <w:lang w:val="en-US" w:eastAsia="zh-CN"/>
        </w:rPr>
        <w:t>供应商</w:t>
      </w:r>
      <w:r>
        <w:rPr>
          <w:rFonts w:hint="eastAsia" w:ascii="仿宋_GB2312" w:hAnsi="仿宋_GB2312" w:eastAsia="仿宋_GB2312" w:cs="仿宋_GB2312"/>
          <w:sz w:val="32"/>
          <w:szCs w:val="32"/>
          <w:highlight w:val="none"/>
        </w:rPr>
        <w:t>应提前</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个月通知</w:t>
      </w:r>
      <w:r>
        <w:rPr>
          <w:rFonts w:hint="eastAsia" w:ascii="仿宋_GB2312" w:hAnsi="仿宋_GB2312" w:eastAsia="仿宋_GB2312" w:cs="仿宋_GB2312"/>
          <w:sz w:val="32"/>
          <w:szCs w:val="32"/>
          <w:highlight w:val="none"/>
          <w:lang w:eastAsia="zh-CN"/>
        </w:rPr>
        <w:t>我行</w:t>
      </w:r>
      <w:r>
        <w:rPr>
          <w:rFonts w:hint="eastAsia" w:ascii="仿宋_GB2312" w:hAnsi="仿宋_GB2312" w:eastAsia="仿宋_GB2312" w:cs="仿宋_GB2312"/>
          <w:sz w:val="32"/>
          <w:szCs w:val="32"/>
          <w:highlight w:val="none"/>
        </w:rPr>
        <w:t>，并经过</w:t>
      </w:r>
      <w:r>
        <w:rPr>
          <w:rFonts w:hint="eastAsia" w:ascii="仿宋_GB2312" w:hAnsi="仿宋_GB2312" w:eastAsia="仿宋_GB2312" w:cs="仿宋_GB2312"/>
          <w:sz w:val="32"/>
          <w:szCs w:val="32"/>
          <w:highlight w:val="none"/>
          <w:lang w:eastAsia="zh-CN"/>
        </w:rPr>
        <w:t>我行</w:t>
      </w:r>
      <w:r>
        <w:rPr>
          <w:rFonts w:hint="eastAsia" w:ascii="仿宋_GB2312" w:hAnsi="仿宋_GB2312" w:eastAsia="仿宋_GB2312" w:cs="仿宋_GB2312"/>
          <w:sz w:val="32"/>
          <w:szCs w:val="32"/>
          <w:highlight w:val="none"/>
        </w:rPr>
        <w:t>审核通过后方可换人。同时要求新换人员必须通过</w:t>
      </w:r>
      <w:r>
        <w:rPr>
          <w:rFonts w:hint="eastAsia" w:ascii="仿宋_GB2312" w:hAnsi="仿宋_GB2312" w:eastAsia="仿宋_GB2312" w:cs="仿宋_GB2312"/>
          <w:sz w:val="32"/>
          <w:szCs w:val="32"/>
          <w:highlight w:val="none"/>
          <w:lang w:eastAsia="zh-CN"/>
        </w:rPr>
        <w:t>我行</w:t>
      </w:r>
      <w:r>
        <w:rPr>
          <w:rFonts w:hint="eastAsia" w:ascii="仿宋_GB2312" w:hAnsi="仿宋_GB2312" w:eastAsia="仿宋_GB2312" w:cs="仿宋_GB2312"/>
          <w:sz w:val="32"/>
          <w:szCs w:val="32"/>
          <w:highlight w:val="none"/>
        </w:rPr>
        <w:t>的审核，且由</w:t>
      </w:r>
      <w:r>
        <w:rPr>
          <w:rFonts w:hint="eastAsia" w:ascii="仿宋_GB2312" w:hAnsi="仿宋_GB2312" w:eastAsia="仿宋_GB2312" w:cs="仿宋_GB2312"/>
          <w:sz w:val="32"/>
          <w:szCs w:val="32"/>
          <w:highlight w:val="none"/>
          <w:lang w:val="en-US" w:eastAsia="zh-CN"/>
        </w:rPr>
        <w:t>供应商</w:t>
      </w:r>
      <w:r>
        <w:rPr>
          <w:rFonts w:hint="eastAsia" w:ascii="仿宋_GB2312" w:hAnsi="仿宋_GB2312" w:eastAsia="仿宋_GB2312" w:cs="仿宋_GB2312"/>
          <w:sz w:val="32"/>
          <w:szCs w:val="32"/>
          <w:highlight w:val="none"/>
        </w:rPr>
        <w:t>保证人员更换期间支持工作的连续性</w:t>
      </w:r>
      <w:r>
        <w:rPr>
          <w:rFonts w:hint="eastAsia" w:ascii="仿宋_GB2312" w:hAnsi="仿宋_GB2312" w:eastAsia="仿宋_GB2312" w:cs="仿宋_GB2312"/>
          <w:sz w:val="32"/>
          <w:szCs w:val="32"/>
          <w:highlight w:val="none"/>
          <w:lang w:eastAsia="zh-CN"/>
        </w:rPr>
        <w:t>。</w:t>
      </w:r>
    </w:p>
    <w:p>
      <w:pPr>
        <w:pageBreakBefore w:val="0"/>
        <w:kinsoku/>
        <w:wordWrap/>
        <w:overflowPunct/>
        <w:topLinePunct w:val="0"/>
        <w:autoSpaceDE/>
        <w:autoSpaceDN/>
        <w:bidi w:val="0"/>
        <w:snapToGrid/>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（4）如果支持人员因违反</w:t>
      </w:r>
      <w:r>
        <w:rPr>
          <w:rFonts w:hint="eastAsia" w:ascii="仿宋_GB2312" w:hAnsi="仿宋_GB2312" w:eastAsia="仿宋_GB2312" w:cs="仿宋_GB2312"/>
          <w:sz w:val="32"/>
          <w:szCs w:val="32"/>
          <w:highlight w:val="none"/>
          <w:lang w:eastAsia="zh-CN"/>
        </w:rPr>
        <w:t>我行</w:t>
      </w:r>
      <w:r>
        <w:rPr>
          <w:rFonts w:hint="eastAsia" w:ascii="仿宋_GB2312" w:hAnsi="仿宋_GB2312" w:eastAsia="仿宋_GB2312" w:cs="仿宋_GB2312"/>
          <w:sz w:val="32"/>
          <w:szCs w:val="32"/>
          <w:highlight w:val="none"/>
        </w:rPr>
        <w:t>工作纪律或相关运行制度，并给</w:t>
      </w:r>
      <w:r>
        <w:rPr>
          <w:rFonts w:hint="eastAsia" w:ascii="仿宋_GB2312" w:hAnsi="仿宋_GB2312" w:eastAsia="仿宋_GB2312" w:cs="仿宋_GB2312"/>
          <w:sz w:val="32"/>
          <w:szCs w:val="32"/>
          <w:highlight w:val="none"/>
          <w:lang w:eastAsia="zh-CN"/>
        </w:rPr>
        <w:t>我行</w:t>
      </w:r>
      <w:r>
        <w:rPr>
          <w:rFonts w:hint="eastAsia" w:ascii="仿宋_GB2312" w:hAnsi="仿宋_GB2312" w:eastAsia="仿宋_GB2312" w:cs="仿宋_GB2312"/>
          <w:sz w:val="32"/>
          <w:szCs w:val="32"/>
          <w:highlight w:val="none"/>
        </w:rPr>
        <w:t>造成了损失，则</w:t>
      </w:r>
      <w:r>
        <w:rPr>
          <w:rFonts w:hint="eastAsia" w:ascii="仿宋_GB2312" w:hAnsi="仿宋_GB2312" w:eastAsia="仿宋_GB2312" w:cs="仿宋_GB2312"/>
          <w:sz w:val="32"/>
          <w:szCs w:val="32"/>
          <w:highlight w:val="none"/>
          <w:lang w:val="en-US" w:eastAsia="zh-CN"/>
        </w:rPr>
        <w:t>供应商</w:t>
      </w:r>
      <w:r>
        <w:rPr>
          <w:rFonts w:hint="eastAsia" w:ascii="仿宋_GB2312" w:hAnsi="仿宋_GB2312" w:eastAsia="仿宋_GB2312" w:cs="仿宋_GB2312"/>
          <w:sz w:val="32"/>
          <w:szCs w:val="32"/>
          <w:highlight w:val="none"/>
        </w:rPr>
        <w:t>有责任进行赔偿，具体赔偿标准见合同。</w:t>
      </w:r>
    </w:p>
    <w:p>
      <w:pPr>
        <w:pageBreakBefore w:val="0"/>
        <w:kinsoku/>
        <w:wordWrap/>
        <w:overflowPunct/>
        <w:topLinePunct w:val="0"/>
        <w:autoSpaceDE/>
        <w:autoSpaceDN/>
        <w:bidi w:val="0"/>
        <w:snapToGrid/>
        <w:spacing w:line="560" w:lineRule="exact"/>
        <w:ind w:firstLine="640" w:firstLineChars="200"/>
        <w:rPr>
          <w:rFonts w:ascii="Times New Roman" w:hAnsi="黑体" w:eastAsia="黑体"/>
          <w:b w:val="0"/>
          <w:bCs w:val="0"/>
          <w:sz w:val="32"/>
          <w:highlight w:val="none"/>
        </w:rPr>
      </w:pPr>
      <w:r>
        <w:rPr>
          <w:rFonts w:hint="eastAsia" w:ascii="仿宋_GB2312" w:hAnsi="仿宋_GB2312" w:eastAsia="仿宋_GB2312" w:cs="仿宋_GB2312"/>
          <w:sz w:val="32"/>
          <w:szCs w:val="32"/>
          <w:highlight w:val="none"/>
        </w:rPr>
        <w:t>（5）根据支持效果，对于不能够胜任支持工作的人员，</w:t>
      </w:r>
      <w:r>
        <w:rPr>
          <w:rFonts w:hint="eastAsia" w:ascii="仿宋_GB2312" w:hAnsi="仿宋_GB2312" w:eastAsia="仿宋_GB2312" w:cs="仿宋_GB2312"/>
          <w:sz w:val="32"/>
          <w:szCs w:val="32"/>
          <w:highlight w:val="none"/>
          <w:lang w:eastAsia="zh-CN"/>
        </w:rPr>
        <w:t>我行</w:t>
      </w:r>
      <w:r>
        <w:rPr>
          <w:rFonts w:hint="eastAsia" w:ascii="仿宋_GB2312" w:hAnsi="仿宋_GB2312" w:eastAsia="仿宋_GB2312" w:cs="仿宋_GB2312"/>
          <w:sz w:val="32"/>
          <w:szCs w:val="32"/>
          <w:highlight w:val="none"/>
        </w:rPr>
        <w:t>有权利要求</w:t>
      </w:r>
      <w:r>
        <w:rPr>
          <w:rFonts w:hint="eastAsia" w:ascii="仿宋_GB2312" w:hAnsi="仿宋_GB2312" w:eastAsia="仿宋_GB2312" w:cs="仿宋_GB2312"/>
          <w:sz w:val="32"/>
          <w:szCs w:val="32"/>
          <w:highlight w:val="none"/>
          <w:lang w:val="en-US" w:eastAsia="zh-CN"/>
        </w:rPr>
        <w:t>供应商</w:t>
      </w:r>
      <w:r>
        <w:rPr>
          <w:rFonts w:hint="eastAsia" w:ascii="仿宋_GB2312" w:hAnsi="仿宋_GB2312" w:eastAsia="仿宋_GB2312" w:cs="仿宋_GB2312"/>
          <w:sz w:val="32"/>
          <w:szCs w:val="32"/>
          <w:highlight w:val="none"/>
        </w:rPr>
        <w:t>重新进行调换。同时</w:t>
      </w:r>
      <w:r>
        <w:rPr>
          <w:rFonts w:hint="eastAsia" w:ascii="仿宋_GB2312" w:hAnsi="仿宋_GB2312" w:eastAsia="仿宋_GB2312" w:cs="仿宋_GB2312"/>
          <w:sz w:val="32"/>
          <w:szCs w:val="32"/>
          <w:highlight w:val="none"/>
          <w:lang w:val="en-US" w:eastAsia="zh-CN"/>
        </w:rPr>
        <w:t>由供应商</w:t>
      </w:r>
      <w:r>
        <w:rPr>
          <w:rFonts w:hint="eastAsia" w:ascii="仿宋_GB2312" w:hAnsi="仿宋_GB2312" w:eastAsia="仿宋_GB2312" w:cs="仿宋_GB2312"/>
          <w:sz w:val="32"/>
          <w:szCs w:val="32"/>
          <w:highlight w:val="none"/>
        </w:rPr>
        <w:t>保证人员更换期间支持工作的连续性。</w:t>
      </w:r>
    </w:p>
    <w:p>
      <w:pPr>
        <w:pStyle w:val="18"/>
        <w:keepNext/>
        <w:keepLines/>
        <w:pageBreakBefore w:val="0"/>
        <w:widowControl w:val="0"/>
        <w:kinsoku/>
        <w:wordWrap/>
        <w:overflowPunct/>
        <w:topLinePunct w:val="0"/>
        <w:autoSpaceDE/>
        <w:autoSpaceDN/>
        <w:bidi w:val="0"/>
        <w:adjustRightInd w:val="0"/>
        <w:snapToGrid/>
        <w:spacing w:before="0" w:beforeLines="0" w:after="0" w:afterLines="0" w:line="560" w:lineRule="exact"/>
        <w:ind w:firstLine="640" w:firstLineChars="200"/>
        <w:textAlignment w:val="baseline"/>
        <w:outlineLvl w:val="0"/>
        <w:rPr>
          <w:rFonts w:hint="eastAsia" w:ascii="Times New Roman" w:hAnsi="黑体" w:eastAsia="黑体" w:cs="Times New Roman"/>
          <w:b w:val="0"/>
          <w:bCs w:val="0"/>
          <w:color w:val="auto"/>
          <w:sz w:val="32"/>
          <w:highlight w:val="none"/>
          <w:lang w:val="en-US" w:eastAsia="zh-CN"/>
        </w:rPr>
      </w:pPr>
      <w:bookmarkStart w:id="13" w:name="_Toc13180"/>
      <w:bookmarkStart w:id="14" w:name="_Toc1526"/>
      <w:r>
        <w:rPr>
          <w:rFonts w:hint="eastAsia" w:ascii="Times New Roman" w:hAnsi="黑体" w:eastAsia="黑体" w:cs="Times New Roman"/>
          <w:b w:val="0"/>
          <w:bCs w:val="0"/>
          <w:color w:val="auto"/>
          <w:sz w:val="32"/>
          <w:highlight w:val="none"/>
          <w:lang w:val="en-US" w:eastAsia="zh-CN"/>
        </w:rPr>
        <w:t>七、安全要求</w:t>
      </w:r>
      <w:bookmarkEnd w:id="13"/>
      <w:bookmarkEnd w:id="14"/>
    </w:p>
    <w:p>
      <w:pPr>
        <w:pageBreakBefore w:val="0"/>
        <w:kinsoku/>
        <w:wordWrap/>
        <w:overflowPunct/>
        <w:topLinePunct w:val="0"/>
        <w:autoSpaceDE/>
        <w:autoSpaceDN/>
        <w:bidi w:val="0"/>
        <w:adjustRightInd w:val="0"/>
        <w:snapToGrid/>
        <w:spacing w:line="560" w:lineRule="exact"/>
        <w:ind w:firstLine="640" w:firstLineChars="200"/>
        <w:textAlignment w:val="baseline"/>
        <w:rPr>
          <w:rFonts w:hint="eastAsia" w:eastAsia="仿宋_GB2312"/>
          <w:color w:val="auto"/>
          <w:sz w:val="32"/>
          <w:szCs w:val="22"/>
          <w:highlight w:val="none"/>
        </w:rPr>
      </w:pPr>
      <w:r>
        <w:rPr>
          <w:rFonts w:hint="eastAsia" w:eastAsia="仿宋_GB2312"/>
          <w:color w:val="auto"/>
          <w:sz w:val="32"/>
          <w:szCs w:val="22"/>
          <w:highlight w:val="none"/>
        </w:rPr>
        <w:t>在未征得</w:t>
      </w:r>
      <w:r>
        <w:rPr>
          <w:rFonts w:hint="eastAsia" w:eastAsia="仿宋_GB2312"/>
          <w:color w:val="auto"/>
          <w:sz w:val="32"/>
          <w:szCs w:val="22"/>
          <w:highlight w:val="none"/>
          <w:lang w:val="en-US" w:eastAsia="zh-CN"/>
        </w:rPr>
        <w:t>我行</w:t>
      </w:r>
      <w:r>
        <w:rPr>
          <w:rFonts w:hint="eastAsia" w:eastAsia="仿宋_GB2312"/>
          <w:color w:val="auto"/>
          <w:sz w:val="32"/>
          <w:szCs w:val="22"/>
          <w:highlight w:val="none"/>
        </w:rPr>
        <w:t>同意的情况下，</w:t>
      </w:r>
      <w:r>
        <w:rPr>
          <w:rFonts w:hint="eastAsia" w:eastAsia="仿宋_GB2312"/>
          <w:color w:val="auto"/>
          <w:sz w:val="32"/>
          <w:szCs w:val="22"/>
          <w:highlight w:val="none"/>
          <w:lang w:val="en-US" w:eastAsia="zh-CN"/>
        </w:rPr>
        <w:t>供应商</w:t>
      </w:r>
      <w:r>
        <w:rPr>
          <w:rFonts w:hint="eastAsia" w:eastAsia="仿宋_GB2312"/>
          <w:color w:val="auto"/>
          <w:sz w:val="32"/>
          <w:szCs w:val="22"/>
          <w:highlight w:val="none"/>
        </w:rPr>
        <w:t>供应商必须保证所提供的人员能够严格遵守各项规章制度，主要包括但不限于以下内容：</w:t>
      </w:r>
    </w:p>
    <w:p>
      <w:pPr>
        <w:pageBreakBefore w:val="0"/>
        <w:kinsoku/>
        <w:wordWrap/>
        <w:overflowPunct/>
        <w:topLinePunct w:val="0"/>
        <w:autoSpaceDE/>
        <w:autoSpaceDN/>
        <w:bidi w:val="0"/>
        <w:adjustRightInd w:val="0"/>
        <w:snapToGrid/>
        <w:spacing w:line="560" w:lineRule="exact"/>
        <w:ind w:firstLine="640" w:firstLineChars="200"/>
        <w:textAlignment w:val="baseline"/>
        <w:rPr>
          <w:rFonts w:hint="eastAsia" w:eastAsia="仿宋_GB2312"/>
          <w:color w:val="auto"/>
          <w:sz w:val="32"/>
          <w:szCs w:val="22"/>
          <w:highlight w:val="none"/>
        </w:rPr>
      </w:pPr>
      <w:r>
        <w:rPr>
          <w:rFonts w:hint="eastAsia" w:eastAsia="仿宋_GB2312"/>
          <w:color w:val="auto"/>
          <w:sz w:val="32"/>
          <w:szCs w:val="22"/>
          <w:highlight w:val="none"/>
          <w:lang w:eastAsia="zh-CN"/>
        </w:rPr>
        <w:t>（</w:t>
      </w:r>
      <w:r>
        <w:rPr>
          <w:rFonts w:hint="eastAsia" w:eastAsia="仿宋_GB2312"/>
          <w:color w:val="auto"/>
          <w:sz w:val="32"/>
          <w:szCs w:val="22"/>
          <w:highlight w:val="none"/>
          <w:lang w:val="en-US" w:eastAsia="zh-CN"/>
        </w:rPr>
        <w:t>一</w:t>
      </w:r>
      <w:r>
        <w:rPr>
          <w:rFonts w:hint="eastAsia" w:eastAsia="仿宋_GB2312"/>
          <w:color w:val="auto"/>
          <w:sz w:val="32"/>
          <w:szCs w:val="22"/>
          <w:highlight w:val="none"/>
          <w:lang w:eastAsia="zh-CN"/>
        </w:rPr>
        <w:t>）</w:t>
      </w:r>
      <w:r>
        <w:rPr>
          <w:rFonts w:hint="eastAsia" w:eastAsia="仿宋_GB2312"/>
          <w:color w:val="auto"/>
          <w:sz w:val="32"/>
          <w:szCs w:val="22"/>
          <w:highlight w:val="none"/>
        </w:rPr>
        <w:t>法律合规方面，应有效规避实施过程中给</w:t>
      </w:r>
      <w:r>
        <w:rPr>
          <w:rFonts w:hint="eastAsia" w:eastAsia="仿宋_GB2312"/>
          <w:color w:val="auto"/>
          <w:sz w:val="32"/>
          <w:szCs w:val="22"/>
          <w:highlight w:val="none"/>
          <w:lang w:val="en-US" w:eastAsia="zh-CN"/>
        </w:rPr>
        <w:t>我</w:t>
      </w:r>
      <w:r>
        <w:rPr>
          <w:rFonts w:hint="eastAsia" w:eastAsia="仿宋_GB2312"/>
          <w:color w:val="auto"/>
          <w:sz w:val="32"/>
          <w:szCs w:val="22"/>
          <w:highlight w:val="none"/>
        </w:rPr>
        <w:t>行带来的法律风险。</w:t>
      </w:r>
    </w:p>
    <w:p>
      <w:pPr>
        <w:pageBreakBefore w:val="0"/>
        <w:kinsoku/>
        <w:wordWrap/>
        <w:overflowPunct/>
        <w:topLinePunct w:val="0"/>
        <w:autoSpaceDE/>
        <w:autoSpaceDN/>
        <w:bidi w:val="0"/>
        <w:adjustRightInd w:val="0"/>
        <w:snapToGrid/>
        <w:spacing w:line="560" w:lineRule="exact"/>
        <w:ind w:firstLine="640" w:firstLineChars="200"/>
        <w:textAlignment w:val="baseline"/>
        <w:rPr>
          <w:rFonts w:hint="eastAsia" w:eastAsia="仿宋_GB2312"/>
          <w:color w:val="auto"/>
          <w:sz w:val="32"/>
          <w:szCs w:val="22"/>
          <w:highlight w:val="none"/>
        </w:rPr>
      </w:pPr>
      <w:r>
        <w:rPr>
          <w:rFonts w:hint="eastAsia" w:eastAsia="仿宋_GB2312"/>
          <w:color w:val="auto"/>
          <w:sz w:val="32"/>
          <w:szCs w:val="22"/>
          <w:highlight w:val="none"/>
          <w:lang w:eastAsia="zh-CN"/>
        </w:rPr>
        <w:t>（</w:t>
      </w:r>
      <w:r>
        <w:rPr>
          <w:rFonts w:hint="eastAsia" w:eastAsia="仿宋_GB2312"/>
          <w:color w:val="auto"/>
          <w:sz w:val="32"/>
          <w:szCs w:val="22"/>
          <w:highlight w:val="none"/>
          <w:lang w:val="en-US" w:eastAsia="zh-CN"/>
        </w:rPr>
        <w:t>二</w:t>
      </w:r>
      <w:r>
        <w:rPr>
          <w:rFonts w:hint="eastAsia" w:eastAsia="仿宋_GB2312"/>
          <w:color w:val="auto"/>
          <w:sz w:val="32"/>
          <w:szCs w:val="22"/>
          <w:highlight w:val="none"/>
          <w:lang w:eastAsia="zh-CN"/>
        </w:rPr>
        <w:t>）</w:t>
      </w:r>
      <w:r>
        <w:rPr>
          <w:rFonts w:hint="eastAsia" w:eastAsia="仿宋_GB2312"/>
          <w:color w:val="auto"/>
          <w:sz w:val="32"/>
          <w:szCs w:val="22"/>
          <w:highlight w:val="none"/>
        </w:rPr>
        <w:t>信息</w:t>
      </w:r>
      <w:r>
        <w:rPr>
          <w:rFonts w:hint="eastAsia" w:eastAsia="仿宋_GB2312"/>
          <w:color w:val="auto"/>
          <w:sz w:val="32"/>
          <w:szCs w:val="22"/>
          <w:highlight w:val="none"/>
          <w:lang w:val="en-US" w:eastAsia="zh-CN"/>
        </w:rPr>
        <w:t>安全</w:t>
      </w:r>
      <w:r>
        <w:rPr>
          <w:rFonts w:hint="eastAsia" w:eastAsia="仿宋_GB2312"/>
          <w:color w:val="auto"/>
          <w:sz w:val="32"/>
          <w:szCs w:val="22"/>
          <w:highlight w:val="none"/>
        </w:rPr>
        <w:t>方面，应有效规避因服务人员导致的银行信息（如业务数据和商务信息等）泄漏风险。</w:t>
      </w:r>
    </w:p>
    <w:p>
      <w:pPr>
        <w:pageBreakBefore w:val="0"/>
        <w:kinsoku/>
        <w:wordWrap/>
        <w:overflowPunct/>
        <w:topLinePunct w:val="0"/>
        <w:autoSpaceDE/>
        <w:autoSpaceDN/>
        <w:bidi w:val="0"/>
        <w:adjustRightInd w:val="0"/>
        <w:snapToGrid/>
        <w:spacing w:line="560" w:lineRule="exact"/>
        <w:ind w:firstLine="640" w:firstLineChars="200"/>
        <w:textAlignment w:val="baseline"/>
        <w:rPr>
          <w:rFonts w:hint="eastAsia" w:eastAsia="仿宋_GB2312"/>
          <w:color w:val="auto"/>
          <w:sz w:val="32"/>
          <w:szCs w:val="22"/>
          <w:highlight w:val="none"/>
        </w:rPr>
      </w:pPr>
      <w:r>
        <w:rPr>
          <w:rFonts w:hint="eastAsia" w:eastAsia="仿宋_GB2312"/>
          <w:color w:val="auto"/>
          <w:sz w:val="32"/>
          <w:szCs w:val="22"/>
          <w:highlight w:val="none"/>
          <w:lang w:eastAsia="zh-CN"/>
        </w:rPr>
        <w:t>（</w:t>
      </w:r>
      <w:r>
        <w:rPr>
          <w:rFonts w:hint="eastAsia" w:eastAsia="仿宋_GB2312"/>
          <w:color w:val="auto"/>
          <w:sz w:val="32"/>
          <w:szCs w:val="22"/>
          <w:highlight w:val="none"/>
          <w:lang w:val="en-US" w:eastAsia="zh-CN"/>
        </w:rPr>
        <w:t>三</w:t>
      </w:r>
      <w:r>
        <w:rPr>
          <w:rFonts w:hint="eastAsia" w:eastAsia="仿宋_GB2312"/>
          <w:color w:val="auto"/>
          <w:sz w:val="32"/>
          <w:szCs w:val="22"/>
          <w:highlight w:val="none"/>
          <w:lang w:eastAsia="zh-CN"/>
        </w:rPr>
        <w:t>）</w:t>
      </w:r>
      <w:r>
        <w:rPr>
          <w:rFonts w:hint="eastAsia" w:eastAsia="仿宋_GB2312"/>
          <w:color w:val="auto"/>
          <w:sz w:val="32"/>
          <w:szCs w:val="22"/>
          <w:highlight w:val="none"/>
        </w:rPr>
        <w:t>生产安全方面，应严格规避因人员操作不当，导致的银行系统出现安全性和稳定性风险事件。</w:t>
      </w:r>
    </w:p>
    <w:p>
      <w:pPr>
        <w:pageBreakBefore w:val="0"/>
        <w:kinsoku/>
        <w:wordWrap/>
        <w:overflowPunct/>
        <w:topLinePunct w:val="0"/>
        <w:autoSpaceDE/>
        <w:autoSpaceDN/>
        <w:bidi w:val="0"/>
        <w:adjustRightInd w:val="0"/>
        <w:snapToGrid/>
        <w:spacing w:line="560" w:lineRule="exact"/>
        <w:ind w:firstLine="640" w:firstLineChars="200"/>
        <w:textAlignment w:val="baseline"/>
        <w:rPr>
          <w:rFonts w:hint="eastAsia" w:eastAsia="仿宋_GB2312"/>
          <w:color w:val="auto"/>
          <w:sz w:val="32"/>
          <w:szCs w:val="22"/>
          <w:highlight w:val="none"/>
        </w:rPr>
      </w:pPr>
      <w:r>
        <w:rPr>
          <w:rFonts w:hint="eastAsia" w:eastAsia="仿宋_GB2312"/>
          <w:color w:val="auto"/>
          <w:sz w:val="32"/>
          <w:szCs w:val="22"/>
          <w:highlight w:val="none"/>
          <w:lang w:eastAsia="zh-CN"/>
        </w:rPr>
        <w:t>（</w:t>
      </w:r>
      <w:r>
        <w:rPr>
          <w:rFonts w:hint="eastAsia" w:eastAsia="仿宋_GB2312"/>
          <w:color w:val="auto"/>
          <w:sz w:val="32"/>
          <w:szCs w:val="22"/>
          <w:highlight w:val="none"/>
          <w:lang w:val="en-US" w:eastAsia="zh-CN"/>
        </w:rPr>
        <w:t>四</w:t>
      </w:r>
      <w:r>
        <w:rPr>
          <w:rFonts w:hint="eastAsia" w:eastAsia="仿宋_GB2312"/>
          <w:color w:val="auto"/>
          <w:sz w:val="32"/>
          <w:szCs w:val="22"/>
          <w:highlight w:val="none"/>
          <w:lang w:eastAsia="zh-CN"/>
        </w:rPr>
        <w:t>）</w:t>
      </w:r>
      <w:r>
        <w:rPr>
          <w:rFonts w:hint="eastAsia" w:eastAsia="仿宋_GB2312"/>
          <w:color w:val="auto"/>
          <w:sz w:val="32"/>
          <w:szCs w:val="22"/>
          <w:highlight w:val="none"/>
        </w:rPr>
        <w:t>安全审计方面，应确保针对银行设备的相关操作留有纸质或视频记录。</w:t>
      </w:r>
    </w:p>
    <w:p>
      <w:pPr>
        <w:pageBreakBefore w:val="0"/>
        <w:kinsoku/>
        <w:wordWrap/>
        <w:overflowPunct/>
        <w:topLinePunct w:val="0"/>
        <w:autoSpaceDE/>
        <w:autoSpaceDN/>
        <w:bidi w:val="0"/>
        <w:adjustRightInd w:val="0"/>
        <w:snapToGrid/>
        <w:spacing w:line="560" w:lineRule="exact"/>
        <w:ind w:firstLine="640" w:firstLineChars="200"/>
        <w:textAlignment w:val="baseline"/>
        <w:rPr>
          <w:highlight w:val="none"/>
        </w:rPr>
      </w:pPr>
      <w:r>
        <w:rPr>
          <w:rFonts w:hint="eastAsia" w:eastAsia="仿宋_GB2312"/>
          <w:sz w:val="32"/>
          <w:szCs w:val="22"/>
          <w:highlight w:val="none"/>
          <w:lang w:eastAsia="zh-CN"/>
        </w:rPr>
        <w:t>（</w:t>
      </w:r>
      <w:r>
        <w:rPr>
          <w:rFonts w:hint="eastAsia" w:eastAsia="仿宋_GB2312"/>
          <w:sz w:val="32"/>
          <w:szCs w:val="22"/>
          <w:highlight w:val="none"/>
          <w:lang w:val="en-US" w:eastAsia="zh-CN"/>
        </w:rPr>
        <w:t>五</w:t>
      </w:r>
      <w:r>
        <w:rPr>
          <w:rFonts w:hint="eastAsia" w:eastAsia="仿宋_GB2312"/>
          <w:sz w:val="32"/>
          <w:szCs w:val="22"/>
          <w:highlight w:val="none"/>
          <w:lang w:eastAsia="zh-CN"/>
        </w:rPr>
        <w:t>）</w:t>
      </w:r>
      <w:r>
        <w:rPr>
          <w:rFonts w:hint="default" w:eastAsia="仿宋_GB2312"/>
          <w:sz w:val="32"/>
          <w:szCs w:val="22"/>
          <w:highlight w:val="none"/>
        </w:rPr>
        <w:t>保密</w:t>
      </w:r>
      <w:r>
        <w:rPr>
          <w:rFonts w:hint="eastAsia" w:eastAsia="仿宋_GB2312"/>
          <w:b w:val="0"/>
          <w:bCs w:val="0"/>
          <w:sz w:val="32"/>
          <w:szCs w:val="22"/>
          <w:highlight w:val="none"/>
          <w:lang w:val="en-US" w:eastAsia="zh-CN"/>
        </w:rPr>
        <w:t>要求方面，</w:t>
      </w:r>
      <w:r>
        <w:rPr>
          <w:rFonts w:hint="default" w:eastAsia="仿宋_GB2312"/>
          <w:sz w:val="32"/>
          <w:szCs w:val="22"/>
          <w:highlight w:val="none"/>
        </w:rPr>
        <w:t>供应商对项目实施中涉及到的相关数据、资料、文档等具有保密的义务，并应按照相应保密规定执行。本项目所形成的数据成果归</w:t>
      </w:r>
      <w:r>
        <w:rPr>
          <w:rFonts w:hint="eastAsia" w:eastAsia="仿宋_GB2312"/>
          <w:sz w:val="32"/>
          <w:szCs w:val="22"/>
          <w:highlight w:val="none"/>
          <w:lang w:val="en-US" w:eastAsia="zh-CN"/>
        </w:rPr>
        <w:t>我行</w:t>
      </w:r>
      <w:r>
        <w:rPr>
          <w:rFonts w:hint="default" w:eastAsia="仿宋_GB2312"/>
          <w:sz w:val="32"/>
          <w:szCs w:val="22"/>
          <w:highlight w:val="none"/>
        </w:rPr>
        <w:t>所有。未经</w:t>
      </w:r>
      <w:r>
        <w:rPr>
          <w:rFonts w:hint="eastAsia" w:eastAsia="仿宋_GB2312"/>
          <w:sz w:val="32"/>
          <w:szCs w:val="22"/>
          <w:highlight w:val="none"/>
          <w:lang w:val="en-US" w:eastAsia="zh-CN"/>
        </w:rPr>
        <w:t>我行</w:t>
      </w:r>
      <w:r>
        <w:rPr>
          <w:rFonts w:hint="default" w:eastAsia="仿宋_GB2312"/>
          <w:sz w:val="32"/>
          <w:szCs w:val="22"/>
          <w:highlight w:val="none"/>
        </w:rPr>
        <w:t>同意，供应商</w:t>
      </w:r>
      <w:r>
        <w:rPr>
          <w:rFonts w:hint="eastAsia" w:eastAsia="仿宋_GB2312"/>
          <w:color w:val="auto"/>
          <w:sz w:val="32"/>
          <w:szCs w:val="22"/>
          <w:highlight w:val="none"/>
        </w:rPr>
        <w:t>不得向第三方泄露、公开或用于提供法律服务之外的其他目的</w:t>
      </w:r>
      <w:r>
        <w:rPr>
          <w:rFonts w:hint="eastAsia" w:eastAsia="仿宋_GB2312"/>
          <w:color w:val="auto"/>
          <w:sz w:val="32"/>
          <w:szCs w:val="22"/>
          <w:highlight w:val="none"/>
          <w:lang w:eastAsia="zh-CN"/>
        </w:rPr>
        <w:t>，</w:t>
      </w:r>
      <w:r>
        <w:rPr>
          <w:rFonts w:hint="eastAsia" w:eastAsia="仿宋_GB2312"/>
          <w:color w:val="auto"/>
          <w:sz w:val="32"/>
          <w:szCs w:val="22"/>
          <w:highlight w:val="none"/>
        </w:rPr>
        <w:t>对掌握的</w:t>
      </w:r>
      <w:r>
        <w:rPr>
          <w:rFonts w:hint="eastAsia" w:eastAsia="仿宋_GB2312"/>
          <w:color w:val="auto"/>
          <w:sz w:val="32"/>
          <w:szCs w:val="22"/>
          <w:highlight w:val="none"/>
          <w:lang w:val="en-US" w:eastAsia="zh-CN"/>
        </w:rPr>
        <w:t>我行</w:t>
      </w:r>
      <w:r>
        <w:rPr>
          <w:rFonts w:hint="eastAsia" w:eastAsia="仿宋_GB2312"/>
          <w:color w:val="auto"/>
          <w:sz w:val="32"/>
          <w:szCs w:val="22"/>
          <w:highlight w:val="none"/>
        </w:rPr>
        <w:t>、</w:t>
      </w:r>
      <w:r>
        <w:rPr>
          <w:rFonts w:hint="eastAsia" w:eastAsia="仿宋_GB2312"/>
          <w:color w:val="auto"/>
          <w:sz w:val="32"/>
          <w:szCs w:val="22"/>
          <w:highlight w:val="none"/>
          <w:lang w:val="en-US" w:eastAsia="zh-CN"/>
        </w:rPr>
        <w:t>我行</w:t>
      </w:r>
      <w:r>
        <w:rPr>
          <w:rFonts w:hint="eastAsia" w:eastAsia="仿宋_GB2312"/>
          <w:color w:val="auto"/>
          <w:sz w:val="32"/>
          <w:szCs w:val="22"/>
          <w:highlight w:val="none"/>
        </w:rPr>
        <w:t>客户的资料，</w:t>
      </w:r>
      <w:r>
        <w:rPr>
          <w:rFonts w:hint="eastAsia" w:eastAsia="仿宋_GB2312"/>
          <w:color w:val="auto"/>
          <w:sz w:val="32"/>
          <w:szCs w:val="22"/>
          <w:highlight w:val="none"/>
          <w:lang w:val="en-US" w:eastAsia="zh-CN"/>
        </w:rPr>
        <w:t>供应商</w:t>
      </w:r>
      <w:r>
        <w:rPr>
          <w:rFonts w:hint="eastAsia" w:eastAsia="仿宋_GB2312"/>
          <w:color w:val="auto"/>
          <w:sz w:val="32"/>
          <w:szCs w:val="22"/>
          <w:highlight w:val="none"/>
        </w:rPr>
        <w:t>应采取措施与其他客户资料施行有效隔离。</w:t>
      </w:r>
    </w:p>
    <w:p>
      <w:pPr>
        <w:pStyle w:val="18"/>
        <w:keepNext/>
        <w:keepLines/>
        <w:pageBreakBefore w:val="0"/>
        <w:widowControl w:val="0"/>
        <w:kinsoku/>
        <w:wordWrap/>
        <w:overflowPunct/>
        <w:topLinePunct w:val="0"/>
        <w:autoSpaceDE/>
        <w:autoSpaceDN/>
        <w:bidi w:val="0"/>
        <w:adjustRightInd w:val="0"/>
        <w:snapToGrid/>
        <w:spacing w:before="0" w:beforeLines="0" w:after="0" w:afterLines="0" w:line="560" w:lineRule="exact"/>
        <w:ind w:firstLine="640" w:firstLineChars="200"/>
        <w:textAlignment w:val="baseline"/>
        <w:outlineLvl w:val="0"/>
        <w:rPr>
          <w:rFonts w:ascii="Times New Roman" w:hAnsi="Times New Roman" w:eastAsia="黑体"/>
          <w:b w:val="0"/>
          <w:bCs w:val="0"/>
          <w:color w:val="auto"/>
          <w:sz w:val="32"/>
          <w:highlight w:val="none"/>
        </w:rPr>
      </w:pPr>
      <w:bookmarkStart w:id="15" w:name="_Toc21831"/>
      <w:bookmarkStart w:id="16" w:name="_Toc2027"/>
      <w:r>
        <w:rPr>
          <w:rFonts w:hint="eastAsia" w:ascii="Times New Roman" w:hAnsi="黑体" w:eastAsia="黑体"/>
          <w:b w:val="0"/>
          <w:bCs w:val="0"/>
          <w:color w:val="auto"/>
          <w:sz w:val="32"/>
          <w:highlight w:val="none"/>
          <w:lang w:val="en-US" w:eastAsia="zh-CN"/>
        </w:rPr>
        <w:t>八</w:t>
      </w:r>
      <w:r>
        <w:rPr>
          <w:rFonts w:ascii="Times New Roman" w:hAnsi="黑体" w:eastAsia="黑体"/>
          <w:b w:val="0"/>
          <w:bCs w:val="0"/>
          <w:color w:val="auto"/>
          <w:sz w:val="32"/>
          <w:highlight w:val="none"/>
        </w:rPr>
        <w:t>、交付或实施时间、地点</w:t>
      </w:r>
      <w:bookmarkEnd w:id="15"/>
      <w:bookmarkEnd w:id="16"/>
    </w:p>
    <w:p>
      <w:pPr>
        <w:pageBreakBefore w:val="0"/>
        <w:kinsoku/>
        <w:wordWrap/>
        <w:overflowPunct/>
        <w:topLinePunct w:val="0"/>
        <w:autoSpaceDE/>
        <w:autoSpaceDN/>
        <w:bidi w:val="0"/>
        <w:adjustRightInd w:val="0"/>
        <w:snapToGrid/>
        <w:spacing w:line="560" w:lineRule="exact"/>
        <w:ind w:firstLine="640" w:firstLineChars="200"/>
        <w:textAlignment w:val="baseline"/>
        <w:rPr>
          <w:rFonts w:hint="eastAsia" w:ascii="楷体_GB2312" w:hAnsi="楷体_GB2312" w:eastAsia="楷体_GB2312" w:cs="楷体_GB2312"/>
          <w:color w:val="auto"/>
          <w:sz w:val="32"/>
          <w:szCs w:val="22"/>
          <w:highlight w:val="none"/>
        </w:rPr>
      </w:pPr>
      <w:r>
        <w:rPr>
          <w:rFonts w:hint="eastAsia" w:ascii="楷体_GB2312" w:hAnsi="楷体_GB2312" w:eastAsia="楷体_GB2312" w:cs="楷体_GB2312"/>
          <w:color w:val="auto"/>
          <w:sz w:val="32"/>
          <w:szCs w:val="22"/>
          <w:highlight w:val="none"/>
          <w:lang w:val="en-US" w:eastAsia="zh-CN"/>
        </w:rPr>
        <w:t>（一）</w:t>
      </w:r>
      <w:r>
        <w:rPr>
          <w:rFonts w:hint="eastAsia" w:ascii="楷体_GB2312" w:hAnsi="楷体_GB2312" w:eastAsia="楷体_GB2312" w:cs="楷体_GB2312"/>
          <w:color w:val="auto"/>
          <w:sz w:val="32"/>
          <w:szCs w:val="22"/>
          <w:highlight w:val="none"/>
        </w:rPr>
        <w:t>项目周期</w:t>
      </w:r>
    </w:p>
    <w:p>
      <w:pPr>
        <w:pageBreakBefore w:val="0"/>
        <w:kinsoku/>
        <w:wordWrap/>
        <w:overflowPunct/>
        <w:topLinePunct w:val="0"/>
        <w:autoSpaceDE/>
        <w:autoSpaceDN/>
        <w:bidi w:val="0"/>
        <w:adjustRightInd w:val="0"/>
        <w:snapToGrid/>
        <w:spacing w:line="560" w:lineRule="exact"/>
        <w:ind w:firstLine="640" w:firstLineChars="200"/>
        <w:textAlignment w:val="baseline"/>
        <w:rPr>
          <w:rFonts w:hint="default" w:ascii="Times New Roman" w:hAnsi="Times New Roman" w:eastAsia="仿宋_GB2312" w:cs="Times New Roman"/>
          <w:color w:val="auto"/>
          <w:sz w:val="32"/>
          <w:szCs w:val="22"/>
          <w:highlight w:val="none"/>
          <w:lang w:val="en-US" w:eastAsia="zh-CN"/>
        </w:rPr>
      </w:pPr>
      <w:r>
        <w:rPr>
          <w:rFonts w:hint="eastAsia" w:ascii="Times New Roman" w:hAnsi="Times New Roman" w:eastAsia="仿宋_GB2312" w:cs="Times New Roman"/>
          <w:color w:val="auto"/>
          <w:sz w:val="32"/>
          <w:szCs w:val="22"/>
          <w:highlight w:val="none"/>
          <w:lang w:val="en-US" w:eastAsia="zh-CN"/>
        </w:rPr>
        <w:t>合同签署至</w:t>
      </w:r>
      <w:r>
        <w:rPr>
          <w:rFonts w:hint="eastAsia" w:eastAsia="仿宋_GB2312" w:cs="Times New Roman"/>
          <w:color w:val="auto"/>
          <w:sz w:val="32"/>
          <w:szCs w:val="22"/>
          <w:highlight w:val="none"/>
          <w:lang w:val="en-US" w:eastAsia="zh-CN"/>
        </w:rPr>
        <w:t>全部需求投产，稳定运行3个月</w:t>
      </w:r>
      <w:r>
        <w:rPr>
          <w:rFonts w:hint="eastAsia" w:ascii="Times New Roman" w:hAnsi="Times New Roman" w:eastAsia="仿宋_GB2312" w:cs="Times New Roman"/>
          <w:color w:val="auto"/>
          <w:sz w:val="32"/>
          <w:szCs w:val="22"/>
          <w:highlight w:val="none"/>
          <w:lang w:val="en-US" w:eastAsia="zh-CN"/>
        </w:rPr>
        <w:t>后12个月。</w:t>
      </w:r>
    </w:p>
    <w:p>
      <w:pPr>
        <w:pageBreakBefore w:val="0"/>
        <w:widowControl/>
        <w:kinsoku/>
        <w:wordWrap/>
        <w:overflowPunct/>
        <w:topLinePunct w:val="0"/>
        <w:autoSpaceDE/>
        <w:autoSpaceDN/>
        <w:bidi w:val="0"/>
        <w:adjustRightInd w:val="0"/>
        <w:snapToGrid/>
        <w:spacing w:line="560" w:lineRule="exact"/>
        <w:ind w:firstLine="640" w:firstLineChars="200"/>
        <w:textAlignment w:val="baseline"/>
        <w:rPr>
          <w:rFonts w:hint="eastAsia" w:ascii="楷体_GB2312" w:hAnsi="楷体_GB2312" w:eastAsia="楷体_GB2312" w:cs="楷体_GB2312"/>
          <w:color w:val="auto"/>
          <w:sz w:val="32"/>
          <w:szCs w:val="22"/>
          <w:highlight w:val="none"/>
        </w:rPr>
      </w:pPr>
      <w:r>
        <w:rPr>
          <w:rFonts w:hint="eastAsia" w:ascii="楷体_GB2312" w:hAnsi="楷体_GB2312" w:eastAsia="楷体_GB2312" w:cs="楷体_GB2312"/>
          <w:color w:val="auto"/>
          <w:sz w:val="32"/>
          <w:szCs w:val="22"/>
          <w:highlight w:val="none"/>
          <w:lang w:val="en-US" w:eastAsia="zh-CN"/>
        </w:rPr>
        <w:t>（二）</w:t>
      </w:r>
      <w:r>
        <w:rPr>
          <w:rFonts w:hint="eastAsia" w:ascii="楷体_GB2312" w:hAnsi="楷体_GB2312" w:eastAsia="楷体_GB2312" w:cs="楷体_GB2312"/>
          <w:color w:val="auto"/>
          <w:sz w:val="32"/>
          <w:szCs w:val="22"/>
          <w:highlight w:val="none"/>
        </w:rPr>
        <w:t>服务地点</w:t>
      </w:r>
    </w:p>
    <w:p>
      <w:pPr>
        <w:pageBreakBefore w:val="0"/>
        <w:widowControl/>
        <w:kinsoku/>
        <w:wordWrap/>
        <w:overflowPunct/>
        <w:topLinePunct w:val="0"/>
        <w:autoSpaceDE/>
        <w:autoSpaceDN/>
        <w:bidi w:val="0"/>
        <w:adjustRightInd w:val="0"/>
        <w:snapToGrid/>
        <w:spacing w:line="560" w:lineRule="exact"/>
        <w:ind w:firstLine="640" w:firstLineChars="200"/>
        <w:textAlignment w:val="baseline"/>
        <w:rPr>
          <w:rFonts w:eastAsia="仿宋_GB2312"/>
          <w:color w:val="auto"/>
          <w:sz w:val="32"/>
          <w:szCs w:val="22"/>
          <w:highlight w:val="none"/>
        </w:rPr>
      </w:pPr>
      <w:r>
        <w:rPr>
          <w:rFonts w:hint="default" w:ascii="Times New Roman" w:hAnsi="Times New Roman" w:eastAsia="仿宋_GB2312" w:cs="Times New Roman"/>
          <w:color w:val="auto"/>
          <w:sz w:val="32"/>
          <w:szCs w:val="22"/>
          <w:highlight w:val="none"/>
        </w:rPr>
        <w:t>中国进出口银行</w:t>
      </w:r>
      <w:r>
        <w:rPr>
          <w:rFonts w:ascii="Times New Roman" w:hAnsi="Times New Roman" w:eastAsia="仿宋_GB2312" w:cs="Times New Roman"/>
          <w:color w:val="auto"/>
          <w:sz w:val="32"/>
          <w:szCs w:val="22"/>
          <w:highlight w:val="none"/>
        </w:rPr>
        <w:t>信息科技部</w:t>
      </w:r>
      <w:r>
        <w:rPr>
          <w:rFonts w:hint="eastAsia" w:eastAsia="仿宋_GB2312" w:cs="Times New Roman"/>
          <w:color w:val="auto"/>
          <w:sz w:val="32"/>
          <w:szCs w:val="22"/>
          <w:highlight w:val="none"/>
          <w:lang w:eastAsia="zh-CN"/>
        </w:rPr>
        <w:t>（</w:t>
      </w:r>
      <w:r>
        <w:rPr>
          <w:rFonts w:hint="eastAsia" w:eastAsia="仿宋_GB2312" w:cs="Times New Roman"/>
          <w:color w:val="auto"/>
          <w:sz w:val="32"/>
          <w:szCs w:val="22"/>
          <w:highlight w:val="none"/>
          <w:lang w:val="en-US" w:eastAsia="zh-CN"/>
        </w:rPr>
        <w:t>北京或其他指定地点</w:t>
      </w:r>
      <w:r>
        <w:rPr>
          <w:rFonts w:hint="eastAsia" w:eastAsia="仿宋_GB2312" w:cs="Times New Roman"/>
          <w:color w:val="auto"/>
          <w:sz w:val="32"/>
          <w:szCs w:val="22"/>
          <w:highlight w:val="none"/>
          <w:lang w:eastAsia="zh-CN"/>
        </w:rPr>
        <w:t>）</w:t>
      </w:r>
      <w:r>
        <w:rPr>
          <w:rFonts w:eastAsia="仿宋_GB2312"/>
          <w:color w:val="auto"/>
          <w:sz w:val="32"/>
          <w:szCs w:val="22"/>
          <w:highlight w:val="none"/>
        </w:rPr>
        <w:t>。</w:t>
      </w:r>
    </w:p>
    <w:p>
      <w:pPr>
        <w:pStyle w:val="18"/>
        <w:keepNext/>
        <w:keepLines/>
        <w:pageBreakBefore w:val="0"/>
        <w:widowControl w:val="0"/>
        <w:kinsoku/>
        <w:wordWrap/>
        <w:overflowPunct/>
        <w:topLinePunct w:val="0"/>
        <w:autoSpaceDE/>
        <w:autoSpaceDN/>
        <w:bidi w:val="0"/>
        <w:adjustRightInd w:val="0"/>
        <w:snapToGrid/>
        <w:spacing w:before="0" w:beforeLines="0" w:after="0" w:afterLines="0" w:line="560" w:lineRule="exact"/>
        <w:ind w:left="0" w:firstLine="640" w:firstLineChars="200"/>
        <w:textAlignment w:val="baseline"/>
        <w:outlineLvl w:val="0"/>
        <w:rPr>
          <w:rFonts w:ascii="Times New Roman" w:hAnsi="Times New Roman" w:eastAsia="黑体"/>
          <w:b w:val="0"/>
          <w:bCs w:val="0"/>
          <w:color w:val="auto"/>
          <w:sz w:val="32"/>
          <w:highlight w:val="none"/>
        </w:rPr>
      </w:pPr>
      <w:bookmarkStart w:id="17" w:name="_Toc27829"/>
      <w:bookmarkStart w:id="18" w:name="_Toc63"/>
      <w:r>
        <w:rPr>
          <w:rFonts w:hint="eastAsia" w:ascii="Times New Roman" w:hAnsi="黑体" w:eastAsia="黑体"/>
          <w:b w:val="0"/>
          <w:bCs w:val="0"/>
          <w:color w:val="auto"/>
          <w:sz w:val="32"/>
          <w:highlight w:val="none"/>
          <w:lang w:val="en-US" w:eastAsia="zh-CN"/>
        </w:rPr>
        <w:t>九、</w:t>
      </w:r>
      <w:bookmarkEnd w:id="17"/>
      <w:bookmarkStart w:id="19" w:name="_Toc8242"/>
      <w:bookmarkStart w:id="20" w:name="_Toc29815"/>
      <w:r>
        <w:rPr>
          <w:rFonts w:ascii="Times New Roman" w:hAnsi="黑体" w:eastAsia="黑体"/>
          <w:b w:val="0"/>
          <w:bCs w:val="0"/>
          <w:color w:val="auto"/>
          <w:sz w:val="32"/>
          <w:highlight w:val="none"/>
        </w:rPr>
        <w:t>履约验收方案</w:t>
      </w:r>
      <w:bookmarkEnd w:id="18"/>
      <w:bookmarkEnd w:id="19"/>
      <w:bookmarkEnd w:id="20"/>
    </w:p>
    <w:p>
      <w:pPr>
        <w:pageBreakBefore w:val="0"/>
        <w:kinsoku/>
        <w:wordWrap/>
        <w:overflowPunct/>
        <w:topLinePunct w:val="0"/>
        <w:autoSpaceDE/>
        <w:autoSpaceDN/>
        <w:bidi w:val="0"/>
        <w:adjustRightInd w:val="0"/>
        <w:snapToGrid/>
        <w:spacing w:line="560" w:lineRule="exact"/>
        <w:ind w:left="0" w:firstLine="640" w:firstLineChars="200"/>
        <w:textAlignment w:val="baseline"/>
        <w:rPr>
          <w:rFonts w:hint="eastAsia" w:ascii="楷体_GB2312" w:hAnsi="楷体_GB2312" w:eastAsia="楷体_GB2312" w:cs="楷体_GB2312"/>
          <w:color w:val="auto"/>
          <w:sz w:val="32"/>
          <w:szCs w:val="22"/>
          <w:highlight w:val="none"/>
        </w:rPr>
      </w:pPr>
      <w:r>
        <w:rPr>
          <w:rFonts w:hint="eastAsia" w:ascii="楷体_GB2312" w:hAnsi="楷体_GB2312" w:eastAsia="楷体_GB2312" w:cs="楷体_GB2312"/>
          <w:color w:val="auto"/>
          <w:sz w:val="32"/>
          <w:szCs w:val="22"/>
          <w:highlight w:val="none"/>
          <w:lang w:val="en-US" w:eastAsia="zh-CN"/>
        </w:rPr>
        <w:t>（一）</w:t>
      </w:r>
      <w:r>
        <w:rPr>
          <w:rFonts w:hint="eastAsia" w:ascii="楷体_GB2312" w:hAnsi="楷体_GB2312" w:eastAsia="楷体_GB2312" w:cs="楷体_GB2312"/>
          <w:color w:val="auto"/>
          <w:sz w:val="32"/>
          <w:szCs w:val="22"/>
          <w:highlight w:val="none"/>
        </w:rPr>
        <w:t>履约验收的主体、时间、程序</w:t>
      </w:r>
    </w:p>
    <w:p>
      <w:pPr>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0" w:firstLineChars="200"/>
        <w:jc w:val="left"/>
        <w:textAlignment w:val="baseline"/>
        <w:rPr>
          <w:rFonts w:hint="eastAsia" w:ascii="仿宋_GB2312" w:hAnsi="仿宋_GB2312" w:eastAsia="仿宋_GB2312" w:cs="仿宋_GB2312"/>
          <w:color w:val="auto"/>
          <w:sz w:val="32"/>
          <w:szCs w:val="22"/>
          <w:highlight w:val="none"/>
          <w:lang w:val="en-US" w:eastAsia="zh-CN"/>
        </w:rPr>
      </w:pPr>
      <w:r>
        <w:rPr>
          <w:rFonts w:hint="eastAsia" w:ascii="仿宋_GB2312" w:hAnsi="仿宋_GB2312" w:eastAsia="仿宋_GB2312" w:cs="仿宋_GB2312"/>
          <w:color w:val="auto"/>
          <w:sz w:val="32"/>
          <w:szCs w:val="22"/>
          <w:highlight w:val="none"/>
          <w:lang w:val="en-US" w:eastAsia="zh-CN"/>
        </w:rPr>
        <w:t>1.</w:t>
      </w:r>
      <w:r>
        <w:rPr>
          <w:rFonts w:hint="eastAsia" w:ascii="仿宋_GB2312" w:hAnsi="仿宋_GB2312" w:eastAsia="仿宋_GB2312" w:cs="仿宋_GB2312"/>
          <w:color w:val="auto"/>
          <w:sz w:val="32"/>
          <w:szCs w:val="22"/>
          <w:highlight w:val="none"/>
        </w:rPr>
        <w:t>验收</w:t>
      </w:r>
      <w:r>
        <w:rPr>
          <w:rFonts w:hint="eastAsia" w:ascii="仿宋_GB2312" w:hAnsi="仿宋_GB2312" w:eastAsia="仿宋_GB2312" w:cs="仿宋_GB2312"/>
          <w:color w:val="auto"/>
          <w:sz w:val="32"/>
          <w:szCs w:val="22"/>
          <w:highlight w:val="none"/>
          <w:lang w:val="en-US" w:eastAsia="zh-CN"/>
        </w:rPr>
        <w:t>主体</w:t>
      </w:r>
    </w:p>
    <w:p>
      <w:pPr>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0" w:firstLineChars="200"/>
        <w:jc w:val="left"/>
        <w:textAlignment w:val="baseline"/>
        <w:rPr>
          <w:rFonts w:hint="eastAsia" w:ascii="仿宋_GB2312" w:hAnsi="仿宋_GB2312" w:eastAsia="仿宋_GB2312" w:cs="仿宋_GB2312"/>
          <w:color w:val="auto"/>
          <w:sz w:val="32"/>
          <w:szCs w:val="22"/>
          <w:highlight w:val="none"/>
          <w:lang w:val="en-US" w:eastAsia="zh-CN"/>
        </w:rPr>
      </w:pPr>
      <w:r>
        <w:rPr>
          <w:rFonts w:hint="eastAsia" w:ascii="仿宋_GB2312" w:hAnsi="仿宋_GB2312" w:eastAsia="仿宋_GB2312" w:cs="仿宋_GB2312"/>
          <w:color w:val="auto"/>
          <w:sz w:val="32"/>
          <w:szCs w:val="22"/>
          <w:highlight w:val="none"/>
          <w:lang w:eastAsia="zh-CN"/>
        </w:rPr>
        <w:t>我行</w:t>
      </w:r>
      <w:r>
        <w:rPr>
          <w:rFonts w:hint="eastAsia" w:ascii="仿宋_GB2312" w:hAnsi="仿宋_GB2312" w:eastAsia="仿宋_GB2312" w:cs="仿宋_GB2312"/>
          <w:color w:val="auto"/>
          <w:sz w:val="32"/>
          <w:szCs w:val="22"/>
          <w:highlight w:val="none"/>
        </w:rPr>
        <w:t>组织验收。</w:t>
      </w:r>
    </w:p>
    <w:p>
      <w:pPr>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0" w:firstLineChars="200"/>
        <w:jc w:val="left"/>
        <w:textAlignment w:val="baseline"/>
        <w:rPr>
          <w:rFonts w:hint="eastAsia" w:ascii="仿宋_GB2312" w:hAnsi="仿宋_GB2312" w:eastAsia="仿宋_GB2312" w:cs="仿宋_GB2312"/>
          <w:color w:val="auto"/>
          <w:sz w:val="32"/>
          <w:szCs w:val="22"/>
          <w:highlight w:val="none"/>
          <w:lang w:val="en-US" w:eastAsia="zh-CN"/>
        </w:rPr>
      </w:pPr>
      <w:r>
        <w:rPr>
          <w:rFonts w:hint="eastAsia" w:ascii="仿宋_GB2312" w:hAnsi="仿宋_GB2312" w:eastAsia="仿宋_GB2312" w:cs="仿宋_GB2312"/>
          <w:color w:val="auto"/>
          <w:sz w:val="32"/>
          <w:szCs w:val="22"/>
          <w:highlight w:val="none"/>
          <w:lang w:val="en-US" w:eastAsia="zh-CN"/>
        </w:rPr>
        <w:t>2.验收时间及程序</w:t>
      </w:r>
    </w:p>
    <w:p>
      <w:pPr>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0" w:firstLineChars="200"/>
        <w:jc w:val="left"/>
        <w:textAlignment w:val="baseline"/>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项目涉及系统投产上线完成并稳定运行满3个月，各项功能满足验收标准，进出口银行组织验收。</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具备验收条件后，由供应商向我行提出验收申请，我行收到申请后，自行或授权第三方监理依照合同及本工作说明书对其工作进行验收评估，如验收评估中发现其工作存在瑕疵、问题或遗漏，供应商须按照我行要求限时解决，解决后我行再次进行验收。验收通过后，我行出具验收报告。</w:t>
      </w:r>
    </w:p>
    <w:p>
      <w:pPr>
        <w:pageBreakBefore w:val="0"/>
        <w:numPr>
          <w:ilvl w:val="0"/>
          <w:numId w:val="5"/>
        </w:numPr>
        <w:kinsoku/>
        <w:wordWrap/>
        <w:overflowPunct/>
        <w:topLinePunct w:val="0"/>
        <w:autoSpaceDE/>
        <w:autoSpaceDN/>
        <w:bidi w:val="0"/>
        <w:adjustRightInd w:val="0"/>
        <w:snapToGrid/>
        <w:spacing w:line="560" w:lineRule="exact"/>
        <w:ind w:left="0" w:firstLine="640" w:firstLineChars="200"/>
        <w:textAlignment w:val="baseline"/>
        <w:rPr>
          <w:rFonts w:hint="eastAsia" w:ascii="楷体_GB2312" w:hAnsi="楷体_GB2312" w:eastAsia="楷体_GB2312" w:cs="楷体_GB2312"/>
          <w:color w:val="auto"/>
          <w:sz w:val="32"/>
          <w:szCs w:val="22"/>
          <w:highlight w:val="none"/>
        </w:rPr>
      </w:pPr>
      <w:r>
        <w:rPr>
          <w:rFonts w:hint="eastAsia" w:ascii="楷体_GB2312" w:hAnsi="楷体_GB2312" w:eastAsia="楷体_GB2312" w:cs="楷体_GB2312"/>
          <w:color w:val="auto"/>
          <w:sz w:val="32"/>
          <w:szCs w:val="22"/>
          <w:highlight w:val="none"/>
        </w:rPr>
        <w:t>履约验收内容和标准</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本项目应于2026年10月底前完成上线，供应商应严格按实施计划完成设计、开发、测试、投产等各阶段内容，并确保项目总体目标。</w:t>
      </w:r>
    </w:p>
    <w:p>
      <w:pPr>
        <w:keepLines w:val="0"/>
        <w:pageBreakBefore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lang w:val="en-US" w:eastAsia="zh-CN"/>
        </w:rPr>
      </w:pPr>
      <w:bookmarkStart w:id="21" w:name="_Toc20402"/>
      <w:bookmarkStart w:id="22" w:name="_Toc6272"/>
      <w:r>
        <w:rPr>
          <w:rFonts w:hint="eastAsia" w:ascii="仿宋_GB2312" w:hAnsi="仿宋_GB2312" w:eastAsia="仿宋_GB2312" w:cs="仿宋_GB2312"/>
          <w:color w:val="auto"/>
          <w:sz w:val="32"/>
          <w:szCs w:val="32"/>
          <w:highlight w:val="none"/>
          <w:lang w:val="en-US" w:eastAsia="zh-CN"/>
        </w:rPr>
        <w:t>1.验收内容</w:t>
      </w:r>
    </w:p>
    <w:p>
      <w:pPr>
        <w:keepLines w:val="0"/>
        <w:pageBreakBefore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（1）交付件，包括文档资料、源代码等</w:t>
      </w:r>
    </w:p>
    <w:p>
      <w:pPr>
        <w:keepLines w:val="0"/>
        <w:pageBreakBefore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（2）适配改造的物理子系统应用软件</w:t>
      </w:r>
    </w:p>
    <w:p>
      <w:pPr>
        <w:keepLines w:val="0"/>
        <w:pageBreakBefore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（3）以量化的SLA考核指标为依据，对供应商服务及项目完成情况进行量化评价</w:t>
      </w:r>
    </w:p>
    <w:p>
      <w:pPr>
        <w:keepLines w:val="0"/>
        <w:pageBreakBefore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2.验收标准</w:t>
      </w:r>
    </w:p>
    <w:p>
      <w:pPr>
        <w:keepLines w:val="0"/>
        <w:pageBreakBefore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（1）文档验收标准</w:t>
      </w:r>
    </w:p>
    <w:p>
      <w:pPr>
        <w:keepLines w:val="0"/>
        <w:pageBreakBefore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文档内容应包含对应工作阶段的所有工作任务的最终成果</w:t>
      </w:r>
    </w:p>
    <w:p>
      <w:pPr>
        <w:keepLines w:val="0"/>
        <w:pageBreakBefore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文档内容无重大分歧，进出口银行能够接受文档中的主要观点、认可文档中所体现的工作成果</w:t>
      </w:r>
    </w:p>
    <w:p>
      <w:pPr>
        <w:keepLines w:val="0"/>
        <w:pageBreakBefore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所有正式交付件表达清晰、内容完整，符合我行要求。交付文档的描述不存在实质性的错误（包括不真实、遗漏、误差、以及对使用者可能产生误导的信息）；文字无重大或误导性错误</w:t>
      </w:r>
    </w:p>
    <w:p>
      <w:pPr>
        <w:keepLines w:val="0"/>
        <w:pageBreakBefore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文档交付齐备</w:t>
      </w:r>
    </w:p>
    <w:p>
      <w:pPr>
        <w:keepLines w:val="0"/>
        <w:pageBreakBefore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除特别指明的并经我行同意的英文提交文档之外，要求提供中文文档</w:t>
      </w:r>
    </w:p>
    <w:p>
      <w:pPr>
        <w:keepLines w:val="0"/>
        <w:pageBreakBefore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提交项目全部交付件并通过我行审核，在此基础上形成项目的《交付件交付情况一览表》，经过我行核对认可</w:t>
      </w:r>
    </w:p>
    <w:p>
      <w:pPr>
        <w:keepLines w:val="0"/>
        <w:pageBreakBefore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（2）系统验收标准</w:t>
      </w:r>
    </w:p>
    <w:p>
      <w:pPr>
        <w:keepLines w:val="0"/>
        <w:pageBreakBefore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系统符合项目工作说明书的要求</w:t>
      </w:r>
    </w:p>
    <w:p>
      <w:pPr>
        <w:keepLines w:val="0"/>
        <w:pageBreakBefore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新增系统的安全等级保护基本要求满足国家标准和监管要求中对本系统的相应要求</w:t>
      </w:r>
    </w:p>
    <w:p>
      <w:pPr>
        <w:keepLines w:val="0"/>
        <w:pageBreakBefore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系统通过用户接收测试，若有遗留问题须在本项目最终验收启动前解决</w:t>
      </w:r>
    </w:p>
    <w:p>
      <w:pPr>
        <w:pStyle w:val="21"/>
        <w:pageBreakBefore w:val="0"/>
        <w:numPr>
          <w:ilvl w:val="0"/>
          <w:numId w:val="7"/>
        </w:numPr>
        <w:kinsoku/>
        <w:wordWrap/>
        <w:overflowPunct/>
        <w:topLinePunct w:val="0"/>
        <w:autoSpaceDE/>
        <w:autoSpaceDN/>
        <w:bidi w:val="0"/>
        <w:snapToGrid/>
        <w:spacing w:line="560" w:lineRule="exact"/>
        <w:ind w:left="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SLA指标考核</w:t>
      </w:r>
    </w:p>
    <w:p>
      <w:pPr>
        <w:pStyle w:val="36"/>
        <w:pageBreakBefore w:val="0"/>
        <w:widowControl/>
        <w:numPr>
          <w:ilvl w:val="0"/>
          <w:numId w:val="0"/>
        </w:numPr>
        <w:kinsoku/>
        <w:wordWrap/>
        <w:overflowPunct/>
        <w:topLinePunct w:val="0"/>
        <w:autoSpaceDE/>
        <w:autoSpaceDN/>
        <w:bidi w:val="0"/>
        <w:snapToGrid/>
        <w:spacing w:afterLines="0" w:line="560" w:lineRule="exact"/>
        <w:ind w:left="0" w:firstLine="640" w:firstLineChars="200"/>
        <w:rPr>
          <w:rFonts w:hint="default" w:eastAsia="仿宋_GB2312" w:cs="Times New Roman"/>
          <w:sz w:val="32"/>
          <w:szCs w:val="28"/>
          <w:highlight w:val="none"/>
          <w:lang w:val="en-US" w:eastAsia="zh-CN"/>
        </w:rPr>
      </w:pPr>
      <w:r>
        <w:rPr>
          <w:rFonts w:hint="eastAsia" w:hAnsi="Times New Roman" w:eastAsia="仿宋_GB2312" w:cs="Times New Roman"/>
          <w:kern w:val="2"/>
          <w:sz w:val="32"/>
          <w:szCs w:val="28"/>
          <w:highlight w:val="none"/>
        </w:rPr>
        <w:t>本项目发起验收时，进行SLA考核。</w:t>
      </w:r>
      <w:r>
        <w:rPr>
          <w:rFonts w:hint="eastAsia" w:eastAsia="仿宋_GB2312" w:cs="Times New Roman"/>
          <w:sz w:val="32"/>
          <w:szCs w:val="28"/>
          <w:highlight w:val="none"/>
        </w:rPr>
        <w:t>指标</w:t>
      </w:r>
      <w:r>
        <w:rPr>
          <w:rFonts w:hint="eastAsia" w:eastAsia="仿宋_GB2312" w:cs="Times New Roman"/>
          <w:sz w:val="32"/>
          <w:szCs w:val="28"/>
          <w:highlight w:val="none"/>
          <w:lang w:val="en-US" w:eastAsia="zh-CN"/>
        </w:rPr>
        <w:t>项如下：</w:t>
      </w:r>
    </w:p>
    <w:tbl>
      <w:tblPr>
        <w:tblStyle w:val="23"/>
        <w:tblW w:w="49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9"/>
        <w:gridCol w:w="928"/>
        <w:gridCol w:w="2084"/>
        <w:gridCol w:w="4581"/>
        <w:gridCol w:w="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 w:type="pct"/>
            <w:noWrap w:val="0"/>
            <w:vAlign w:val="center"/>
          </w:tcPr>
          <w:p>
            <w:pPr>
              <w:widowControl/>
              <w:spacing w:line="240" w:lineRule="auto"/>
              <w:jc w:val="center"/>
              <w:rPr>
                <w:rFonts w:hint="eastAsia" w:ascii="黑体" w:hAnsi="黑体" w:eastAsia="黑体" w:cs="黑体"/>
                <w:b w:val="0"/>
                <w:bCs w:val="0"/>
                <w:kern w:val="0"/>
                <w:sz w:val="24"/>
                <w:szCs w:val="24"/>
                <w:highlight w:val="none"/>
                <w:lang w:val="en-GB"/>
              </w:rPr>
            </w:pPr>
            <w:r>
              <w:rPr>
                <w:rFonts w:hint="eastAsia" w:ascii="黑体" w:hAnsi="黑体" w:eastAsia="黑体" w:cs="黑体"/>
                <w:b w:val="0"/>
                <w:bCs w:val="0"/>
                <w:kern w:val="0"/>
                <w:sz w:val="24"/>
                <w:highlight w:val="none"/>
                <w:lang w:val="en-GB"/>
              </w:rPr>
              <w:t>序号</w:t>
            </w:r>
          </w:p>
        </w:tc>
        <w:tc>
          <w:tcPr>
            <w:tcW w:w="520" w:type="pct"/>
            <w:noWrap w:val="0"/>
            <w:vAlign w:val="center"/>
          </w:tcPr>
          <w:p>
            <w:pPr>
              <w:widowControl/>
              <w:spacing w:line="240" w:lineRule="auto"/>
              <w:jc w:val="center"/>
              <w:rPr>
                <w:rFonts w:hint="eastAsia" w:ascii="黑体" w:hAnsi="黑体" w:eastAsia="黑体" w:cs="黑体"/>
                <w:b w:val="0"/>
                <w:bCs w:val="0"/>
                <w:kern w:val="0"/>
                <w:sz w:val="24"/>
                <w:szCs w:val="24"/>
                <w:highlight w:val="none"/>
                <w:lang w:val="en-GB"/>
              </w:rPr>
            </w:pPr>
            <w:r>
              <w:rPr>
                <w:rFonts w:hint="eastAsia" w:ascii="黑体" w:hAnsi="黑体" w:eastAsia="黑体" w:cs="黑体"/>
                <w:b w:val="0"/>
                <w:bCs w:val="0"/>
                <w:kern w:val="0"/>
                <w:sz w:val="24"/>
                <w:highlight w:val="none"/>
                <w:lang w:val="en-GB"/>
              </w:rPr>
              <w:t>指标名称</w:t>
            </w:r>
          </w:p>
        </w:tc>
        <w:tc>
          <w:tcPr>
            <w:tcW w:w="1168" w:type="pct"/>
            <w:noWrap w:val="0"/>
            <w:vAlign w:val="center"/>
          </w:tcPr>
          <w:p>
            <w:pPr>
              <w:widowControl/>
              <w:spacing w:line="240" w:lineRule="auto"/>
              <w:jc w:val="center"/>
              <w:rPr>
                <w:rFonts w:hint="eastAsia" w:ascii="黑体" w:hAnsi="黑体" w:eastAsia="黑体" w:cs="黑体"/>
                <w:b w:val="0"/>
                <w:bCs w:val="0"/>
                <w:kern w:val="0"/>
                <w:sz w:val="24"/>
                <w:szCs w:val="24"/>
                <w:highlight w:val="none"/>
                <w:lang w:val="en-GB"/>
              </w:rPr>
            </w:pPr>
            <w:r>
              <w:rPr>
                <w:rFonts w:hint="eastAsia" w:ascii="黑体" w:hAnsi="黑体" w:eastAsia="黑体" w:cs="黑体"/>
                <w:b w:val="0"/>
                <w:bCs w:val="0"/>
                <w:kern w:val="0"/>
                <w:sz w:val="24"/>
                <w:highlight w:val="none"/>
                <w:lang w:val="en-GB"/>
              </w:rPr>
              <w:t>量化标准</w:t>
            </w:r>
          </w:p>
        </w:tc>
        <w:tc>
          <w:tcPr>
            <w:tcW w:w="2567" w:type="pct"/>
            <w:noWrap w:val="0"/>
            <w:vAlign w:val="center"/>
          </w:tcPr>
          <w:p>
            <w:pPr>
              <w:widowControl/>
              <w:spacing w:line="240" w:lineRule="auto"/>
              <w:jc w:val="center"/>
              <w:rPr>
                <w:rFonts w:hint="eastAsia" w:ascii="黑体" w:hAnsi="黑体" w:eastAsia="黑体" w:cs="黑体"/>
                <w:b w:val="0"/>
                <w:bCs w:val="0"/>
                <w:kern w:val="0"/>
                <w:sz w:val="24"/>
                <w:highlight w:val="none"/>
                <w:lang w:val="en-GB"/>
              </w:rPr>
            </w:pPr>
            <w:r>
              <w:rPr>
                <w:rFonts w:hint="eastAsia" w:ascii="黑体" w:hAnsi="黑体" w:eastAsia="黑体" w:cs="黑体"/>
                <w:b w:val="0"/>
                <w:bCs w:val="0"/>
                <w:kern w:val="0"/>
                <w:sz w:val="24"/>
                <w:highlight w:val="none"/>
                <w:lang w:val="en-GB"/>
              </w:rPr>
              <w:t>评估方式</w:t>
            </w:r>
          </w:p>
          <w:p>
            <w:pPr>
              <w:widowControl/>
              <w:spacing w:line="240" w:lineRule="auto"/>
              <w:jc w:val="center"/>
              <w:rPr>
                <w:rFonts w:hint="eastAsia" w:ascii="黑体" w:hAnsi="黑体" w:eastAsia="黑体" w:cs="黑体"/>
                <w:b w:val="0"/>
                <w:bCs w:val="0"/>
                <w:kern w:val="0"/>
                <w:sz w:val="24"/>
                <w:szCs w:val="24"/>
                <w:highlight w:val="none"/>
                <w:lang w:val="en-GB"/>
              </w:rPr>
            </w:pPr>
            <w:r>
              <w:rPr>
                <w:rFonts w:hint="eastAsia" w:ascii="黑体" w:hAnsi="黑体" w:eastAsia="黑体" w:cs="黑体"/>
                <w:b w:val="0"/>
                <w:bCs w:val="0"/>
                <w:kern w:val="0"/>
                <w:sz w:val="24"/>
                <w:highlight w:val="none"/>
                <w:lang w:val="en-GB"/>
              </w:rPr>
              <w:t>（优100-良80-中60-差0）</w:t>
            </w:r>
          </w:p>
        </w:tc>
        <w:tc>
          <w:tcPr>
            <w:tcW w:w="520" w:type="pct"/>
            <w:noWrap w:val="0"/>
            <w:vAlign w:val="center"/>
          </w:tcPr>
          <w:p>
            <w:pPr>
              <w:widowControl/>
              <w:spacing w:line="240" w:lineRule="auto"/>
              <w:jc w:val="center"/>
              <w:rPr>
                <w:rFonts w:hint="eastAsia" w:ascii="黑体" w:hAnsi="黑体" w:eastAsia="黑体" w:cs="黑体"/>
                <w:b w:val="0"/>
                <w:bCs w:val="0"/>
                <w:kern w:val="0"/>
                <w:sz w:val="24"/>
                <w:szCs w:val="24"/>
                <w:highlight w:val="none"/>
                <w:lang w:val="en-GB"/>
              </w:rPr>
            </w:pPr>
            <w:r>
              <w:rPr>
                <w:rFonts w:hint="eastAsia" w:ascii="黑体" w:hAnsi="黑体" w:eastAsia="黑体" w:cs="黑体"/>
                <w:b w:val="0"/>
                <w:bCs w:val="0"/>
                <w:kern w:val="0"/>
                <w:sz w:val="24"/>
                <w:highlight w:val="none"/>
                <w:lang w:val="en-GB"/>
              </w:rPr>
              <w:t>指标占比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 w:type="pct"/>
            <w:noWrap w:val="0"/>
            <w:vAlign w:val="center"/>
          </w:tcPr>
          <w:p>
            <w:pPr>
              <w:pStyle w:val="40"/>
              <w:widowControl/>
              <w:spacing w:line="240" w:lineRule="auto"/>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de-DE"/>
              </w:rPr>
              <w:t>1</w:t>
            </w:r>
          </w:p>
        </w:tc>
        <w:tc>
          <w:tcPr>
            <w:tcW w:w="520" w:type="pct"/>
            <w:noWrap w:val="0"/>
            <w:vAlign w:val="center"/>
          </w:tcPr>
          <w:p>
            <w:pPr>
              <w:pStyle w:val="40"/>
              <w:widowControl/>
              <w:spacing w:line="240" w:lineRule="auto"/>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de-DE"/>
              </w:rPr>
              <w:t>本项目进度及计划执行率</w:t>
            </w:r>
          </w:p>
        </w:tc>
        <w:tc>
          <w:tcPr>
            <w:tcW w:w="1168" w:type="pct"/>
            <w:noWrap w:val="0"/>
            <w:vAlign w:val="center"/>
          </w:tcPr>
          <w:p>
            <w:pPr>
              <w:pStyle w:val="40"/>
              <w:widowControl/>
              <w:spacing w:line="240" w:lineRule="auto"/>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de-DE"/>
              </w:rPr>
              <w:t>各阶段累计工作延后完成天数/各阶段累计计划天数</w:t>
            </w:r>
          </w:p>
        </w:tc>
        <w:tc>
          <w:tcPr>
            <w:tcW w:w="2567" w:type="pct"/>
            <w:noWrap w:val="0"/>
            <w:vAlign w:val="center"/>
          </w:tcPr>
          <w:p>
            <w:pPr>
              <w:pStyle w:val="40"/>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1. 计划延误率</w:t>
            </w:r>
            <w:r>
              <w:rPr>
                <w:rFonts w:hint="eastAsia" w:ascii="仿宋_GB2312" w:hAnsi="仿宋_GB2312" w:eastAsia="仿宋_GB2312" w:cs="仿宋_GB2312"/>
                <w:kern w:val="0"/>
                <w:sz w:val="24"/>
                <w:szCs w:val="24"/>
                <w:highlight w:val="none"/>
                <w:lang w:val="en-US" w:eastAsia="zh-CN"/>
              </w:rPr>
              <w:t>为0</w:t>
            </w:r>
            <w:r>
              <w:rPr>
                <w:rFonts w:hint="eastAsia" w:ascii="仿宋_GB2312" w:hAnsi="仿宋_GB2312" w:eastAsia="仿宋_GB2312" w:cs="仿宋_GB2312"/>
                <w:kern w:val="0"/>
                <w:sz w:val="24"/>
                <w:szCs w:val="24"/>
                <w:highlight w:val="none"/>
                <w:lang w:val="en-GB"/>
              </w:rPr>
              <w:t xml:space="preserve">        </w:t>
            </w:r>
            <w:r>
              <w:rPr>
                <w:rFonts w:hint="eastAsia" w:ascii="仿宋_GB2312" w:hAnsi="仿宋_GB2312" w:eastAsia="仿宋_GB2312" w:cs="仿宋_GB2312"/>
                <w:kern w:val="0"/>
                <w:sz w:val="24"/>
                <w:szCs w:val="24"/>
                <w:highlight w:val="none"/>
                <w:lang w:val="en-US" w:eastAsia="zh-CN"/>
              </w:rPr>
              <w:t xml:space="preserve"> </w:t>
            </w:r>
            <w:r>
              <w:rPr>
                <w:rFonts w:hint="eastAsia" w:ascii="仿宋_GB2312" w:hAnsi="仿宋_GB2312" w:eastAsia="仿宋_GB2312" w:cs="仿宋_GB2312"/>
                <w:kern w:val="0"/>
                <w:sz w:val="24"/>
                <w:szCs w:val="24"/>
                <w:highlight w:val="none"/>
                <w:lang w:val="en-GB"/>
              </w:rPr>
              <w:t>优</w:t>
            </w:r>
          </w:p>
          <w:p>
            <w:pPr>
              <w:pStyle w:val="40"/>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 xml:space="preserve">2. </w:t>
            </w:r>
            <w:r>
              <w:rPr>
                <w:rFonts w:hint="eastAsia" w:ascii="仿宋_GB2312" w:hAnsi="仿宋_GB2312" w:eastAsia="仿宋_GB2312" w:cs="仿宋_GB2312"/>
                <w:kern w:val="0"/>
                <w:sz w:val="24"/>
                <w:szCs w:val="24"/>
                <w:highlight w:val="none"/>
                <w:lang w:val="en-US" w:eastAsia="zh-CN"/>
              </w:rPr>
              <w:t>0</w:t>
            </w:r>
            <w:r>
              <w:rPr>
                <w:rFonts w:hint="eastAsia" w:ascii="仿宋_GB2312" w:hAnsi="仿宋_GB2312" w:eastAsia="仿宋_GB2312" w:cs="仿宋_GB2312"/>
                <w:kern w:val="0"/>
                <w:sz w:val="24"/>
                <w:szCs w:val="24"/>
                <w:highlight w:val="none"/>
                <w:lang w:val="en-GB"/>
              </w:rPr>
              <w:t>＜计划延误率≤</w:t>
            </w:r>
            <w:r>
              <w:rPr>
                <w:rFonts w:hint="eastAsia" w:ascii="仿宋_GB2312" w:hAnsi="仿宋_GB2312" w:eastAsia="仿宋_GB2312" w:cs="仿宋_GB2312"/>
                <w:kern w:val="0"/>
                <w:sz w:val="24"/>
                <w:szCs w:val="24"/>
                <w:highlight w:val="none"/>
                <w:lang w:val="en-US" w:eastAsia="zh-CN"/>
              </w:rPr>
              <w:t>1</w:t>
            </w:r>
            <w:r>
              <w:rPr>
                <w:rFonts w:hint="eastAsia" w:ascii="仿宋_GB2312" w:hAnsi="仿宋_GB2312" w:eastAsia="仿宋_GB2312" w:cs="仿宋_GB2312"/>
                <w:kern w:val="0"/>
                <w:sz w:val="24"/>
                <w:szCs w:val="24"/>
                <w:highlight w:val="none"/>
                <w:lang w:val="en-GB"/>
              </w:rPr>
              <w:t xml:space="preserve">%   </w:t>
            </w:r>
            <w:r>
              <w:rPr>
                <w:rFonts w:hint="eastAsia" w:ascii="仿宋_GB2312" w:hAnsi="仿宋_GB2312" w:eastAsia="仿宋_GB2312" w:cs="仿宋_GB2312"/>
                <w:kern w:val="0"/>
                <w:sz w:val="24"/>
                <w:szCs w:val="24"/>
                <w:highlight w:val="none"/>
                <w:lang w:val="en-US" w:eastAsia="zh-CN"/>
              </w:rPr>
              <w:t xml:space="preserve">  </w:t>
            </w:r>
            <w:r>
              <w:rPr>
                <w:rFonts w:hint="eastAsia" w:ascii="仿宋_GB2312" w:hAnsi="仿宋_GB2312" w:eastAsia="仿宋_GB2312" w:cs="仿宋_GB2312"/>
                <w:kern w:val="0"/>
                <w:sz w:val="24"/>
                <w:szCs w:val="24"/>
                <w:highlight w:val="none"/>
                <w:lang w:val="en-GB"/>
              </w:rPr>
              <w:t>良</w:t>
            </w:r>
          </w:p>
          <w:p>
            <w:pPr>
              <w:pStyle w:val="40"/>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3.</w:t>
            </w:r>
            <w:r>
              <w:rPr>
                <w:rFonts w:hint="eastAsia" w:ascii="仿宋_GB2312" w:hAnsi="仿宋_GB2312" w:eastAsia="仿宋_GB2312" w:cs="仿宋_GB2312"/>
                <w:kern w:val="0"/>
                <w:sz w:val="24"/>
                <w:szCs w:val="24"/>
                <w:highlight w:val="none"/>
                <w:lang w:val="en-US" w:eastAsia="zh-CN"/>
              </w:rPr>
              <w:t xml:space="preserve"> 1</w:t>
            </w:r>
            <w:r>
              <w:rPr>
                <w:rFonts w:hint="eastAsia" w:ascii="仿宋_GB2312" w:hAnsi="仿宋_GB2312" w:eastAsia="仿宋_GB2312" w:cs="仿宋_GB2312"/>
                <w:kern w:val="0"/>
                <w:sz w:val="24"/>
                <w:szCs w:val="24"/>
                <w:highlight w:val="none"/>
                <w:lang w:val="en-GB"/>
              </w:rPr>
              <w:t>%＜计划延误率≤</w:t>
            </w:r>
            <w:r>
              <w:rPr>
                <w:rFonts w:hint="eastAsia" w:ascii="仿宋_GB2312" w:hAnsi="仿宋_GB2312" w:eastAsia="仿宋_GB2312" w:cs="仿宋_GB2312"/>
                <w:kern w:val="0"/>
                <w:sz w:val="24"/>
                <w:szCs w:val="24"/>
                <w:highlight w:val="none"/>
                <w:lang w:val="en-US" w:eastAsia="zh-CN"/>
              </w:rPr>
              <w:t>3</w:t>
            </w:r>
            <w:r>
              <w:rPr>
                <w:rFonts w:hint="eastAsia" w:ascii="仿宋_GB2312" w:hAnsi="仿宋_GB2312" w:eastAsia="仿宋_GB2312" w:cs="仿宋_GB2312"/>
                <w:kern w:val="0"/>
                <w:sz w:val="24"/>
                <w:szCs w:val="24"/>
                <w:highlight w:val="none"/>
                <w:lang w:val="en-GB"/>
              </w:rPr>
              <w:t xml:space="preserve">%  </w:t>
            </w:r>
            <w:r>
              <w:rPr>
                <w:rFonts w:hint="eastAsia" w:ascii="仿宋_GB2312" w:hAnsi="仿宋_GB2312" w:eastAsia="仿宋_GB2312" w:cs="仿宋_GB2312"/>
                <w:kern w:val="0"/>
                <w:sz w:val="24"/>
                <w:szCs w:val="24"/>
                <w:highlight w:val="none"/>
                <w:lang w:val="en-US" w:eastAsia="zh-CN"/>
              </w:rPr>
              <w:t xml:space="preserve">  </w:t>
            </w:r>
            <w:r>
              <w:rPr>
                <w:rFonts w:hint="eastAsia" w:ascii="仿宋_GB2312" w:hAnsi="仿宋_GB2312" w:eastAsia="仿宋_GB2312" w:cs="仿宋_GB2312"/>
                <w:kern w:val="0"/>
                <w:sz w:val="24"/>
                <w:szCs w:val="24"/>
                <w:highlight w:val="none"/>
                <w:lang w:val="en-GB"/>
              </w:rPr>
              <w:t>中</w:t>
            </w:r>
          </w:p>
          <w:p>
            <w:pPr>
              <w:pStyle w:val="40"/>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4.</w:t>
            </w:r>
            <w:r>
              <w:rPr>
                <w:rFonts w:hint="eastAsia" w:ascii="仿宋_GB2312" w:hAnsi="仿宋_GB2312" w:eastAsia="仿宋_GB2312" w:cs="仿宋_GB2312"/>
                <w:kern w:val="0"/>
                <w:sz w:val="24"/>
                <w:szCs w:val="24"/>
                <w:highlight w:val="none"/>
                <w:lang w:val="en-US" w:eastAsia="zh-CN"/>
              </w:rPr>
              <w:t xml:space="preserve"> 3</w:t>
            </w:r>
            <w:r>
              <w:rPr>
                <w:rFonts w:hint="eastAsia" w:ascii="仿宋_GB2312" w:hAnsi="仿宋_GB2312" w:eastAsia="仿宋_GB2312" w:cs="仿宋_GB2312"/>
                <w:kern w:val="0"/>
                <w:sz w:val="24"/>
                <w:szCs w:val="24"/>
                <w:highlight w:val="none"/>
                <w:lang w:val="en-GB"/>
              </w:rPr>
              <w:t xml:space="preserve">%＜计划延误率       </w:t>
            </w:r>
            <w:r>
              <w:rPr>
                <w:rFonts w:hint="eastAsia" w:ascii="仿宋_GB2312" w:hAnsi="仿宋_GB2312" w:eastAsia="仿宋_GB2312" w:cs="仿宋_GB2312"/>
                <w:kern w:val="0"/>
                <w:sz w:val="24"/>
                <w:szCs w:val="24"/>
                <w:highlight w:val="none"/>
                <w:lang w:val="en-US" w:eastAsia="zh-CN"/>
              </w:rPr>
              <w:t xml:space="preserve"> </w:t>
            </w:r>
            <w:r>
              <w:rPr>
                <w:rFonts w:hint="eastAsia" w:ascii="仿宋_GB2312" w:hAnsi="仿宋_GB2312" w:eastAsia="仿宋_GB2312" w:cs="仿宋_GB2312"/>
                <w:kern w:val="0"/>
                <w:sz w:val="24"/>
                <w:szCs w:val="24"/>
                <w:highlight w:val="none"/>
                <w:lang w:val="en-GB"/>
              </w:rPr>
              <w:t>差</w:t>
            </w:r>
          </w:p>
        </w:tc>
        <w:tc>
          <w:tcPr>
            <w:tcW w:w="520" w:type="pct"/>
            <w:noWrap w:val="0"/>
            <w:vAlign w:val="center"/>
          </w:tcPr>
          <w:p>
            <w:pPr>
              <w:pStyle w:val="40"/>
              <w:widowControl/>
              <w:spacing w:line="240" w:lineRule="auto"/>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en-US" w:eastAsia="zh-CN"/>
              </w:rPr>
              <w:t>4</w:t>
            </w:r>
            <w:r>
              <w:rPr>
                <w:rFonts w:hint="eastAsia" w:ascii="仿宋_GB2312" w:hAnsi="仿宋_GB2312" w:eastAsia="仿宋_GB2312" w:cs="仿宋_GB2312"/>
                <w:kern w:val="0"/>
                <w:sz w:val="24"/>
                <w:szCs w:val="24"/>
                <w:highlight w:val="none"/>
                <w:lang w:val="de-D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 w:type="pct"/>
            <w:noWrap w:val="0"/>
            <w:vAlign w:val="center"/>
          </w:tcPr>
          <w:p>
            <w:pPr>
              <w:pStyle w:val="40"/>
              <w:widowControl/>
              <w:spacing w:line="240" w:lineRule="auto"/>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de-DE"/>
              </w:rPr>
              <w:t>2</w:t>
            </w:r>
          </w:p>
        </w:tc>
        <w:tc>
          <w:tcPr>
            <w:tcW w:w="520" w:type="pct"/>
            <w:noWrap w:val="0"/>
            <w:vAlign w:val="center"/>
          </w:tcPr>
          <w:p>
            <w:pPr>
              <w:pStyle w:val="40"/>
              <w:widowControl/>
              <w:spacing w:line="240" w:lineRule="auto"/>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de-DE"/>
              </w:rPr>
              <w:t>项目投产后问题数量</w:t>
            </w:r>
          </w:p>
        </w:tc>
        <w:tc>
          <w:tcPr>
            <w:tcW w:w="1168" w:type="pct"/>
            <w:noWrap w:val="0"/>
            <w:vAlign w:val="center"/>
          </w:tcPr>
          <w:p>
            <w:pPr>
              <w:pStyle w:val="40"/>
              <w:widowControl/>
              <w:spacing w:line="240" w:lineRule="auto"/>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de-DE"/>
              </w:rPr>
              <w:t>投产后至验收时累计问题数</w:t>
            </w:r>
          </w:p>
        </w:tc>
        <w:tc>
          <w:tcPr>
            <w:tcW w:w="2567" w:type="pct"/>
            <w:noWrap w:val="0"/>
            <w:vAlign w:val="center"/>
          </w:tcPr>
          <w:p>
            <w:pPr>
              <w:pStyle w:val="40"/>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1.每100功能点每</w:t>
            </w:r>
            <w:r>
              <w:rPr>
                <w:rFonts w:hint="eastAsia" w:ascii="仿宋_GB2312" w:hAnsi="仿宋_GB2312" w:eastAsia="仿宋_GB2312" w:cs="仿宋_GB2312"/>
                <w:kern w:val="0"/>
                <w:sz w:val="24"/>
                <w:szCs w:val="24"/>
                <w:highlight w:val="none"/>
                <w:lang w:val="en-US" w:eastAsia="zh-CN"/>
              </w:rPr>
              <w:t>3</w:t>
            </w:r>
            <w:r>
              <w:rPr>
                <w:rFonts w:hint="eastAsia" w:ascii="仿宋_GB2312" w:hAnsi="仿宋_GB2312" w:eastAsia="仿宋_GB2312" w:cs="仿宋_GB2312"/>
                <w:kern w:val="0"/>
                <w:sz w:val="24"/>
                <w:szCs w:val="24"/>
                <w:highlight w:val="none"/>
                <w:lang w:val="en-GB"/>
              </w:rPr>
              <w:t>月发现问题数&lt;5   优</w:t>
            </w:r>
          </w:p>
          <w:p>
            <w:pPr>
              <w:pStyle w:val="40"/>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2.每100功能点每</w:t>
            </w:r>
            <w:r>
              <w:rPr>
                <w:rFonts w:hint="eastAsia" w:ascii="仿宋_GB2312" w:hAnsi="仿宋_GB2312" w:eastAsia="仿宋_GB2312" w:cs="仿宋_GB2312"/>
                <w:kern w:val="0"/>
                <w:sz w:val="24"/>
                <w:szCs w:val="24"/>
                <w:highlight w:val="none"/>
                <w:lang w:val="en-US" w:eastAsia="zh-CN"/>
              </w:rPr>
              <w:t>3</w:t>
            </w:r>
            <w:r>
              <w:rPr>
                <w:rFonts w:hint="eastAsia" w:ascii="仿宋_GB2312" w:hAnsi="仿宋_GB2312" w:eastAsia="仿宋_GB2312" w:cs="仿宋_GB2312"/>
                <w:kern w:val="0"/>
                <w:sz w:val="24"/>
                <w:szCs w:val="24"/>
                <w:highlight w:val="none"/>
                <w:lang w:val="en-GB"/>
              </w:rPr>
              <w:t>月发现问题数&lt;=10 良</w:t>
            </w:r>
          </w:p>
          <w:p>
            <w:pPr>
              <w:pStyle w:val="40"/>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3.每100功能点每</w:t>
            </w:r>
            <w:r>
              <w:rPr>
                <w:rFonts w:hint="eastAsia" w:ascii="仿宋_GB2312" w:hAnsi="仿宋_GB2312" w:eastAsia="仿宋_GB2312" w:cs="仿宋_GB2312"/>
                <w:kern w:val="0"/>
                <w:sz w:val="24"/>
                <w:szCs w:val="24"/>
                <w:highlight w:val="none"/>
                <w:lang w:val="en-US" w:eastAsia="zh-CN"/>
              </w:rPr>
              <w:t>3</w:t>
            </w:r>
            <w:r>
              <w:rPr>
                <w:rFonts w:hint="eastAsia" w:ascii="仿宋_GB2312" w:hAnsi="仿宋_GB2312" w:eastAsia="仿宋_GB2312" w:cs="仿宋_GB2312"/>
                <w:kern w:val="0"/>
                <w:sz w:val="24"/>
                <w:szCs w:val="24"/>
                <w:highlight w:val="none"/>
                <w:lang w:val="en-GB"/>
              </w:rPr>
              <w:t>月发现问题数&lt;=15 中</w:t>
            </w:r>
          </w:p>
          <w:p>
            <w:pPr>
              <w:pStyle w:val="40"/>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4.每100功能点每</w:t>
            </w:r>
            <w:r>
              <w:rPr>
                <w:rFonts w:hint="eastAsia" w:ascii="仿宋_GB2312" w:hAnsi="仿宋_GB2312" w:eastAsia="仿宋_GB2312" w:cs="仿宋_GB2312"/>
                <w:kern w:val="0"/>
                <w:sz w:val="24"/>
                <w:szCs w:val="24"/>
                <w:highlight w:val="none"/>
                <w:lang w:val="en-US" w:eastAsia="zh-CN"/>
              </w:rPr>
              <w:t>3</w:t>
            </w:r>
            <w:r>
              <w:rPr>
                <w:rFonts w:hint="eastAsia" w:ascii="仿宋_GB2312" w:hAnsi="仿宋_GB2312" w:eastAsia="仿宋_GB2312" w:cs="仿宋_GB2312"/>
                <w:kern w:val="0"/>
                <w:sz w:val="24"/>
                <w:szCs w:val="24"/>
                <w:highlight w:val="none"/>
                <w:lang w:val="en-GB"/>
              </w:rPr>
              <w:t>月发现问题数&gt;15  差</w:t>
            </w:r>
          </w:p>
        </w:tc>
        <w:tc>
          <w:tcPr>
            <w:tcW w:w="520" w:type="pct"/>
            <w:noWrap w:val="0"/>
            <w:vAlign w:val="center"/>
          </w:tcPr>
          <w:p>
            <w:pPr>
              <w:pStyle w:val="40"/>
              <w:widowControl/>
              <w:spacing w:line="240" w:lineRule="auto"/>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en-US" w:eastAsia="zh-CN"/>
              </w:rPr>
              <w:t>3</w:t>
            </w:r>
            <w:r>
              <w:rPr>
                <w:rFonts w:hint="eastAsia" w:ascii="仿宋_GB2312" w:hAnsi="仿宋_GB2312" w:eastAsia="仿宋_GB2312" w:cs="仿宋_GB2312"/>
                <w:kern w:val="0"/>
                <w:sz w:val="24"/>
                <w:szCs w:val="24"/>
                <w:highlight w:val="none"/>
                <w:lang w:val="de-D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 w:type="pct"/>
            <w:noWrap w:val="0"/>
            <w:vAlign w:val="center"/>
          </w:tcPr>
          <w:p>
            <w:pPr>
              <w:pStyle w:val="40"/>
              <w:widowControl/>
              <w:spacing w:line="240" w:lineRule="auto"/>
              <w:ind w:firstLine="0" w:firstLineChars="0"/>
              <w:jc w:val="center"/>
              <w:rPr>
                <w:rFonts w:hint="eastAsia"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3</w:t>
            </w:r>
          </w:p>
        </w:tc>
        <w:tc>
          <w:tcPr>
            <w:tcW w:w="520" w:type="pct"/>
            <w:noWrap w:val="0"/>
            <w:vAlign w:val="center"/>
          </w:tcPr>
          <w:p>
            <w:pPr>
              <w:pStyle w:val="40"/>
              <w:widowControl/>
              <w:spacing w:line="240" w:lineRule="auto"/>
              <w:ind w:firstLine="0" w:firstLineChars="0"/>
              <w:jc w:val="center"/>
              <w:rPr>
                <w:rFonts w:hint="default"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工单未及时处理率</w:t>
            </w:r>
          </w:p>
        </w:tc>
        <w:tc>
          <w:tcPr>
            <w:tcW w:w="1168" w:type="pct"/>
            <w:noWrap w:val="0"/>
            <w:vAlign w:val="center"/>
          </w:tcPr>
          <w:p>
            <w:pPr>
              <w:pStyle w:val="40"/>
              <w:widowControl/>
              <w:spacing w:line="240" w:lineRule="auto"/>
              <w:ind w:firstLine="0" w:firstLineChars="0"/>
              <w:jc w:val="center"/>
              <w:rPr>
                <w:rFonts w:hint="default"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工单处理时长超一个月工单数量/总工单数量</w:t>
            </w:r>
          </w:p>
        </w:tc>
        <w:tc>
          <w:tcPr>
            <w:tcW w:w="2567" w:type="pct"/>
            <w:noWrap w:val="0"/>
            <w:vAlign w:val="center"/>
          </w:tcPr>
          <w:p>
            <w:pPr>
              <w:pStyle w:val="40"/>
              <w:widowControl/>
              <w:numPr>
                <w:ilvl w:val="0"/>
                <w:numId w:val="0"/>
              </w:numPr>
              <w:spacing w:line="240" w:lineRule="auto"/>
              <w:ind w:firstLine="0" w:firstLineChars="0"/>
              <w:jc w:val="left"/>
              <w:rPr>
                <w:rFonts w:hint="eastAsia"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1. 工单未及时处理率</w:t>
            </w:r>
            <w:r>
              <w:rPr>
                <w:rFonts w:hint="eastAsia" w:ascii="仿宋_GB2312" w:hAnsi="仿宋_GB2312" w:eastAsia="仿宋_GB2312" w:cs="仿宋_GB2312"/>
                <w:kern w:val="0"/>
                <w:sz w:val="24"/>
                <w:szCs w:val="24"/>
                <w:highlight w:val="none"/>
                <w:lang w:val="en-GB"/>
              </w:rPr>
              <w:t>≤0%</w:t>
            </w:r>
            <w:r>
              <w:rPr>
                <w:rFonts w:hint="eastAsia" w:ascii="仿宋_GB2312" w:hAnsi="仿宋_GB2312" w:eastAsia="仿宋_GB2312" w:cs="仿宋_GB2312"/>
                <w:kern w:val="0"/>
                <w:sz w:val="24"/>
                <w:szCs w:val="24"/>
                <w:highlight w:val="none"/>
                <w:lang w:val="en-US" w:eastAsia="zh-CN"/>
              </w:rPr>
              <w:t xml:space="preserve">     优</w:t>
            </w:r>
          </w:p>
          <w:p>
            <w:pPr>
              <w:pStyle w:val="40"/>
              <w:widowControl/>
              <w:numPr>
                <w:ilvl w:val="0"/>
                <w:numId w:val="0"/>
              </w:numPr>
              <w:spacing w:line="240" w:lineRule="auto"/>
              <w:ind w:firstLine="0" w:firstLineChars="0"/>
              <w:jc w:val="left"/>
              <w:rPr>
                <w:rFonts w:hint="eastAsia"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2. 0%&lt;工单未及时处理率</w:t>
            </w:r>
            <w:r>
              <w:rPr>
                <w:rFonts w:hint="eastAsia" w:ascii="仿宋_GB2312" w:hAnsi="仿宋_GB2312" w:eastAsia="仿宋_GB2312" w:cs="仿宋_GB2312"/>
                <w:kern w:val="0"/>
                <w:sz w:val="24"/>
                <w:szCs w:val="24"/>
                <w:highlight w:val="none"/>
                <w:lang w:val="en-GB"/>
              </w:rPr>
              <w:t>≤</w:t>
            </w:r>
            <w:r>
              <w:rPr>
                <w:rFonts w:hint="eastAsia" w:ascii="仿宋_GB2312" w:hAnsi="仿宋_GB2312" w:eastAsia="仿宋_GB2312" w:cs="仿宋_GB2312"/>
                <w:kern w:val="0"/>
                <w:sz w:val="24"/>
                <w:szCs w:val="24"/>
                <w:highlight w:val="none"/>
                <w:lang w:val="en-US" w:eastAsia="zh-CN"/>
              </w:rPr>
              <w:t>5</w:t>
            </w:r>
            <w:r>
              <w:rPr>
                <w:rFonts w:hint="eastAsia" w:ascii="仿宋_GB2312" w:hAnsi="仿宋_GB2312" w:eastAsia="仿宋_GB2312" w:cs="仿宋_GB2312"/>
                <w:kern w:val="0"/>
                <w:sz w:val="24"/>
                <w:szCs w:val="24"/>
                <w:highlight w:val="none"/>
                <w:lang w:val="en-GB"/>
              </w:rPr>
              <w:t>%</w:t>
            </w:r>
            <w:r>
              <w:rPr>
                <w:rFonts w:hint="eastAsia" w:ascii="仿宋_GB2312" w:hAnsi="仿宋_GB2312" w:eastAsia="仿宋_GB2312" w:cs="仿宋_GB2312"/>
                <w:kern w:val="0"/>
                <w:sz w:val="24"/>
                <w:szCs w:val="24"/>
                <w:highlight w:val="none"/>
                <w:lang w:val="en-US" w:eastAsia="zh-CN"/>
              </w:rPr>
              <w:t xml:space="preserve">  良</w:t>
            </w:r>
          </w:p>
          <w:p>
            <w:pPr>
              <w:pStyle w:val="40"/>
              <w:widowControl/>
              <w:numPr>
                <w:ilvl w:val="0"/>
                <w:numId w:val="0"/>
              </w:numPr>
              <w:spacing w:line="240" w:lineRule="auto"/>
              <w:ind w:firstLine="0" w:firstLineChars="0"/>
              <w:jc w:val="left"/>
              <w:rPr>
                <w:rFonts w:hint="eastAsia"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3. 5%&lt;工单未及时处理率</w:t>
            </w:r>
            <w:r>
              <w:rPr>
                <w:rFonts w:hint="eastAsia" w:ascii="仿宋_GB2312" w:hAnsi="仿宋_GB2312" w:eastAsia="仿宋_GB2312" w:cs="仿宋_GB2312"/>
                <w:kern w:val="0"/>
                <w:sz w:val="24"/>
                <w:szCs w:val="24"/>
                <w:highlight w:val="none"/>
                <w:lang w:val="en-GB"/>
              </w:rPr>
              <w:t>≤</w:t>
            </w:r>
            <w:r>
              <w:rPr>
                <w:rFonts w:hint="eastAsia" w:ascii="仿宋_GB2312" w:hAnsi="仿宋_GB2312" w:eastAsia="仿宋_GB2312" w:cs="仿宋_GB2312"/>
                <w:kern w:val="0"/>
                <w:sz w:val="24"/>
                <w:szCs w:val="24"/>
                <w:highlight w:val="none"/>
                <w:lang w:val="en-US" w:eastAsia="zh-CN"/>
              </w:rPr>
              <w:t>15</w:t>
            </w:r>
            <w:r>
              <w:rPr>
                <w:rFonts w:hint="eastAsia" w:ascii="仿宋_GB2312" w:hAnsi="仿宋_GB2312" w:eastAsia="仿宋_GB2312" w:cs="仿宋_GB2312"/>
                <w:kern w:val="0"/>
                <w:sz w:val="24"/>
                <w:szCs w:val="24"/>
                <w:highlight w:val="none"/>
                <w:lang w:val="en-GB"/>
              </w:rPr>
              <w:t>%</w:t>
            </w:r>
            <w:r>
              <w:rPr>
                <w:rFonts w:hint="eastAsia" w:ascii="仿宋_GB2312" w:hAnsi="仿宋_GB2312" w:eastAsia="仿宋_GB2312" w:cs="仿宋_GB2312"/>
                <w:kern w:val="0"/>
                <w:sz w:val="24"/>
                <w:szCs w:val="24"/>
                <w:highlight w:val="none"/>
                <w:lang w:val="en-US" w:eastAsia="zh-CN"/>
              </w:rPr>
              <w:t xml:space="preserve"> 中</w:t>
            </w:r>
          </w:p>
          <w:p>
            <w:pPr>
              <w:pStyle w:val="40"/>
              <w:widowControl/>
              <w:numPr>
                <w:ilvl w:val="0"/>
                <w:numId w:val="0"/>
              </w:numPr>
              <w:spacing w:line="240" w:lineRule="auto"/>
              <w:ind w:firstLine="0" w:firstLineChars="0"/>
              <w:jc w:val="left"/>
              <w:rPr>
                <w:rFonts w:hint="default"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4. 15%&lt;工单未及时处理率     差</w:t>
            </w:r>
          </w:p>
        </w:tc>
        <w:tc>
          <w:tcPr>
            <w:tcW w:w="520" w:type="pct"/>
            <w:noWrap w:val="0"/>
            <w:vAlign w:val="center"/>
          </w:tcPr>
          <w:p>
            <w:pPr>
              <w:pStyle w:val="40"/>
              <w:widowControl/>
              <w:spacing w:line="240" w:lineRule="auto"/>
              <w:ind w:firstLine="0" w:firstLineChars="0"/>
              <w:jc w:val="center"/>
              <w:rPr>
                <w:rFonts w:hint="default"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 w:type="pct"/>
            <w:noWrap w:val="0"/>
            <w:vAlign w:val="center"/>
          </w:tcPr>
          <w:p>
            <w:pPr>
              <w:pStyle w:val="40"/>
              <w:widowControl/>
              <w:spacing w:line="240" w:lineRule="auto"/>
              <w:ind w:firstLine="0" w:firstLineChars="0"/>
              <w:jc w:val="center"/>
              <w:rPr>
                <w:rFonts w:hint="default"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4</w:t>
            </w:r>
          </w:p>
        </w:tc>
        <w:tc>
          <w:tcPr>
            <w:tcW w:w="520" w:type="pct"/>
            <w:noWrap w:val="0"/>
            <w:vAlign w:val="center"/>
          </w:tcPr>
          <w:p>
            <w:pPr>
              <w:pStyle w:val="40"/>
              <w:widowControl/>
              <w:spacing w:line="240" w:lineRule="auto"/>
              <w:ind w:firstLine="0" w:firstLineChars="0"/>
              <w:jc w:val="center"/>
              <w:rPr>
                <w:rFonts w:hint="default"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异常考勤率</w:t>
            </w:r>
          </w:p>
        </w:tc>
        <w:tc>
          <w:tcPr>
            <w:tcW w:w="1168" w:type="pct"/>
            <w:noWrap w:val="0"/>
            <w:vAlign w:val="center"/>
          </w:tcPr>
          <w:p>
            <w:pPr>
              <w:pStyle w:val="40"/>
              <w:widowControl/>
              <w:spacing w:line="240" w:lineRule="auto"/>
              <w:ind w:firstLine="0" w:firstLineChars="0"/>
              <w:jc w:val="center"/>
              <w:rPr>
                <w:rFonts w:hint="default"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驻场期间异常考勤天数/应出勤天数</w:t>
            </w:r>
          </w:p>
        </w:tc>
        <w:tc>
          <w:tcPr>
            <w:tcW w:w="2567" w:type="pct"/>
            <w:noWrap w:val="0"/>
            <w:vAlign w:val="center"/>
          </w:tcPr>
          <w:p>
            <w:pPr>
              <w:pStyle w:val="40"/>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 xml:space="preserve">1. </w:t>
            </w:r>
            <w:r>
              <w:rPr>
                <w:rFonts w:hint="eastAsia" w:ascii="仿宋_GB2312" w:hAnsi="仿宋_GB2312" w:eastAsia="仿宋_GB2312" w:cs="仿宋_GB2312"/>
                <w:kern w:val="0"/>
                <w:sz w:val="24"/>
                <w:szCs w:val="24"/>
                <w:highlight w:val="none"/>
                <w:lang w:val="en-US" w:eastAsia="zh-CN"/>
              </w:rPr>
              <w:t>异常考勤</w:t>
            </w:r>
            <w:r>
              <w:rPr>
                <w:rFonts w:hint="eastAsia" w:ascii="仿宋_GB2312" w:hAnsi="仿宋_GB2312" w:eastAsia="仿宋_GB2312" w:cs="仿宋_GB2312"/>
                <w:kern w:val="0"/>
                <w:sz w:val="24"/>
                <w:szCs w:val="24"/>
                <w:highlight w:val="none"/>
                <w:lang w:val="en-GB"/>
              </w:rPr>
              <w:t>率≤</w:t>
            </w:r>
            <w:r>
              <w:rPr>
                <w:rFonts w:hint="eastAsia" w:ascii="仿宋_GB2312" w:hAnsi="仿宋_GB2312" w:eastAsia="仿宋_GB2312" w:cs="仿宋_GB2312"/>
                <w:kern w:val="0"/>
                <w:sz w:val="24"/>
                <w:szCs w:val="24"/>
                <w:highlight w:val="none"/>
                <w:lang w:val="en-US" w:eastAsia="zh-CN"/>
              </w:rPr>
              <w:t>5</w:t>
            </w:r>
            <w:r>
              <w:rPr>
                <w:rFonts w:hint="eastAsia" w:ascii="仿宋_GB2312" w:hAnsi="仿宋_GB2312" w:eastAsia="仿宋_GB2312" w:cs="仿宋_GB2312"/>
                <w:kern w:val="0"/>
                <w:sz w:val="24"/>
                <w:szCs w:val="24"/>
                <w:highlight w:val="none"/>
                <w:lang w:val="en-GB"/>
              </w:rPr>
              <w:t>%        优</w:t>
            </w:r>
          </w:p>
          <w:p>
            <w:pPr>
              <w:pStyle w:val="40"/>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 xml:space="preserve">2. </w:t>
            </w:r>
            <w:r>
              <w:rPr>
                <w:rFonts w:hint="eastAsia" w:ascii="仿宋_GB2312" w:hAnsi="仿宋_GB2312" w:eastAsia="仿宋_GB2312" w:cs="仿宋_GB2312"/>
                <w:kern w:val="0"/>
                <w:sz w:val="24"/>
                <w:szCs w:val="24"/>
                <w:highlight w:val="none"/>
                <w:lang w:val="en-US" w:eastAsia="zh-CN"/>
              </w:rPr>
              <w:t>5</w:t>
            </w:r>
            <w:r>
              <w:rPr>
                <w:rFonts w:hint="eastAsia" w:ascii="仿宋_GB2312" w:hAnsi="仿宋_GB2312" w:eastAsia="仿宋_GB2312" w:cs="仿宋_GB2312"/>
                <w:kern w:val="0"/>
                <w:sz w:val="24"/>
                <w:szCs w:val="24"/>
                <w:highlight w:val="none"/>
                <w:lang w:val="en-GB"/>
              </w:rPr>
              <w:t>%＜</w:t>
            </w:r>
            <w:r>
              <w:rPr>
                <w:rFonts w:hint="eastAsia" w:ascii="仿宋_GB2312" w:hAnsi="仿宋_GB2312" w:eastAsia="仿宋_GB2312" w:cs="仿宋_GB2312"/>
                <w:kern w:val="0"/>
                <w:sz w:val="24"/>
                <w:szCs w:val="24"/>
                <w:highlight w:val="none"/>
                <w:lang w:val="en-US" w:eastAsia="zh-CN"/>
              </w:rPr>
              <w:t>异常考勤</w:t>
            </w:r>
            <w:r>
              <w:rPr>
                <w:rFonts w:hint="eastAsia" w:ascii="仿宋_GB2312" w:hAnsi="仿宋_GB2312" w:eastAsia="仿宋_GB2312" w:cs="仿宋_GB2312"/>
                <w:kern w:val="0"/>
                <w:sz w:val="24"/>
                <w:szCs w:val="24"/>
                <w:highlight w:val="none"/>
                <w:lang w:val="en-GB"/>
              </w:rPr>
              <w:t>率≤</w:t>
            </w:r>
            <w:r>
              <w:rPr>
                <w:rFonts w:hint="eastAsia" w:ascii="仿宋_GB2312" w:hAnsi="仿宋_GB2312" w:eastAsia="仿宋_GB2312" w:cs="仿宋_GB2312"/>
                <w:kern w:val="0"/>
                <w:sz w:val="24"/>
                <w:szCs w:val="24"/>
                <w:highlight w:val="none"/>
                <w:lang w:val="en-US" w:eastAsia="zh-CN"/>
              </w:rPr>
              <w:t>10</w:t>
            </w:r>
            <w:r>
              <w:rPr>
                <w:rFonts w:hint="eastAsia" w:ascii="仿宋_GB2312" w:hAnsi="仿宋_GB2312" w:eastAsia="仿宋_GB2312" w:cs="仿宋_GB2312"/>
                <w:kern w:val="0"/>
                <w:sz w:val="24"/>
                <w:szCs w:val="24"/>
                <w:highlight w:val="none"/>
                <w:lang w:val="en-GB"/>
              </w:rPr>
              <w:t>%   良</w:t>
            </w:r>
          </w:p>
          <w:p>
            <w:pPr>
              <w:pStyle w:val="40"/>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3.</w:t>
            </w:r>
            <w:r>
              <w:rPr>
                <w:rFonts w:hint="eastAsia" w:ascii="仿宋_GB2312" w:hAnsi="仿宋_GB2312" w:eastAsia="仿宋_GB2312" w:cs="仿宋_GB2312"/>
                <w:kern w:val="0"/>
                <w:sz w:val="24"/>
                <w:szCs w:val="24"/>
                <w:highlight w:val="none"/>
                <w:lang w:val="en-US" w:eastAsia="zh-CN"/>
              </w:rPr>
              <w:t xml:space="preserve"> 10</w:t>
            </w:r>
            <w:r>
              <w:rPr>
                <w:rFonts w:hint="eastAsia" w:ascii="仿宋_GB2312" w:hAnsi="仿宋_GB2312" w:eastAsia="仿宋_GB2312" w:cs="仿宋_GB2312"/>
                <w:kern w:val="0"/>
                <w:sz w:val="24"/>
                <w:szCs w:val="24"/>
                <w:highlight w:val="none"/>
                <w:lang w:val="en-GB"/>
              </w:rPr>
              <w:t>%＜</w:t>
            </w:r>
            <w:r>
              <w:rPr>
                <w:rFonts w:hint="eastAsia" w:ascii="仿宋_GB2312" w:hAnsi="仿宋_GB2312" w:eastAsia="仿宋_GB2312" w:cs="仿宋_GB2312"/>
                <w:kern w:val="0"/>
                <w:sz w:val="24"/>
                <w:szCs w:val="24"/>
                <w:highlight w:val="none"/>
                <w:lang w:val="en-US" w:eastAsia="zh-CN"/>
              </w:rPr>
              <w:t>异常考勤</w:t>
            </w:r>
            <w:r>
              <w:rPr>
                <w:rFonts w:hint="eastAsia" w:ascii="仿宋_GB2312" w:hAnsi="仿宋_GB2312" w:eastAsia="仿宋_GB2312" w:cs="仿宋_GB2312"/>
                <w:kern w:val="0"/>
                <w:sz w:val="24"/>
                <w:szCs w:val="24"/>
                <w:highlight w:val="none"/>
                <w:lang w:val="en-GB"/>
              </w:rPr>
              <w:t>率≤15%  中</w:t>
            </w:r>
          </w:p>
          <w:p>
            <w:pPr>
              <w:pStyle w:val="40"/>
              <w:widowControl/>
              <w:numPr>
                <w:ilvl w:val="0"/>
                <w:numId w:val="0"/>
              </w:numPr>
              <w:spacing w:line="240" w:lineRule="auto"/>
              <w:ind w:firstLine="0" w:firstLineChars="0"/>
              <w:jc w:val="left"/>
              <w:rPr>
                <w:rFonts w:hint="eastAsia"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GB"/>
              </w:rPr>
              <w:t>4.</w:t>
            </w:r>
            <w:r>
              <w:rPr>
                <w:rFonts w:hint="eastAsia" w:ascii="仿宋_GB2312" w:hAnsi="仿宋_GB2312" w:eastAsia="仿宋_GB2312" w:cs="仿宋_GB2312"/>
                <w:kern w:val="0"/>
                <w:sz w:val="24"/>
                <w:szCs w:val="24"/>
                <w:highlight w:val="none"/>
                <w:lang w:val="en-US" w:eastAsia="zh-CN"/>
              </w:rPr>
              <w:t xml:space="preserve"> </w:t>
            </w:r>
            <w:r>
              <w:rPr>
                <w:rFonts w:hint="eastAsia" w:ascii="仿宋_GB2312" w:hAnsi="仿宋_GB2312" w:eastAsia="仿宋_GB2312" w:cs="仿宋_GB2312"/>
                <w:kern w:val="0"/>
                <w:sz w:val="24"/>
                <w:szCs w:val="24"/>
                <w:highlight w:val="none"/>
                <w:lang w:val="en-GB"/>
              </w:rPr>
              <w:t>15%＜</w:t>
            </w:r>
            <w:r>
              <w:rPr>
                <w:rFonts w:hint="eastAsia" w:ascii="仿宋_GB2312" w:hAnsi="仿宋_GB2312" w:eastAsia="仿宋_GB2312" w:cs="仿宋_GB2312"/>
                <w:kern w:val="0"/>
                <w:sz w:val="24"/>
                <w:szCs w:val="24"/>
                <w:highlight w:val="none"/>
                <w:lang w:val="en-US" w:eastAsia="zh-CN"/>
              </w:rPr>
              <w:t>异常考勤</w:t>
            </w:r>
            <w:r>
              <w:rPr>
                <w:rFonts w:hint="eastAsia" w:ascii="仿宋_GB2312" w:hAnsi="仿宋_GB2312" w:eastAsia="仿宋_GB2312" w:cs="仿宋_GB2312"/>
                <w:kern w:val="0"/>
                <w:sz w:val="24"/>
                <w:szCs w:val="24"/>
                <w:highlight w:val="none"/>
                <w:lang w:val="en-GB"/>
              </w:rPr>
              <w:t>率       差</w:t>
            </w:r>
          </w:p>
        </w:tc>
        <w:tc>
          <w:tcPr>
            <w:tcW w:w="520" w:type="pct"/>
            <w:noWrap w:val="0"/>
            <w:vAlign w:val="center"/>
          </w:tcPr>
          <w:p>
            <w:pPr>
              <w:pStyle w:val="40"/>
              <w:widowControl/>
              <w:spacing w:line="240" w:lineRule="auto"/>
              <w:ind w:firstLine="0" w:firstLineChars="0"/>
              <w:jc w:val="center"/>
              <w:rPr>
                <w:rFonts w:hint="default"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noWrap w:val="0"/>
            <w:vAlign w:val="center"/>
          </w:tcPr>
          <w:p>
            <w:pPr>
              <w:pStyle w:val="40"/>
              <w:widowControl/>
              <w:tabs>
                <w:tab w:val="left" w:pos="2252"/>
              </w:tabs>
              <w:spacing w:line="240" w:lineRule="auto"/>
              <w:ind w:firstLine="0" w:firstLineChars="0"/>
              <w:jc w:val="left"/>
              <w:rPr>
                <w:rFonts w:hint="eastAsia"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说明：本项目涉及功能点情况和数量随报价文件一并提供，应与工作量评估底稿一致；考勤率结合我行外包考勤情况进行计算。</w:t>
            </w:r>
          </w:p>
        </w:tc>
      </w:tr>
    </w:tbl>
    <w:p>
      <w:pPr>
        <w:pStyle w:val="36"/>
        <w:keepNext w:val="0"/>
        <w:keepLines w:val="0"/>
        <w:pageBreakBefore w:val="0"/>
        <w:widowControl w:val="0"/>
        <w:kinsoku/>
        <w:wordWrap/>
        <w:overflowPunct/>
        <w:topLinePunct w:val="0"/>
        <w:autoSpaceDE/>
        <w:autoSpaceDN/>
        <w:bidi w:val="0"/>
        <w:snapToGrid/>
        <w:spacing w:afterLines="0" w:line="560" w:lineRule="exact"/>
        <w:ind w:left="0" w:firstLine="640" w:firstLineChars="200"/>
        <w:rPr>
          <w:rFonts w:hint="eastAsia" w:ascii="仿宋_GB2312" w:hAnsi="仿宋_GB2312" w:eastAsia="仿宋_GB2312" w:cs="仿宋_GB2312"/>
          <w:sz w:val="32"/>
          <w:szCs w:val="28"/>
          <w:highlight w:val="none"/>
        </w:rPr>
      </w:pPr>
      <w:r>
        <w:rPr>
          <w:rFonts w:hint="eastAsia" w:ascii="仿宋_GB2312" w:hAnsi="仿宋_GB2312" w:eastAsia="仿宋_GB2312" w:cs="仿宋_GB2312"/>
          <w:sz w:val="32"/>
          <w:szCs w:val="28"/>
          <w:highlight w:val="none"/>
        </w:rPr>
        <w:t xml:space="preserve">根据SLA最后得分情况，划分为四个等级： </w:t>
      </w:r>
    </w:p>
    <w:p>
      <w:pPr>
        <w:pStyle w:val="36"/>
        <w:keepNext w:val="0"/>
        <w:keepLines w:val="0"/>
        <w:pageBreakBefore w:val="0"/>
        <w:widowControl w:val="0"/>
        <w:kinsoku/>
        <w:wordWrap/>
        <w:overflowPunct/>
        <w:topLinePunct w:val="0"/>
        <w:autoSpaceDE/>
        <w:autoSpaceDN/>
        <w:bidi w:val="0"/>
        <w:snapToGrid/>
        <w:spacing w:afterLines="0" w:line="560" w:lineRule="exact"/>
        <w:ind w:left="0" w:firstLine="640" w:firstLineChars="200"/>
        <w:rPr>
          <w:rFonts w:hint="eastAsia" w:ascii="仿宋_GB2312" w:hAnsi="仿宋_GB2312" w:eastAsia="仿宋_GB2312" w:cs="仿宋_GB2312"/>
          <w:sz w:val="32"/>
          <w:szCs w:val="28"/>
          <w:highlight w:val="none"/>
          <w:lang w:eastAsia="zh-CN"/>
        </w:rPr>
      </w:pPr>
      <w:r>
        <w:rPr>
          <w:rFonts w:hint="eastAsia" w:ascii="仿宋_GB2312" w:hAnsi="仿宋_GB2312" w:eastAsia="仿宋_GB2312" w:cs="仿宋_GB2312"/>
          <w:sz w:val="32"/>
          <w:szCs w:val="28"/>
          <w:highlight w:val="none"/>
        </w:rPr>
        <w:t>SLA&gt;=95的为优</w:t>
      </w:r>
      <w:r>
        <w:rPr>
          <w:rFonts w:hint="eastAsia" w:ascii="仿宋_GB2312" w:hAnsi="仿宋_GB2312" w:eastAsia="仿宋_GB2312" w:cs="仿宋_GB2312"/>
          <w:sz w:val="32"/>
          <w:szCs w:val="28"/>
          <w:highlight w:val="none"/>
          <w:lang w:eastAsia="zh-CN"/>
        </w:rPr>
        <w:t>；</w:t>
      </w:r>
    </w:p>
    <w:p>
      <w:pPr>
        <w:pStyle w:val="36"/>
        <w:keepNext w:val="0"/>
        <w:keepLines w:val="0"/>
        <w:pageBreakBefore w:val="0"/>
        <w:widowControl w:val="0"/>
        <w:kinsoku/>
        <w:wordWrap/>
        <w:overflowPunct/>
        <w:topLinePunct w:val="0"/>
        <w:autoSpaceDE/>
        <w:autoSpaceDN/>
        <w:bidi w:val="0"/>
        <w:snapToGrid/>
        <w:spacing w:afterLines="0" w:line="560" w:lineRule="exact"/>
        <w:ind w:left="0" w:firstLine="640" w:firstLineChars="200"/>
        <w:rPr>
          <w:rFonts w:hint="eastAsia" w:ascii="仿宋_GB2312" w:hAnsi="仿宋_GB2312" w:eastAsia="仿宋_GB2312" w:cs="仿宋_GB2312"/>
          <w:sz w:val="32"/>
          <w:szCs w:val="28"/>
          <w:highlight w:val="none"/>
          <w:lang w:eastAsia="zh-CN"/>
        </w:rPr>
      </w:pPr>
      <w:r>
        <w:rPr>
          <w:rFonts w:hint="eastAsia" w:ascii="仿宋_GB2312" w:hAnsi="仿宋_GB2312" w:eastAsia="仿宋_GB2312" w:cs="仿宋_GB2312"/>
          <w:sz w:val="32"/>
          <w:szCs w:val="28"/>
          <w:highlight w:val="none"/>
        </w:rPr>
        <w:t>SLA在80-95的为良</w:t>
      </w:r>
      <w:r>
        <w:rPr>
          <w:rFonts w:hint="eastAsia" w:ascii="仿宋_GB2312" w:hAnsi="仿宋_GB2312" w:eastAsia="仿宋_GB2312" w:cs="仿宋_GB2312"/>
          <w:sz w:val="32"/>
          <w:szCs w:val="28"/>
          <w:highlight w:val="none"/>
          <w:lang w:eastAsia="zh-CN"/>
        </w:rPr>
        <w:t>；</w:t>
      </w:r>
    </w:p>
    <w:p>
      <w:pPr>
        <w:pStyle w:val="36"/>
        <w:keepNext w:val="0"/>
        <w:keepLines w:val="0"/>
        <w:pageBreakBefore w:val="0"/>
        <w:widowControl w:val="0"/>
        <w:kinsoku/>
        <w:wordWrap/>
        <w:overflowPunct/>
        <w:topLinePunct w:val="0"/>
        <w:autoSpaceDE/>
        <w:autoSpaceDN/>
        <w:bidi w:val="0"/>
        <w:snapToGrid/>
        <w:spacing w:afterLines="0" w:line="560" w:lineRule="exact"/>
        <w:ind w:left="0" w:firstLine="640" w:firstLineChars="200"/>
        <w:rPr>
          <w:rFonts w:hint="eastAsia" w:ascii="仿宋_GB2312" w:hAnsi="仿宋_GB2312" w:eastAsia="仿宋_GB2312" w:cs="仿宋_GB2312"/>
          <w:sz w:val="32"/>
          <w:szCs w:val="28"/>
          <w:highlight w:val="none"/>
          <w:lang w:eastAsia="zh-CN"/>
        </w:rPr>
      </w:pPr>
      <w:r>
        <w:rPr>
          <w:rFonts w:hint="eastAsia" w:ascii="仿宋_GB2312" w:hAnsi="仿宋_GB2312" w:eastAsia="仿宋_GB2312" w:cs="仿宋_GB2312"/>
          <w:sz w:val="32"/>
          <w:szCs w:val="28"/>
          <w:highlight w:val="none"/>
        </w:rPr>
        <w:t>SLA在60-80的为中</w:t>
      </w:r>
      <w:r>
        <w:rPr>
          <w:rFonts w:hint="eastAsia" w:ascii="仿宋_GB2312" w:hAnsi="仿宋_GB2312" w:eastAsia="仿宋_GB2312" w:cs="仿宋_GB2312"/>
          <w:sz w:val="32"/>
          <w:szCs w:val="28"/>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28"/>
          <w:highlight w:val="none"/>
          <w:lang w:eastAsia="zh-CN"/>
        </w:rPr>
      </w:pPr>
      <w:r>
        <w:rPr>
          <w:rFonts w:hint="eastAsia" w:ascii="仿宋_GB2312" w:hAnsi="仿宋_GB2312" w:eastAsia="仿宋_GB2312" w:cs="仿宋_GB2312"/>
          <w:sz w:val="32"/>
          <w:szCs w:val="28"/>
          <w:highlight w:val="none"/>
        </w:rPr>
        <w:t>SLA&lt;60的为差</w:t>
      </w:r>
      <w:r>
        <w:rPr>
          <w:rFonts w:hint="eastAsia" w:ascii="仿宋_GB2312" w:hAnsi="仿宋_GB2312" w:eastAsia="仿宋_GB2312" w:cs="仿宋_GB2312"/>
          <w:sz w:val="32"/>
          <w:szCs w:val="28"/>
          <w:highlight w:val="none"/>
          <w:lang w:eastAsia="zh-CN"/>
        </w:rPr>
        <w:t>。</w:t>
      </w:r>
    </w:p>
    <w:p>
      <w:pPr>
        <w:keepNext w:val="0"/>
        <w:keepLines w:val="0"/>
        <w:pageBreakBefore w:val="0"/>
        <w:widowControl w:val="0"/>
        <w:kinsoku/>
        <w:wordWrap/>
        <w:overflowPunct/>
        <w:topLinePunct w:val="0"/>
        <w:autoSpaceDE/>
        <w:autoSpaceDN/>
        <w:bidi w:val="0"/>
        <w:adjustRightInd w:val="0"/>
        <w:snapToGrid/>
        <w:spacing w:line="560" w:lineRule="exact"/>
        <w:ind w:left="0" w:firstLine="640" w:firstLineChars="200"/>
        <w:textAlignment w:val="baseline"/>
        <w:rPr>
          <w:rFonts w:hint="eastAsia" w:ascii="楷体_GB2312" w:hAnsi="楷体_GB2312" w:eastAsia="楷体_GB2312" w:cs="楷体_GB2312"/>
          <w:color w:val="auto"/>
          <w:sz w:val="32"/>
          <w:szCs w:val="22"/>
          <w:highlight w:val="none"/>
          <w:lang w:val="en-US" w:eastAsia="zh-CN"/>
        </w:rPr>
      </w:pPr>
      <w:bookmarkStart w:id="23" w:name="_Toc7716"/>
      <w:r>
        <w:rPr>
          <w:rFonts w:hint="eastAsia" w:ascii="楷体_GB2312" w:hAnsi="楷体_GB2312" w:eastAsia="楷体_GB2312" w:cs="楷体_GB2312"/>
          <w:color w:val="auto"/>
          <w:sz w:val="32"/>
          <w:szCs w:val="22"/>
          <w:highlight w:val="none"/>
          <w:lang w:val="en-US" w:eastAsia="zh-CN"/>
        </w:rPr>
        <w:t>（三）违约责任</w:t>
      </w:r>
      <w:bookmarkEnd w:id="23"/>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1.供应商在合同签署后，</w:t>
      </w:r>
      <w:r>
        <w:rPr>
          <w:rFonts w:hint="eastAsia" w:ascii="仿宋_GB2312" w:hAnsi="仿宋_GB2312" w:eastAsia="仿宋_GB2312" w:cs="仿宋_GB2312"/>
          <w:b w:val="0"/>
          <w:bCs w:val="0"/>
          <w:sz w:val="32"/>
          <w:szCs w:val="32"/>
          <w:highlight w:val="none"/>
          <w:lang w:val="en-US" w:eastAsia="zh-CN"/>
        </w:rPr>
        <w:t>需要</w:t>
      </w:r>
      <w:r>
        <w:rPr>
          <w:rFonts w:hint="eastAsia" w:ascii="仿宋_GB2312" w:hAnsi="仿宋_GB2312" w:eastAsia="仿宋_GB2312" w:cs="仿宋_GB2312"/>
          <w:sz w:val="32"/>
          <w:szCs w:val="32"/>
          <w:highlight w:val="none"/>
          <w:lang w:val="en-US" w:eastAsia="zh-CN"/>
        </w:rPr>
        <w:t>按上线计划完成投产上线</w:t>
      </w:r>
      <w:r>
        <w:rPr>
          <w:rFonts w:hint="eastAsia" w:ascii="仿宋_GB2312" w:hAnsi="仿宋_GB2312" w:eastAsia="仿宋_GB2312" w:cs="仿宋_GB2312"/>
          <w:b w:val="0"/>
          <w:bCs w:val="0"/>
          <w:sz w:val="32"/>
          <w:szCs w:val="32"/>
          <w:highlight w:val="none"/>
          <w:lang w:val="en-US" w:eastAsia="zh-CN"/>
        </w:rPr>
        <w:t>。如因供应商原因导致未能按期投产上线，将按照</w:t>
      </w:r>
      <w:r>
        <w:rPr>
          <w:rFonts w:hint="eastAsia" w:ascii="仿宋_GB2312" w:hAnsi="仿宋_GB2312" w:eastAsia="仿宋_GB2312" w:cs="仿宋_GB2312"/>
          <w:sz w:val="32"/>
          <w:szCs w:val="32"/>
          <w:highlight w:val="none"/>
        </w:rPr>
        <w:t>每逾期一</w:t>
      </w:r>
      <w:r>
        <w:rPr>
          <w:rFonts w:hint="eastAsia" w:ascii="仿宋_GB2312" w:hAnsi="仿宋_GB2312" w:eastAsia="仿宋_GB2312" w:cs="仿宋_GB2312"/>
          <w:sz w:val="32"/>
          <w:szCs w:val="32"/>
          <w:highlight w:val="none"/>
          <w:lang w:val="en-US" w:eastAsia="zh-CN"/>
        </w:rPr>
        <w:t>日</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扣除</w:t>
      </w:r>
      <w:r>
        <w:rPr>
          <w:rFonts w:hint="eastAsia" w:ascii="仿宋_GB2312" w:hAnsi="仿宋_GB2312" w:eastAsia="仿宋_GB2312" w:cs="仿宋_GB2312"/>
          <w:sz w:val="32"/>
          <w:szCs w:val="32"/>
          <w:highlight w:val="none"/>
        </w:rPr>
        <w:t>“合同价款”的千分之</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2.逾期超过90日，我行将扣除项目全部未付款项，追索全部已付价款，且有权要求供应商须继续履行完成合同内容</w:t>
      </w:r>
      <w:r>
        <w:rPr>
          <w:rFonts w:hint="eastAsia" w:ascii="仿宋_GB2312" w:hAnsi="仿宋_GB2312" w:eastAsia="仿宋_GB2312" w:cs="仿宋_GB2312"/>
          <w:b w:val="0"/>
          <w:bCs w:val="0"/>
          <w:color w:val="auto"/>
          <w:sz w:val="32"/>
          <w:szCs w:val="32"/>
          <w:highlight w:val="none"/>
          <w:lang w:val="en-US" w:eastAsia="zh-CN"/>
        </w:rPr>
        <w:t>。</w:t>
      </w:r>
    </w:p>
    <w:p>
      <w:pPr>
        <w:pStyle w:val="36"/>
        <w:keepNext w:val="0"/>
        <w:keepLines w:val="0"/>
        <w:pageBreakBefore w:val="0"/>
        <w:widowControl w:val="0"/>
        <w:kinsoku/>
        <w:wordWrap/>
        <w:overflowPunct/>
        <w:topLinePunct w:val="0"/>
        <w:autoSpaceDE/>
        <w:autoSpaceDN/>
        <w:bidi w:val="0"/>
        <w:adjustRightInd/>
        <w:snapToGrid/>
        <w:spacing w:afterLines="0" w:line="560" w:lineRule="exact"/>
        <w:ind w:left="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2.SLA考核的罚则。</w:t>
      </w:r>
    </w:p>
    <w:p>
      <w:pPr>
        <w:pStyle w:val="36"/>
        <w:keepNext w:val="0"/>
        <w:keepLines w:val="0"/>
        <w:pageBreakBefore w:val="0"/>
        <w:widowControl w:val="0"/>
        <w:kinsoku/>
        <w:wordWrap/>
        <w:overflowPunct/>
        <w:topLinePunct w:val="0"/>
        <w:autoSpaceDE/>
        <w:autoSpaceDN/>
        <w:bidi w:val="0"/>
        <w:adjustRightInd/>
        <w:snapToGrid/>
        <w:spacing w:afterLines="0" w:line="560" w:lineRule="exact"/>
        <w:ind w:left="0" w:firstLine="640" w:firstLineChars="200"/>
        <w:textAlignment w:val="auto"/>
        <w:rPr>
          <w:rFonts w:hint="eastAsia" w:ascii="仿宋_GB2312" w:hAnsi="仿宋_GB2312" w:eastAsia="仿宋_GB2312" w:cs="仿宋_GB2312"/>
          <w:sz w:val="32"/>
          <w:szCs w:val="28"/>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28"/>
          <w:highlight w:val="none"/>
        </w:rPr>
        <w:t>SLA考核为良：约谈公司高管，提出服务质量保障具体措施并限期落实；</w:t>
      </w:r>
    </w:p>
    <w:p>
      <w:pPr>
        <w:pStyle w:val="36"/>
        <w:keepNext w:val="0"/>
        <w:keepLines w:val="0"/>
        <w:pageBreakBefore w:val="0"/>
        <w:widowControl w:val="0"/>
        <w:kinsoku/>
        <w:wordWrap/>
        <w:overflowPunct/>
        <w:topLinePunct w:val="0"/>
        <w:autoSpaceDE/>
        <w:autoSpaceDN/>
        <w:bidi w:val="0"/>
        <w:adjustRightInd/>
        <w:snapToGrid/>
        <w:spacing w:afterLines="0" w:line="560" w:lineRule="exact"/>
        <w:ind w:left="0" w:firstLine="640" w:firstLineChars="200"/>
        <w:textAlignment w:val="auto"/>
        <w:rPr>
          <w:rFonts w:hint="eastAsia" w:ascii="仿宋_GB2312" w:hAnsi="仿宋_GB2312" w:eastAsia="仿宋_GB2312" w:cs="仿宋_GB2312"/>
          <w:sz w:val="32"/>
          <w:szCs w:val="28"/>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28"/>
          <w:highlight w:val="none"/>
        </w:rPr>
        <w:t>SLA考核为中：约谈公司高管，提出服务质量保障具体措施并限期落实，从本次付款起每期付款顺次延迟半年支付，如有多次延迟的，延迟期限叠加。</w:t>
      </w:r>
    </w:p>
    <w:p>
      <w:pPr>
        <w:keepNext w:val="0"/>
        <w:keepLines w:val="0"/>
        <w:pageBreakBefore w:val="0"/>
        <w:widowControl w:val="0"/>
        <w:kinsoku/>
        <w:wordWrap/>
        <w:overflowPunct/>
        <w:topLinePunct w:val="0"/>
        <w:autoSpaceDE/>
        <w:autoSpaceDN/>
        <w:bidi w:val="0"/>
        <w:snapToGrid/>
        <w:spacing w:line="560" w:lineRule="exact"/>
        <w:ind w:left="0" w:firstLine="640" w:firstLineChars="200"/>
        <w:jc w:val="left"/>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28"/>
          <w:highlight w:val="none"/>
        </w:rPr>
        <w:t>SLA考核为差：约谈公司高管，提出服务质量保障具体措施并限期落实，暂停本次及以后各期款项支付，直至下次考核时服务质量达到中级以上，接续按以上标准执行。</w:t>
      </w:r>
      <w:r>
        <w:rPr>
          <w:rFonts w:hint="eastAsia" w:ascii="仿宋_GB2312" w:hAnsi="仿宋_GB2312" w:eastAsia="仿宋_GB2312" w:cs="仿宋_GB2312"/>
          <w:sz w:val="32"/>
          <w:szCs w:val="28"/>
          <w:highlight w:val="none"/>
          <w:lang w:val="en-US" w:eastAsia="zh-CN"/>
        </w:rPr>
        <w:t>如已是最后一次验收，则扣除</w:t>
      </w:r>
      <w:r>
        <w:rPr>
          <w:rFonts w:hint="eastAsia" w:ascii="仿宋_GB2312" w:hAnsi="仿宋_GB2312" w:eastAsia="仿宋_GB2312" w:cs="仿宋_GB2312"/>
          <w:sz w:val="32"/>
          <w:szCs w:val="32"/>
          <w:highlight w:val="none"/>
        </w:rPr>
        <w:t>“合同价款”的</w:t>
      </w:r>
      <w:r>
        <w:rPr>
          <w:rFonts w:hint="eastAsia" w:ascii="仿宋_GB2312" w:hAnsi="仿宋_GB2312" w:eastAsia="仿宋_GB2312" w:cs="仿宋_GB2312"/>
          <w:sz w:val="32"/>
          <w:szCs w:val="32"/>
          <w:highlight w:val="none"/>
          <w:lang w:val="en-US" w:eastAsia="zh-CN"/>
        </w:rPr>
        <w:t>百</w:t>
      </w:r>
      <w:r>
        <w:rPr>
          <w:rFonts w:hint="eastAsia" w:ascii="仿宋_GB2312" w:hAnsi="仿宋_GB2312" w:eastAsia="仿宋_GB2312" w:cs="仿宋_GB2312"/>
          <w:sz w:val="32"/>
          <w:szCs w:val="32"/>
          <w:highlight w:val="none"/>
        </w:rPr>
        <w:t>分之</w:t>
      </w:r>
      <w:r>
        <w:rPr>
          <w:rFonts w:hint="eastAsia" w:ascii="仿宋_GB2312" w:hAnsi="仿宋_GB2312" w:eastAsia="仿宋_GB2312" w:cs="仿宋_GB2312"/>
          <w:sz w:val="32"/>
          <w:szCs w:val="32"/>
          <w:highlight w:val="none"/>
          <w:lang w:val="en-US" w:eastAsia="zh-CN"/>
        </w:rPr>
        <w:t>五</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bookmarkEnd w:id="21"/>
      <w:bookmarkEnd w:id="22"/>
    </w:p>
    <w:p>
      <w:pPr>
        <w:keepNext w:val="0"/>
        <w:keepLines w:val="0"/>
        <w:pageBreakBefore w:val="0"/>
        <w:widowControl w:val="0"/>
        <w:kinsoku/>
        <w:wordWrap/>
        <w:overflowPunct/>
        <w:topLinePunct w:val="0"/>
        <w:autoSpaceDE/>
        <w:autoSpaceDN/>
        <w:bidi w:val="0"/>
        <w:adjustRightInd w:val="0"/>
        <w:snapToGrid/>
        <w:spacing w:line="560" w:lineRule="exact"/>
        <w:ind w:left="0" w:firstLine="640" w:firstLineChars="200"/>
        <w:textAlignment w:val="baseline"/>
        <w:outlineLvl w:val="0"/>
        <w:rPr>
          <w:rFonts w:hint="eastAsia" w:ascii="Times New Roman" w:hAnsi="Times New Roman" w:eastAsia="黑体" w:cs="Times New Roman"/>
          <w:b w:val="0"/>
          <w:bCs w:val="0"/>
          <w:color w:val="auto"/>
          <w:sz w:val="32"/>
          <w:highlight w:val="none"/>
          <w:lang w:val="en-US" w:eastAsia="zh-CN"/>
        </w:rPr>
      </w:pPr>
      <w:bookmarkStart w:id="24" w:name="_Toc13729"/>
      <w:bookmarkStart w:id="25" w:name="_Toc10035"/>
      <w:r>
        <w:rPr>
          <w:rFonts w:hint="eastAsia" w:ascii="Times New Roman" w:hAnsi="Times New Roman" w:eastAsia="黑体" w:cs="Times New Roman"/>
          <w:b w:val="0"/>
          <w:bCs w:val="0"/>
          <w:color w:val="auto"/>
          <w:sz w:val="32"/>
          <w:highlight w:val="none"/>
          <w:lang w:val="en-US" w:eastAsia="zh-CN"/>
        </w:rPr>
        <w:fldChar w:fldCharType="begin"/>
      </w:r>
      <w:r>
        <w:rPr>
          <w:rFonts w:hint="eastAsia" w:ascii="Times New Roman" w:hAnsi="Times New Roman" w:eastAsia="黑体" w:cs="Times New Roman"/>
          <w:b w:val="0"/>
          <w:bCs w:val="0"/>
          <w:color w:val="auto"/>
          <w:sz w:val="32"/>
          <w:highlight w:val="none"/>
          <w:lang w:val="en-US" w:eastAsia="zh-CN"/>
        </w:rPr>
        <w:instrText xml:space="preserve"> HYPERLINK \l _Toc6280 </w:instrText>
      </w:r>
      <w:r>
        <w:rPr>
          <w:rFonts w:hint="eastAsia" w:ascii="Times New Roman" w:hAnsi="Times New Roman" w:eastAsia="黑体" w:cs="Times New Roman"/>
          <w:b w:val="0"/>
          <w:bCs w:val="0"/>
          <w:color w:val="auto"/>
          <w:sz w:val="32"/>
          <w:highlight w:val="none"/>
          <w:lang w:val="en-US" w:eastAsia="zh-CN"/>
        </w:rPr>
        <w:fldChar w:fldCharType="separate"/>
      </w:r>
      <w:r>
        <w:rPr>
          <w:rFonts w:hint="eastAsia" w:ascii="Times New Roman" w:hAnsi="Times New Roman" w:eastAsia="黑体" w:cs="Times New Roman"/>
          <w:b w:val="0"/>
          <w:bCs w:val="0"/>
          <w:color w:val="auto"/>
          <w:sz w:val="32"/>
          <w:highlight w:val="none"/>
          <w:lang w:val="en-US" w:eastAsia="zh-CN"/>
        </w:rPr>
        <w:t>十、投标人及产品的技术、能力、认证等相关证书</w:t>
      </w:r>
      <w:r>
        <w:rPr>
          <w:rFonts w:hint="eastAsia" w:ascii="Times New Roman" w:hAnsi="Times New Roman" w:eastAsia="黑体" w:cs="Times New Roman"/>
          <w:b w:val="0"/>
          <w:bCs w:val="0"/>
          <w:color w:val="auto"/>
          <w:sz w:val="32"/>
          <w:highlight w:val="none"/>
          <w:lang w:val="en-US" w:eastAsia="zh-CN"/>
        </w:rPr>
        <w:fldChar w:fldCharType="end"/>
      </w:r>
      <w:bookmarkEnd w:id="24"/>
      <w:bookmarkEnd w:id="25"/>
    </w:p>
    <w:p>
      <w:pPr>
        <w:keepNext w:val="0"/>
        <w:keepLines w:val="0"/>
        <w:pageBreakBefore w:val="0"/>
        <w:widowControl w:val="0"/>
        <w:kinsoku/>
        <w:wordWrap/>
        <w:overflowPunct/>
        <w:topLinePunct w:val="0"/>
        <w:autoSpaceDE/>
        <w:autoSpaceDN/>
        <w:bidi w:val="0"/>
        <w:snapToGrid/>
        <w:spacing w:line="560" w:lineRule="exact"/>
        <w:ind w:left="0" w:firstLine="640" w:firstLineChars="200"/>
        <w:jc w:val="left"/>
        <w:rPr>
          <w:rFonts w:hint="eastAsia" w:ascii="楷体" w:hAnsi="楷体" w:eastAsia="楷体" w:cs="楷体"/>
          <w:sz w:val="32"/>
          <w:szCs w:val="28"/>
          <w:highlight w:val="none"/>
          <w:lang w:val="en-US" w:eastAsia="zh-CN"/>
        </w:rPr>
      </w:pPr>
      <w:r>
        <w:rPr>
          <w:rFonts w:hint="eastAsia" w:ascii="楷体" w:hAnsi="楷体" w:eastAsia="楷体" w:cs="楷体"/>
          <w:sz w:val="32"/>
          <w:szCs w:val="28"/>
          <w:highlight w:val="none"/>
          <w:lang w:val="en-US" w:eastAsia="zh-CN"/>
        </w:rPr>
        <w:t>（一）案例要求</w:t>
      </w:r>
    </w:p>
    <w:p>
      <w:pPr>
        <w:keepNext w:val="0"/>
        <w:keepLines w:val="0"/>
        <w:pageBreakBefore w:val="0"/>
        <w:widowControl w:val="0"/>
        <w:kinsoku/>
        <w:wordWrap/>
        <w:overflowPunct/>
        <w:topLinePunct w:val="0"/>
        <w:autoSpaceDE/>
        <w:autoSpaceDN/>
        <w:bidi w:val="0"/>
        <w:snapToGrid/>
        <w:spacing w:line="560" w:lineRule="exact"/>
        <w:ind w:left="0" w:firstLine="640" w:firstLineChars="200"/>
        <w:jc w:val="left"/>
        <w:rPr>
          <w:rFonts w:hint="eastAsia" w:ascii="仿宋_GB2312" w:hAnsi="仿宋_GB2312" w:eastAsia="仿宋_GB2312" w:cs="仿宋_GB2312"/>
          <w:sz w:val="32"/>
          <w:szCs w:val="28"/>
          <w:highlight w:val="none"/>
          <w:lang w:val="en-US" w:eastAsia="zh-CN"/>
        </w:rPr>
      </w:pPr>
      <w:r>
        <w:rPr>
          <w:rFonts w:hint="eastAsia" w:ascii="仿宋_GB2312" w:hAnsi="仿宋_GB2312" w:eastAsia="仿宋_GB2312" w:cs="仿宋_GB2312"/>
          <w:sz w:val="32"/>
          <w:szCs w:val="28"/>
          <w:highlight w:val="none"/>
          <w:lang w:val="en-US" w:eastAsia="zh-CN"/>
        </w:rPr>
        <w:t>投标人具有银行总行级同类项目实施经验（</w:t>
      </w:r>
      <w:r>
        <w:rPr>
          <w:rFonts w:hint="eastAsia" w:ascii="仿宋_GB2312" w:hAnsi="仿宋_GB2312" w:eastAsia="仿宋_GB2312" w:cs="仿宋_GB2312"/>
          <w:sz w:val="32"/>
          <w:szCs w:val="28"/>
          <w:highlight w:val="none"/>
        </w:rPr>
        <w:t>系统重要性银行或开发性金融机构或政策性</w:t>
      </w:r>
      <w:r>
        <w:rPr>
          <w:rFonts w:hint="eastAsia" w:ascii="仿宋_GB2312" w:hAnsi="仿宋_GB2312" w:eastAsia="仿宋_GB2312" w:cs="仿宋_GB2312"/>
          <w:sz w:val="32"/>
          <w:szCs w:val="28"/>
          <w:highlight w:val="none"/>
          <w:lang w:val="en-US" w:eastAsia="zh-CN"/>
        </w:rPr>
        <w:t>银行更佳），请提供近五年（合同签订日期为2020年1月1日后，以签约日期为准）同类项目实施案例，需提供证明文件。并应包括至少1个案例为服务建设银行或其输出客户的案例。同一采购人（含其分支机构）的多个同类项目原则上认定为一个案例。</w:t>
      </w:r>
    </w:p>
    <w:p>
      <w:pPr>
        <w:keepNext w:val="0"/>
        <w:keepLines w:val="0"/>
        <w:pageBreakBefore w:val="0"/>
        <w:widowControl w:val="0"/>
        <w:kinsoku/>
        <w:wordWrap/>
        <w:overflowPunct/>
        <w:topLinePunct w:val="0"/>
        <w:autoSpaceDE/>
        <w:autoSpaceDN/>
        <w:bidi w:val="0"/>
        <w:snapToGrid/>
        <w:spacing w:line="560" w:lineRule="exact"/>
        <w:ind w:left="0" w:firstLine="640" w:firstLineChars="200"/>
        <w:jc w:val="left"/>
        <w:rPr>
          <w:rFonts w:hint="eastAsia" w:ascii="仿宋_GB2312" w:hAnsi="仿宋_GB2312" w:eastAsia="仿宋_GB2312" w:cs="仿宋_GB2312"/>
          <w:sz w:val="32"/>
          <w:szCs w:val="28"/>
          <w:highlight w:val="none"/>
          <w:lang w:val="en-US" w:eastAsia="zh-CN"/>
        </w:rPr>
      </w:pPr>
      <w:r>
        <w:rPr>
          <w:rFonts w:hint="eastAsia" w:ascii="仿宋_GB2312" w:hAnsi="仿宋_GB2312" w:eastAsia="仿宋_GB2312" w:cs="仿宋_GB2312"/>
          <w:sz w:val="32"/>
          <w:szCs w:val="28"/>
          <w:highlight w:val="none"/>
          <w:lang w:val="en-US" w:eastAsia="zh-CN"/>
        </w:rPr>
        <w:t>证明材料要求：</w:t>
      </w:r>
    </w:p>
    <w:p>
      <w:pPr>
        <w:keepNext w:val="0"/>
        <w:keepLines w:val="0"/>
        <w:pageBreakBefore w:val="0"/>
        <w:widowControl w:val="0"/>
        <w:kinsoku/>
        <w:wordWrap/>
        <w:overflowPunct/>
        <w:topLinePunct w:val="0"/>
        <w:autoSpaceDE/>
        <w:autoSpaceDN/>
        <w:bidi w:val="0"/>
        <w:snapToGrid/>
        <w:spacing w:line="560" w:lineRule="exact"/>
        <w:ind w:left="0" w:firstLine="640" w:firstLineChars="200"/>
        <w:jc w:val="left"/>
        <w:rPr>
          <w:rFonts w:hint="eastAsia" w:ascii="仿宋_GB2312" w:hAnsi="仿宋_GB2312" w:eastAsia="仿宋_GB2312" w:cs="仿宋_GB2312"/>
          <w:sz w:val="32"/>
          <w:szCs w:val="28"/>
          <w:highlight w:val="none"/>
          <w:lang w:val="en-US" w:eastAsia="zh-CN"/>
        </w:rPr>
      </w:pPr>
      <w:r>
        <w:rPr>
          <w:rFonts w:hint="eastAsia" w:ascii="仿宋_GB2312" w:hAnsi="仿宋_GB2312" w:eastAsia="仿宋_GB2312" w:cs="仿宋_GB2312"/>
          <w:sz w:val="32"/>
          <w:szCs w:val="28"/>
          <w:highlight w:val="none"/>
          <w:lang w:val="en-US" w:eastAsia="zh-CN"/>
        </w:rPr>
        <w:t>案例要求为系统开发建设案例，需提供采购合同，合同乙方不限定为投标人；证明材料应包含最终使用方、订单签订日期、合同签字盖章页、所涉及功能、产品型号（名称）及采购数量；不能明确最终使用方、合同/订单签订日期、业务功能、型号（名称）及采购数量的案例无效。证明材料均需加盖原厂商公章。</w:t>
      </w:r>
    </w:p>
    <w:p>
      <w:pPr>
        <w:keepNext w:val="0"/>
        <w:keepLines w:val="0"/>
        <w:pageBreakBefore w:val="0"/>
        <w:widowControl w:val="0"/>
        <w:kinsoku/>
        <w:wordWrap/>
        <w:overflowPunct/>
        <w:topLinePunct w:val="0"/>
        <w:autoSpaceDE/>
        <w:autoSpaceDN/>
        <w:bidi w:val="0"/>
        <w:snapToGrid/>
        <w:spacing w:line="560" w:lineRule="exact"/>
        <w:ind w:left="0" w:firstLine="640" w:firstLineChars="200"/>
        <w:jc w:val="left"/>
        <w:rPr>
          <w:rFonts w:hint="eastAsia" w:ascii="楷体" w:hAnsi="楷体" w:eastAsia="楷体" w:cs="楷体"/>
          <w:sz w:val="32"/>
          <w:szCs w:val="28"/>
          <w:highlight w:val="none"/>
          <w:lang w:val="en-US" w:eastAsia="zh-CN"/>
        </w:rPr>
      </w:pPr>
      <w:r>
        <w:rPr>
          <w:rFonts w:hint="eastAsia" w:ascii="楷体" w:hAnsi="楷体" w:eastAsia="楷体" w:cs="楷体"/>
          <w:sz w:val="32"/>
          <w:szCs w:val="28"/>
          <w:highlight w:val="none"/>
          <w:lang w:val="en-US" w:eastAsia="zh-CN"/>
        </w:rPr>
        <w:t>（二）认证要求</w:t>
      </w:r>
    </w:p>
    <w:p>
      <w:pPr>
        <w:keepNext w:val="0"/>
        <w:keepLines w:val="0"/>
        <w:pageBreakBefore w:val="0"/>
        <w:widowControl w:val="0"/>
        <w:kinsoku/>
        <w:wordWrap/>
        <w:overflowPunct/>
        <w:topLinePunct w:val="0"/>
        <w:autoSpaceDE/>
        <w:autoSpaceDN/>
        <w:bidi w:val="0"/>
        <w:snapToGrid/>
        <w:spacing w:line="560" w:lineRule="exact"/>
        <w:ind w:left="0" w:firstLine="640" w:firstLineChars="200"/>
        <w:jc w:val="left"/>
        <w:rPr>
          <w:rFonts w:hint="eastAsia" w:ascii="仿宋_GB2312" w:hAnsi="仿宋_GB2312" w:eastAsia="仿宋_GB2312" w:cs="仿宋_GB2312"/>
          <w:sz w:val="32"/>
          <w:szCs w:val="28"/>
          <w:highlight w:val="none"/>
          <w:lang w:val="en-US" w:eastAsia="zh-CN"/>
        </w:rPr>
      </w:pPr>
      <w:r>
        <w:rPr>
          <w:rFonts w:hint="eastAsia" w:ascii="仿宋_GB2312" w:hAnsi="仿宋_GB2312" w:eastAsia="仿宋_GB2312" w:cs="仿宋_GB2312"/>
          <w:sz w:val="32"/>
          <w:szCs w:val="28"/>
          <w:highlight w:val="none"/>
          <w:lang w:val="en-US" w:eastAsia="zh-CN"/>
        </w:rPr>
        <w:t>1.有效期内的CMMI 4级或以上证书；（加分项）</w:t>
      </w:r>
    </w:p>
    <w:p>
      <w:pPr>
        <w:keepNext w:val="0"/>
        <w:keepLines w:val="0"/>
        <w:pageBreakBefore w:val="0"/>
        <w:widowControl w:val="0"/>
        <w:kinsoku/>
        <w:wordWrap/>
        <w:overflowPunct/>
        <w:topLinePunct w:val="0"/>
        <w:autoSpaceDE/>
        <w:autoSpaceDN/>
        <w:bidi w:val="0"/>
        <w:snapToGrid/>
        <w:spacing w:line="560" w:lineRule="exact"/>
        <w:ind w:left="0" w:firstLine="640" w:firstLineChars="200"/>
        <w:jc w:val="left"/>
        <w:rPr>
          <w:rFonts w:hint="eastAsia" w:ascii="仿宋_GB2312" w:hAnsi="仿宋_GB2312" w:eastAsia="仿宋_GB2312" w:cs="仿宋_GB2312"/>
          <w:sz w:val="32"/>
          <w:szCs w:val="28"/>
          <w:highlight w:val="none"/>
          <w:lang w:val="en-US" w:eastAsia="zh-CN"/>
        </w:rPr>
      </w:pPr>
      <w:r>
        <w:rPr>
          <w:rFonts w:hint="eastAsia" w:ascii="仿宋_GB2312" w:hAnsi="仿宋_GB2312" w:eastAsia="仿宋_GB2312" w:cs="仿宋_GB2312"/>
          <w:sz w:val="32"/>
          <w:szCs w:val="28"/>
          <w:highlight w:val="none"/>
          <w:lang w:val="en-US" w:eastAsia="zh-CN"/>
        </w:rPr>
        <w:t>2.有效期内的ISO9001质量管理体系认证证书；（加分项）</w:t>
      </w:r>
    </w:p>
    <w:p>
      <w:pPr>
        <w:keepNext w:val="0"/>
        <w:keepLines w:val="0"/>
        <w:pageBreakBefore w:val="0"/>
        <w:widowControl w:val="0"/>
        <w:kinsoku/>
        <w:wordWrap/>
        <w:overflowPunct/>
        <w:topLinePunct w:val="0"/>
        <w:autoSpaceDE/>
        <w:autoSpaceDN/>
        <w:bidi w:val="0"/>
        <w:snapToGrid/>
        <w:spacing w:line="560" w:lineRule="exact"/>
        <w:ind w:left="0" w:firstLine="640" w:firstLineChars="200"/>
        <w:jc w:val="left"/>
        <w:rPr>
          <w:rFonts w:hint="eastAsia" w:ascii="仿宋_GB2312" w:hAnsi="仿宋_GB2312" w:eastAsia="仿宋_GB2312" w:cs="仿宋_GB2312"/>
          <w:sz w:val="32"/>
          <w:szCs w:val="28"/>
          <w:highlight w:val="none"/>
          <w:lang w:val="en-US" w:eastAsia="zh-CN"/>
        </w:rPr>
      </w:pPr>
      <w:r>
        <w:rPr>
          <w:rFonts w:hint="eastAsia" w:ascii="仿宋_GB2312" w:hAnsi="仿宋_GB2312" w:eastAsia="仿宋_GB2312" w:cs="仿宋_GB2312"/>
          <w:sz w:val="32"/>
          <w:szCs w:val="28"/>
          <w:highlight w:val="none"/>
          <w:lang w:val="en-US" w:eastAsia="zh-CN"/>
        </w:rPr>
        <w:t>3.有效期内的ISO27001信息安全管理体系认证证书；（加分项）</w:t>
      </w:r>
    </w:p>
    <w:sectPr>
      <w:footerReference r:id="rId4" w:type="default"/>
      <w:pgSz w:w="11906" w:h="16838"/>
      <w:pgMar w:top="2098" w:right="1474" w:bottom="1984" w:left="1587"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DejaVu Sans">
    <w:altName w:val="Segoe Print"/>
    <w:panose1 w:val="020B0603030804020204"/>
    <w:charset w:val="00"/>
    <w:family w:val="auto"/>
    <w:pitch w:val="default"/>
    <w:sig w:usb0="00000000" w:usb1="00000000" w:usb2="0A246029" w:usb3="0400200C" w:csb0="600001FF" w:csb1="DFFF0000"/>
  </w:font>
  <w:font w:name="Segoe Print">
    <w:panose1 w:val="02000600000000000000"/>
    <w:charset w:val="00"/>
    <w:family w:val="auto"/>
    <w:pitch w:val="default"/>
    <w:sig w:usb0="0000028F" w:usb1="00000000" w:usb2="00000000" w:usb3="00000000" w:csb0="2000009F" w:csb1="4701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8DQvxOIBAADMAwAADgAA&#10;AAAAAAABACAAAAAeAQAAZHJzL2Uyb0RvYy54bWxQSwUGAAAAAAYABgBZAQAAcgUAAAAA&#10;">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3"/>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2</w:t>
                          </w:r>
                          <w:r>
                            <w:rPr>
                              <w:sz w:val="24"/>
                              <w:szCs w:val="24"/>
                            </w:rPr>
                            <w:fldChar w:fldCharType="end"/>
                          </w:r>
                        </w:p>
                      </w:txbxContent>
                    </wps:txbx>
                    <wps:bodyPr vert="horz" wrap="none" lIns="0" tIns="0" rIns="0" bIns="0" anchor="t" anchorCtr="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NJWO7QAAAA&#10;BQEAAA8AAAAAAAAAAQAgAAAAIgAAAGRycy9kb3ducmV2LnhtbFBLAQIUABQAAAAIAIdO4kDg2K0o&#10;7AEAANUDAAAOAAAAAAAAAAEAIAAAAB8BAABkcnMvZTJvRG9jLnhtbFBLBQYAAAAABgAGAFkBAAB9&#10;BQAAAAA=&#10;">
              <v:fill on="f" focussize="0,0"/>
              <v:stroke on="f" weight="0.5pt"/>
              <v:imagedata o:title=""/>
              <o:lock v:ext="edit" aspectratio="f"/>
              <v:textbox inset="0mm,0mm,0mm,0mm" style="mso-fit-shape-to-text:t;">
                <w:txbxContent>
                  <w:p>
                    <w:pPr>
                      <w:pStyle w:val="13"/>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2</w:t>
                    </w:r>
                    <w:r>
                      <w:rPr>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DF962B"/>
    <w:multiLevelType w:val="singleLevel"/>
    <w:tmpl w:val="84DF962B"/>
    <w:lvl w:ilvl="0" w:tentative="0">
      <w:start w:val="2"/>
      <w:numFmt w:val="chineseCounting"/>
      <w:suff w:val="nothing"/>
      <w:lvlText w:val="（%1）"/>
      <w:lvlJc w:val="left"/>
      <w:rPr>
        <w:rFonts w:hint="eastAsia"/>
      </w:rPr>
    </w:lvl>
  </w:abstractNum>
  <w:abstractNum w:abstractNumId="1">
    <w:nsid w:val="AE84738A"/>
    <w:multiLevelType w:val="singleLevel"/>
    <w:tmpl w:val="AE84738A"/>
    <w:lvl w:ilvl="0" w:tentative="0">
      <w:start w:val="1"/>
      <w:numFmt w:val="decimal"/>
      <w:suff w:val="nothing"/>
      <w:lvlText w:val="%1"/>
      <w:lvlJc w:val="left"/>
      <w:pPr>
        <w:tabs>
          <w:tab w:val="left" w:pos="0"/>
        </w:tabs>
        <w:ind w:left="454" w:hanging="454"/>
      </w:pPr>
      <w:rPr>
        <w:rFonts w:hint="default" w:ascii="仿宋_GB2312" w:hAnsi="仿宋_GB2312" w:eastAsia="仿宋_GB2312" w:cs="仿宋_GB2312"/>
      </w:rPr>
    </w:lvl>
  </w:abstractNum>
  <w:abstractNum w:abstractNumId="2">
    <w:nsid w:val="C484F922"/>
    <w:multiLevelType w:val="singleLevel"/>
    <w:tmpl w:val="C484F922"/>
    <w:lvl w:ilvl="0" w:tentative="0">
      <w:start w:val="2"/>
      <w:numFmt w:val="chineseCounting"/>
      <w:suff w:val="nothing"/>
      <w:lvlText w:val="（%1）"/>
      <w:lvlJc w:val="left"/>
      <w:rPr>
        <w:rFonts w:hint="eastAsia"/>
      </w:rPr>
    </w:lvl>
  </w:abstractNum>
  <w:abstractNum w:abstractNumId="3">
    <w:nsid w:val="58599E33"/>
    <w:multiLevelType w:val="singleLevel"/>
    <w:tmpl w:val="58599E33"/>
    <w:lvl w:ilvl="0" w:tentative="0">
      <w:start w:val="3"/>
      <w:numFmt w:val="decimal"/>
      <w:suff w:val="nothing"/>
      <w:lvlText w:val="（%1）"/>
      <w:lvlJc w:val="left"/>
    </w:lvl>
  </w:abstractNum>
  <w:abstractNum w:abstractNumId="4">
    <w:nsid w:val="59AF5EFD"/>
    <w:multiLevelType w:val="multilevel"/>
    <w:tmpl w:val="59AF5EFD"/>
    <w:lvl w:ilvl="0" w:tentative="0">
      <w:start w:val="1"/>
      <w:numFmt w:val="bullet"/>
      <w:pStyle w:val="42"/>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5">
    <w:nsid w:val="73942994"/>
    <w:multiLevelType w:val="singleLevel"/>
    <w:tmpl w:val="73942994"/>
    <w:lvl w:ilvl="0" w:tentative="0">
      <w:start w:val="1"/>
      <w:numFmt w:val="bullet"/>
      <w:lvlText w:val=""/>
      <w:lvlJc w:val="left"/>
      <w:pPr>
        <w:ind w:left="1050" w:hanging="420"/>
      </w:pPr>
      <w:rPr>
        <w:rFonts w:hint="default" w:ascii="Wingdings" w:hAnsi="Wingdings"/>
      </w:rPr>
    </w:lvl>
  </w:abstractNum>
  <w:abstractNum w:abstractNumId="6">
    <w:nsid w:val="748C7C57"/>
    <w:multiLevelType w:val="multilevel"/>
    <w:tmpl w:val="748C7C57"/>
    <w:lvl w:ilvl="0" w:tentative="0">
      <w:start w:val="1"/>
      <w:numFmt w:val="chineseCountingThousand"/>
      <w:lvlText w:val="第%1部分"/>
      <w:lvlJc w:val="left"/>
      <w:pPr>
        <w:ind w:left="432" w:hanging="432"/>
      </w:pPr>
      <w:rPr>
        <w:rFonts w:hint="eastAsia"/>
      </w:rPr>
    </w:lvl>
    <w:lvl w:ilvl="1" w:tentative="0">
      <w:start w:val="1"/>
      <w:numFmt w:val="decimal"/>
      <w:isLgl/>
      <w:lvlText w:val="%1.%2"/>
      <w:lvlJc w:val="left"/>
      <w:pPr>
        <w:ind w:left="576" w:hanging="576"/>
      </w:pPr>
      <w:rPr>
        <w:rFonts w:hint="eastAsia"/>
      </w:rPr>
    </w:lvl>
    <w:lvl w:ilvl="2" w:tentative="0">
      <w:start w:val="1"/>
      <w:numFmt w:val="decimal"/>
      <w:isLgl/>
      <w:lvlText w:val="%1.%2.%3"/>
      <w:lvlJc w:val="left"/>
      <w:pPr>
        <w:ind w:left="720" w:hanging="720"/>
      </w:pPr>
      <w:rPr>
        <w:rFonts w:hint="eastAsia"/>
      </w:rPr>
    </w:lvl>
    <w:lvl w:ilvl="3" w:tentative="0">
      <w:start w:val="1"/>
      <w:numFmt w:val="decimal"/>
      <w:isLgl/>
      <w:lvlText w:val="%1.%2.%3.%4"/>
      <w:lvlJc w:val="left"/>
      <w:pPr>
        <w:ind w:left="864" w:hanging="864"/>
      </w:pPr>
      <w:rPr>
        <w:rFonts w:hint="eastAsia"/>
      </w:rPr>
    </w:lvl>
    <w:lvl w:ilvl="4" w:tentative="0">
      <w:start w:val="1"/>
      <w:numFmt w:val="decimal"/>
      <w:isLgl/>
      <w:lvlText w:val="%1.%2.%3.%4.%5"/>
      <w:lvlJc w:val="left"/>
      <w:pPr>
        <w:ind w:left="1008" w:hanging="1008"/>
      </w:pPr>
      <w:rPr>
        <w:rFonts w:hint="eastAsia"/>
      </w:rPr>
    </w:lvl>
    <w:lvl w:ilvl="5" w:tentative="0">
      <w:start w:val="1"/>
      <w:numFmt w:val="decimal"/>
      <w:isLgl/>
      <w:lvlText w:val="%1.%2.%3.%4.%5.%6"/>
      <w:lvlJc w:val="left"/>
      <w:pPr>
        <w:ind w:left="1152" w:hanging="1152"/>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4" w:hanging="1584"/>
      </w:pPr>
      <w:rPr>
        <w:rFonts w:hint="eastAsia"/>
      </w:rPr>
    </w:lvl>
  </w:abstractNum>
  <w:num w:numId="1">
    <w:abstractNumId w:val="6"/>
    <w:lvlOverride w:ilvl="2">
      <w:lvl w:ilvl="2" w:tentative="1">
        <w:start w:val="1"/>
        <w:numFmt w:val="decimal"/>
        <w:pStyle w:val="39"/>
        <w:isLgl/>
        <w:lvlText w:val="%1.%2.%3"/>
        <w:lvlJc w:val="left"/>
        <w:pPr>
          <w:ind w:left="720" w:hanging="720"/>
        </w:pPr>
        <w:rPr>
          <w:rFonts w:hint="eastAsia"/>
          <w:lang w:val="en-US"/>
        </w:rPr>
      </w:lvl>
    </w:lvlOverride>
  </w:num>
  <w:num w:numId="2">
    <w:abstractNumId w:val="4"/>
  </w:num>
  <w:num w:numId="3">
    <w:abstractNumId w:val="2"/>
  </w:num>
  <w:num w:numId="4">
    <w:abstractNumId w:val="1"/>
  </w:num>
  <w:num w:numId="5">
    <w:abstractNumId w:val="0"/>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3YjEwYzg4MzZlM2VkY2YxYTI3YmEyN2JmODJkZDUifQ=="/>
  </w:docVars>
  <w:rsids>
    <w:rsidRoot w:val="00172A27"/>
    <w:rsid w:val="000659A1"/>
    <w:rsid w:val="0009713E"/>
    <w:rsid w:val="0009758E"/>
    <w:rsid w:val="001D4A59"/>
    <w:rsid w:val="0023486E"/>
    <w:rsid w:val="00261015"/>
    <w:rsid w:val="00264F28"/>
    <w:rsid w:val="002A1129"/>
    <w:rsid w:val="00337586"/>
    <w:rsid w:val="00415DEA"/>
    <w:rsid w:val="00505379"/>
    <w:rsid w:val="005C5C54"/>
    <w:rsid w:val="008D5A6B"/>
    <w:rsid w:val="0092543F"/>
    <w:rsid w:val="009352E5"/>
    <w:rsid w:val="00A03253"/>
    <w:rsid w:val="00B0713A"/>
    <w:rsid w:val="00CF07EB"/>
    <w:rsid w:val="00D4117C"/>
    <w:rsid w:val="00DF0056"/>
    <w:rsid w:val="00E35537"/>
    <w:rsid w:val="00E87DF9"/>
    <w:rsid w:val="00EA69D6"/>
    <w:rsid w:val="00EB2473"/>
    <w:rsid w:val="00F63F32"/>
    <w:rsid w:val="00F74D9A"/>
    <w:rsid w:val="010853C2"/>
    <w:rsid w:val="010A6538"/>
    <w:rsid w:val="01253A8E"/>
    <w:rsid w:val="01425CA9"/>
    <w:rsid w:val="01941C6B"/>
    <w:rsid w:val="019B20CA"/>
    <w:rsid w:val="01B20307"/>
    <w:rsid w:val="01C80774"/>
    <w:rsid w:val="01DF1BA2"/>
    <w:rsid w:val="01E75148"/>
    <w:rsid w:val="01FF73FD"/>
    <w:rsid w:val="02027E22"/>
    <w:rsid w:val="02247E5C"/>
    <w:rsid w:val="0232771D"/>
    <w:rsid w:val="02397CB2"/>
    <w:rsid w:val="023C25D3"/>
    <w:rsid w:val="023E1BBB"/>
    <w:rsid w:val="026622A7"/>
    <w:rsid w:val="029240D7"/>
    <w:rsid w:val="02A603C1"/>
    <w:rsid w:val="02EE5CD6"/>
    <w:rsid w:val="02F922EE"/>
    <w:rsid w:val="0347313E"/>
    <w:rsid w:val="03C338F5"/>
    <w:rsid w:val="03C60BD6"/>
    <w:rsid w:val="03DF3F22"/>
    <w:rsid w:val="03FC35CA"/>
    <w:rsid w:val="03FE411B"/>
    <w:rsid w:val="040C0819"/>
    <w:rsid w:val="04177243"/>
    <w:rsid w:val="04270E99"/>
    <w:rsid w:val="043164D2"/>
    <w:rsid w:val="046F1BE7"/>
    <w:rsid w:val="047404AE"/>
    <w:rsid w:val="047B118D"/>
    <w:rsid w:val="047B7B21"/>
    <w:rsid w:val="04820ADC"/>
    <w:rsid w:val="04A55885"/>
    <w:rsid w:val="04AF06BB"/>
    <w:rsid w:val="04B03541"/>
    <w:rsid w:val="04B63D03"/>
    <w:rsid w:val="04DE7C78"/>
    <w:rsid w:val="050454EC"/>
    <w:rsid w:val="050A34FD"/>
    <w:rsid w:val="052C2E7F"/>
    <w:rsid w:val="057F4B07"/>
    <w:rsid w:val="05810ECD"/>
    <w:rsid w:val="058C4826"/>
    <w:rsid w:val="05952F37"/>
    <w:rsid w:val="05974A4A"/>
    <w:rsid w:val="05AA3D7A"/>
    <w:rsid w:val="05AC600B"/>
    <w:rsid w:val="05C1727E"/>
    <w:rsid w:val="05C3318D"/>
    <w:rsid w:val="05C50C80"/>
    <w:rsid w:val="05C63706"/>
    <w:rsid w:val="05C70B95"/>
    <w:rsid w:val="05D0502B"/>
    <w:rsid w:val="05E60344"/>
    <w:rsid w:val="05F620BB"/>
    <w:rsid w:val="0626761D"/>
    <w:rsid w:val="0639341C"/>
    <w:rsid w:val="063A548B"/>
    <w:rsid w:val="06700CFE"/>
    <w:rsid w:val="06750027"/>
    <w:rsid w:val="06CC51B2"/>
    <w:rsid w:val="06E03EEF"/>
    <w:rsid w:val="07156F4A"/>
    <w:rsid w:val="07326CB9"/>
    <w:rsid w:val="074A7B2F"/>
    <w:rsid w:val="076649CC"/>
    <w:rsid w:val="079F4F79"/>
    <w:rsid w:val="07AA7A26"/>
    <w:rsid w:val="07B405F9"/>
    <w:rsid w:val="07C531CC"/>
    <w:rsid w:val="07E5154E"/>
    <w:rsid w:val="07F51140"/>
    <w:rsid w:val="082D0888"/>
    <w:rsid w:val="08343B28"/>
    <w:rsid w:val="085E05EE"/>
    <w:rsid w:val="086123E0"/>
    <w:rsid w:val="086D48B5"/>
    <w:rsid w:val="08741B27"/>
    <w:rsid w:val="089718A3"/>
    <w:rsid w:val="08973453"/>
    <w:rsid w:val="08B00838"/>
    <w:rsid w:val="08F00370"/>
    <w:rsid w:val="08F23333"/>
    <w:rsid w:val="09117B90"/>
    <w:rsid w:val="095D7AA5"/>
    <w:rsid w:val="097C4A9B"/>
    <w:rsid w:val="09BC7D92"/>
    <w:rsid w:val="09CC13A3"/>
    <w:rsid w:val="09E10FDD"/>
    <w:rsid w:val="09E72BB9"/>
    <w:rsid w:val="09FA52F4"/>
    <w:rsid w:val="09FD7023"/>
    <w:rsid w:val="09FF2EF6"/>
    <w:rsid w:val="0A1F0C00"/>
    <w:rsid w:val="0A213925"/>
    <w:rsid w:val="0A2B3879"/>
    <w:rsid w:val="0A3C0D58"/>
    <w:rsid w:val="0A522CFE"/>
    <w:rsid w:val="0A5B5F5D"/>
    <w:rsid w:val="0A676EAE"/>
    <w:rsid w:val="0A9B2209"/>
    <w:rsid w:val="0AA27FB1"/>
    <w:rsid w:val="0AB35E1D"/>
    <w:rsid w:val="0ADF43E5"/>
    <w:rsid w:val="0AF43B3B"/>
    <w:rsid w:val="0AFC1A95"/>
    <w:rsid w:val="0B2335A6"/>
    <w:rsid w:val="0B5B6A2B"/>
    <w:rsid w:val="0B6B55CC"/>
    <w:rsid w:val="0B7156CB"/>
    <w:rsid w:val="0B7A1AE1"/>
    <w:rsid w:val="0B852940"/>
    <w:rsid w:val="0BCA55E5"/>
    <w:rsid w:val="0BEA7692"/>
    <w:rsid w:val="0BEB051C"/>
    <w:rsid w:val="0C7D1417"/>
    <w:rsid w:val="0C7F3FE6"/>
    <w:rsid w:val="0C9D11C1"/>
    <w:rsid w:val="0CAE4E62"/>
    <w:rsid w:val="0CB877EC"/>
    <w:rsid w:val="0CC07EEC"/>
    <w:rsid w:val="0CD273C1"/>
    <w:rsid w:val="0CE01DF4"/>
    <w:rsid w:val="0D025C0B"/>
    <w:rsid w:val="0D1B6FCA"/>
    <w:rsid w:val="0D1C5DB4"/>
    <w:rsid w:val="0D3F7772"/>
    <w:rsid w:val="0D464BF0"/>
    <w:rsid w:val="0D5612CD"/>
    <w:rsid w:val="0D811225"/>
    <w:rsid w:val="0DBD5C27"/>
    <w:rsid w:val="0DCA50E0"/>
    <w:rsid w:val="0DCB75F9"/>
    <w:rsid w:val="0DE17B9E"/>
    <w:rsid w:val="0E032C8D"/>
    <w:rsid w:val="0E6551A9"/>
    <w:rsid w:val="0EA67E40"/>
    <w:rsid w:val="0F560561"/>
    <w:rsid w:val="0F7046C0"/>
    <w:rsid w:val="0F923225"/>
    <w:rsid w:val="0F9C6D0E"/>
    <w:rsid w:val="100D1E94"/>
    <w:rsid w:val="1023528A"/>
    <w:rsid w:val="107B4366"/>
    <w:rsid w:val="109B4B10"/>
    <w:rsid w:val="10D14D21"/>
    <w:rsid w:val="10F84AC3"/>
    <w:rsid w:val="111636DA"/>
    <w:rsid w:val="112422B4"/>
    <w:rsid w:val="112E1DCF"/>
    <w:rsid w:val="113B1A46"/>
    <w:rsid w:val="118063A3"/>
    <w:rsid w:val="11BC168F"/>
    <w:rsid w:val="11C34005"/>
    <w:rsid w:val="11D20449"/>
    <w:rsid w:val="11FC0BCB"/>
    <w:rsid w:val="12125322"/>
    <w:rsid w:val="12170AB5"/>
    <w:rsid w:val="121D3BF2"/>
    <w:rsid w:val="122162F2"/>
    <w:rsid w:val="122E2AA7"/>
    <w:rsid w:val="12436AF1"/>
    <w:rsid w:val="1255789D"/>
    <w:rsid w:val="128351D0"/>
    <w:rsid w:val="12851DCF"/>
    <w:rsid w:val="129C4DFB"/>
    <w:rsid w:val="129E2F84"/>
    <w:rsid w:val="12A10E46"/>
    <w:rsid w:val="12AD31C8"/>
    <w:rsid w:val="12B51B75"/>
    <w:rsid w:val="12E0583C"/>
    <w:rsid w:val="1300693C"/>
    <w:rsid w:val="130A135D"/>
    <w:rsid w:val="13255C3B"/>
    <w:rsid w:val="133E77FA"/>
    <w:rsid w:val="136E783A"/>
    <w:rsid w:val="136F7349"/>
    <w:rsid w:val="137607BE"/>
    <w:rsid w:val="137D3871"/>
    <w:rsid w:val="13844E86"/>
    <w:rsid w:val="138D323E"/>
    <w:rsid w:val="13960100"/>
    <w:rsid w:val="144F4060"/>
    <w:rsid w:val="145F0716"/>
    <w:rsid w:val="148443FC"/>
    <w:rsid w:val="14904223"/>
    <w:rsid w:val="149F13F6"/>
    <w:rsid w:val="14F333A3"/>
    <w:rsid w:val="151165AC"/>
    <w:rsid w:val="15455939"/>
    <w:rsid w:val="158524FB"/>
    <w:rsid w:val="158A5087"/>
    <w:rsid w:val="15EA5FFB"/>
    <w:rsid w:val="15EE5609"/>
    <w:rsid w:val="1647523F"/>
    <w:rsid w:val="167417EC"/>
    <w:rsid w:val="16791541"/>
    <w:rsid w:val="169C022D"/>
    <w:rsid w:val="16A04237"/>
    <w:rsid w:val="16A073D6"/>
    <w:rsid w:val="16B35ED6"/>
    <w:rsid w:val="16DE6045"/>
    <w:rsid w:val="16E8315C"/>
    <w:rsid w:val="170A5375"/>
    <w:rsid w:val="17D347EA"/>
    <w:rsid w:val="17F6462B"/>
    <w:rsid w:val="183710C7"/>
    <w:rsid w:val="1847105B"/>
    <w:rsid w:val="1847548F"/>
    <w:rsid w:val="187C518C"/>
    <w:rsid w:val="189A2440"/>
    <w:rsid w:val="18B359E7"/>
    <w:rsid w:val="18BC5F92"/>
    <w:rsid w:val="18C4651B"/>
    <w:rsid w:val="18DA6A92"/>
    <w:rsid w:val="18EF6677"/>
    <w:rsid w:val="192F62D1"/>
    <w:rsid w:val="195133CE"/>
    <w:rsid w:val="195B34BE"/>
    <w:rsid w:val="19A70024"/>
    <w:rsid w:val="19AE2C7A"/>
    <w:rsid w:val="19CC544B"/>
    <w:rsid w:val="19DA41C8"/>
    <w:rsid w:val="19F85B6E"/>
    <w:rsid w:val="1A050756"/>
    <w:rsid w:val="1A0A6FE4"/>
    <w:rsid w:val="1A2E1092"/>
    <w:rsid w:val="1AD05A7C"/>
    <w:rsid w:val="1ADF4320"/>
    <w:rsid w:val="1AF84392"/>
    <w:rsid w:val="1B1B1747"/>
    <w:rsid w:val="1B206236"/>
    <w:rsid w:val="1B5D2E7D"/>
    <w:rsid w:val="1BAC1CE7"/>
    <w:rsid w:val="1BBE7BE6"/>
    <w:rsid w:val="1C2E5379"/>
    <w:rsid w:val="1C4508ED"/>
    <w:rsid w:val="1C4820F7"/>
    <w:rsid w:val="1C4A05F8"/>
    <w:rsid w:val="1C5B5271"/>
    <w:rsid w:val="1C7B0737"/>
    <w:rsid w:val="1C7C3099"/>
    <w:rsid w:val="1C811491"/>
    <w:rsid w:val="1C990F1E"/>
    <w:rsid w:val="1C99254D"/>
    <w:rsid w:val="1C9A333D"/>
    <w:rsid w:val="1CA45510"/>
    <w:rsid w:val="1CB97CC3"/>
    <w:rsid w:val="1CC730D8"/>
    <w:rsid w:val="1D0D03C0"/>
    <w:rsid w:val="1D226E31"/>
    <w:rsid w:val="1D84707B"/>
    <w:rsid w:val="1D883AF0"/>
    <w:rsid w:val="1D9848E3"/>
    <w:rsid w:val="1DA614B5"/>
    <w:rsid w:val="1DC7545D"/>
    <w:rsid w:val="1DF7222E"/>
    <w:rsid w:val="1E0D7210"/>
    <w:rsid w:val="1E1665EA"/>
    <w:rsid w:val="1E2152B1"/>
    <w:rsid w:val="1E2B6B5E"/>
    <w:rsid w:val="1E795231"/>
    <w:rsid w:val="1E7C33AF"/>
    <w:rsid w:val="1E9C7B3A"/>
    <w:rsid w:val="1EB54CA7"/>
    <w:rsid w:val="1EDF6158"/>
    <w:rsid w:val="1EEB2007"/>
    <w:rsid w:val="1F1257BA"/>
    <w:rsid w:val="1F3510FF"/>
    <w:rsid w:val="1F79265F"/>
    <w:rsid w:val="1F9C736C"/>
    <w:rsid w:val="1FA50A15"/>
    <w:rsid w:val="1FCB50C2"/>
    <w:rsid w:val="1FE9112B"/>
    <w:rsid w:val="2069535B"/>
    <w:rsid w:val="20777171"/>
    <w:rsid w:val="207818A5"/>
    <w:rsid w:val="20E3645C"/>
    <w:rsid w:val="20EC2AA9"/>
    <w:rsid w:val="20EE03A4"/>
    <w:rsid w:val="21143A54"/>
    <w:rsid w:val="212F082E"/>
    <w:rsid w:val="213F5CF3"/>
    <w:rsid w:val="21634C19"/>
    <w:rsid w:val="217F2202"/>
    <w:rsid w:val="21867A05"/>
    <w:rsid w:val="21993DCC"/>
    <w:rsid w:val="21A66C7F"/>
    <w:rsid w:val="21DD0233"/>
    <w:rsid w:val="22005619"/>
    <w:rsid w:val="224F5B31"/>
    <w:rsid w:val="22513B6F"/>
    <w:rsid w:val="225E0ACD"/>
    <w:rsid w:val="22A7560F"/>
    <w:rsid w:val="22A86C7D"/>
    <w:rsid w:val="22B76683"/>
    <w:rsid w:val="22CB5324"/>
    <w:rsid w:val="22DE4344"/>
    <w:rsid w:val="22EA5D72"/>
    <w:rsid w:val="22F141D2"/>
    <w:rsid w:val="231946B4"/>
    <w:rsid w:val="234D02FA"/>
    <w:rsid w:val="235A4CA6"/>
    <w:rsid w:val="23762439"/>
    <w:rsid w:val="23817F9C"/>
    <w:rsid w:val="23AC4599"/>
    <w:rsid w:val="23B37820"/>
    <w:rsid w:val="23B819CC"/>
    <w:rsid w:val="23DB6EFD"/>
    <w:rsid w:val="23DD2BE2"/>
    <w:rsid w:val="24462560"/>
    <w:rsid w:val="24493596"/>
    <w:rsid w:val="24527207"/>
    <w:rsid w:val="24534A8E"/>
    <w:rsid w:val="246031BB"/>
    <w:rsid w:val="247962E4"/>
    <w:rsid w:val="24D4056B"/>
    <w:rsid w:val="24E53E47"/>
    <w:rsid w:val="24F536AF"/>
    <w:rsid w:val="25212157"/>
    <w:rsid w:val="253357AE"/>
    <w:rsid w:val="256811AE"/>
    <w:rsid w:val="25882F2A"/>
    <w:rsid w:val="259427F1"/>
    <w:rsid w:val="25956469"/>
    <w:rsid w:val="259D02A0"/>
    <w:rsid w:val="25A17809"/>
    <w:rsid w:val="25B30F7C"/>
    <w:rsid w:val="25BC5FCD"/>
    <w:rsid w:val="25D06BD0"/>
    <w:rsid w:val="25EB4230"/>
    <w:rsid w:val="26004B9C"/>
    <w:rsid w:val="261C073A"/>
    <w:rsid w:val="26284E0B"/>
    <w:rsid w:val="26301B3C"/>
    <w:rsid w:val="26531112"/>
    <w:rsid w:val="267E2D49"/>
    <w:rsid w:val="269B7432"/>
    <w:rsid w:val="2755433D"/>
    <w:rsid w:val="27733409"/>
    <w:rsid w:val="279B3267"/>
    <w:rsid w:val="27B86868"/>
    <w:rsid w:val="27DB3EDB"/>
    <w:rsid w:val="282D0BDB"/>
    <w:rsid w:val="284C3F37"/>
    <w:rsid w:val="286B5D23"/>
    <w:rsid w:val="2888016A"/>
    <w:rsid w:val="2891145E"/>
    <w:rsid w:val="289B60F1"/>
    <w:rsid w:val="28B23004"/>
    <w:rsid w:val="28C64076"/>
    <w:rsid w:val="29283912"/>
    <w:rsid w:val="297F01AE"/>
    <w:rsid w:val="299375C6"/>
    <w:rsid w:val="29D33D0B"/>
    <w:rsid w:val="2A080060"/>
    <w:rsid w:val="2A461476"/>
    <w:rsid w:val="2A64145E"/>
    <w:rsid w:val="2A904A29"/>
    <w:rsid w:val="2AAA4817"/>
    <w:rsid w:val="2AB61621"/>
    <w:rsid w:val="2AB624C2"/>
    <w:rsid w:val="2AC26EC8"/>
    <w:rsid w:val="2B026F3B"/>
    <w:rsid w:val="2B071E20"/>
    <w:rsid w:val="2B135D0C"/>
    <w:rsid w:val="2B5841C1"/>
    <w:rsid w:val="2B602ABA"/>
    <w:rsid w:val="2B604C5D"/>
    <w:rsid w:val="2B6D334E"/>
    <w:rsid w:val="2B74267D"/>
    <w:rsid w:val="2B962EEE"/>
    <w:rsid w:val="2BD27208"/>
    <w:rsid w:val="2BF612E4"/>
    <w:rsid w:val="2C0B2FE1"/>
    <w:rsid w:val="2C35005E"/>
    <w:rsid w:val="2C3B68CC"/>
    <w:rsid w:val="2C3C42BE"/>
    <w:rsid w:val="2C8104E5"/>
    <w:rsid w:val="2CA54ADE"/>
    <w:rsid w:val="2CA60F5C"/>
    <w:rsid w:val="2CB64ED7"/>
    <w:rsid w:val="2CD112FA"/>
    <w:rsid w:val="2CD44498"/>
    <w:rsid w:val="2CEE54D4"/>
    <w:rsid w:val="2CF33A75"/>
    <w:rsid w:val="2CF8172E"/>
    <w:rsid w:val="2D1A0E0E"/>
    <w:rsid w:val="2D24440C"/>
    <w:rsid w:val="2D327748"/>
    <w:rsid w:val="2D4B4560"/>
    <w:rsid w:val="2D73499D"/>
    <w:rsid w:val="2D85291B"/>
    <w:rsid w:val="2DAE2197"/>
    <w:rsid w:val="2DBE3BCF"/>
    <w:rsid w:val="2DC34358"/>
    <w:rsid w:val="2DD45857"/>
    <w:rsid w:val="2DE03FF9"/>
    <w:rsid w:val="2DF83B22"/>
    <w:rsid w:val="2E1F002D"/>
    <w:rsid w:val="2E420688"/>
    <w:rsid w:val="2E55724A"/>
    <w:rsid w:val="2E641740"/>
    <w:rsid w:val="2E6650CB"/>
    <w:rsid w:val="2E861706"/>
    <w:rsid w:val="2E985C3E"/>
    <w:rsid w:val="2E9B2B55"/>
    <w:rsid w:val="2EA57C9A"/>
    <w:rsid w:val="2EA62316"/>
    <w:rsid w:val="2EBC4261"/>
    <w:rsid w:val="2EEB22F1"/>
    <w:rsid w:val="2F2D07B2"/>
    <w:rsid w:val="2F334B7E"/>
    <w:rsid w:val="2F522664"/>
    <w:rsid w:val="2F604549"/>
    <w:rsid w:val="2F61560E"/>
    <w:rsid w:val="2F996040"/>
    <w:rsid w:val="2FBA16E7"/>
    <w:rsid w:val="2FBE4144"/>
    <w:rsid w:val="2FDF7015"/>
    <w:rsid w:val="300C5A26"/>
    <w:rsid w:val="3016371E"/>
    <w:rsid w:val="302D1463"/>
    <w:rsid w:val="30346CAB"/>
    <w:rsid w:val="304A6646"/>
    <w:rsid w:val="306B1739"/>
    <w:rsid w:val="30A40DE0"/>
    <w:rsid w:val="30C145B6"/>
    <w:rsid w:val="30C714A1"/>
    <w:rsid w:val="30CD31C1"/>
    <w:rsid w:val="30D82AB0"/>
    <w:rsid w:val="30DB19AC"/>
    <w:rsid w:val="31112E8F"/>
    <w:rsid w:val="316C4118"/>
    <w:rsid w:val="317B42DB"/>
    <w:rsid w:val="317F20DE"/>
    <w:rsid w:val="31967FD7"/>
    <w:rsid w:val="319D7F4B"/>
    <w:rsid w:val="319E651F"/>
    <w:rsid w:val="31A20BD3"/>
    <w:rsid w:val="31AF5092"/>
    <w:rsid w:val="31B431C8"/>
    <w:rsid w:val="31DC468E"/>
    <w:rsid w:val="31F06609"/>
    <w:rsid w:val="32003B98"/>
    <w:rsid w:val="32231A2F"/>
    <w:rsid w:val="323F10FE"/>
    <w:rsid w:val="32491A0D"/>
    <w:rsid w:val="325054D5"/>
    <w:rsid w:val="3267003E"/>
    <w:rsid w:val="327E38FF"/>
    <w:rsid w:val="32CC1227"/>
    <w:rsid w:val="32D74E08"/>
    <w:rsid w:val="32DF35DD"/>
    <w:rsid w:val="32EB029B"/>
    <w:rsid w:val="32EE2005"/>
    <w:rsid w:val="32F01183"/>
    <w:rsid w:val="33973635"/>
    <w:rsid w:val="33A94E88"/>
    <w:rsid w:val="33AC5C3D"/>
    <w:rsid w:val="33CA61E6"/>
    <w:rsid w:val="33D9150F"/>
    <w:rsid w:val="3447227C"/>
    <w:rsid w:val="3448275F"/>
    <w:rsid w:val="3450431C"/>
    <w:rsid w:val="347F7212"/>
    <w:rsid w:val="34E77982"/>
    <w:rsid w:val="35297B3A"/>
    <w:rsid w:val="352D301B"/>
    <w:rsid w:val="353F3CFB"/>
    <w:rsid w:val="354B63CD"/>
    <w:rsid w:val="35545CFF"/>
    <w:rsid w:val="359F1121"/>
    <w:rsid w:val="35A2048B"/>
    <w:rsid w:val="35AD1716"/>
    <w:rsid w:val="35FA7C22"/>
    <w:rsid w:val="363E2844"/>
    <w:rsid w:val="36470152"/>
    <w:rsid w:val="366E6ADF"/>
    <w:rsid w:val="368A771B"/>
    <w:rsid w:val="36A80FE0"/>
    <w:rsid w:val="36AF46FD"/>
    <w:rsid w:val="36BC7B43"/>
    <w:rsid w:val="36C249A8"/>
    <w:rsid w:val="36DD195C"/>
    <w:rsid w:val="36E1106C"/>
    <w:rsid w:val="36E878A1"/>
    <w:rsid w:val="36F73523"/>
    <w:rsid w:val="376A0F59"/>
    <w:rsid w:val="37922808"/>
    <w:rsid w:val="379B3587"/>
    <w:rsid w:val="37A46956"/>
    <w:rsid w:val="37AD50AB"/>
    <w:rsid w:val="37B249E0"/>
    <w:rsid w:val="37CD7C0F"/>
    <w:rsid w:val="37DA7F77"/>
    <w:rsid w:val="37F21D11"/>
    <w:rsid w:val="37F72A62"/>
    <w:rsid w:val="37F86058"/>
    <w:rsid w:val="38197D83"/>
    <w:rsid w:val="381A0A76"/>
    <w:rsid w:val="382677A7"/>
    <w:rsid w:val="382F433C"/>
    <w:rsid w:val="386B671F"/>
    <w:rsid w:val="38A058F5"/>
    <w:rsid w:val="38BF1E37"/>
    <w:rsid w:val="38CA4AA2"/>
    <w:rsid w:val="38CB10F9"/>
    <w:rsid w:val="38E64BF0"/>
    <w:rsid w:val="38EB1FDF"/>
    <w:rsid w:val="390A4B5B"/>
    <w:rsid w:val="390D700C"/>
    <w:rsid w:val="393125DC"/>
    <w:rsid w:val="394B7F8C"/>
    <w:rsid w:val="394F5403"/>
    <w:rsid w:val="39570EF8"/>
    <w:rsid w:val="395E3EEA"/>
    <w:rsid w:val="396665B7"/>
    <w:rsid w:val="39A22A78"/>
    <w:rsid w:val="39B23B23"/>
    <w:rsid w:val="39B85AED"/>
    <w:rsid w:val="39C06A95"/>
    <w:rsid w:val="39D40AE0"/>
    <w:rsid w:val="39F87197"/>
    <w:rsid w:val="3A172F86"/>
    <w:rsid w:val="3A5D2C2A"/>
    <w:rsid w:val="3A7A3A64"/>
    <w:rsid w:val="3AA15E8F"/>
    <w:rsid w:val="3AB25BD7"/>
    <w:rsid w:val="3AC249DF"/>
    <w:rsid w:val="3AE25532"/>
    <w:rsid w:val="3AE7557D"/>
    <w:rsid w:val="3AEA7B09"/>
    <w:rsid w:val="3AED7D8E"/>
    <w:rsid w:val="3AFB7DFB"/>
    <w:rsid w:val="3B0B6CFF"/>
    <w:rsid w:val="3B677002"/>
    <w:rsid w:val="3BD630E8"/>
    <w:rsid w:val="3BEF55C0"/>
    <w:rsid w:val="3C0427B1"/>
    <w:rsid w:val="3C10546A"/>
    <w:rsid w:val="3C79571C"/>
    <w:rsid w:val="3C7D35C0"/>
    <w:rsid w:val="3CB92B2F"/>
    <w:rsid w:val="3CBA05B2"/>
    <w:rsid w:val="3CBD68D3"/>
    <w:rsid w:val="3CD7289E"/>
    <w:rsid w:val="3CD82CDF"/>
    <w:rsid w:val="3CEB4444"/>
    <w:rsid w:val="3D096223"/>
    <w:rsid w:val="3D597E11"/>
    <w:rsid w:val="3D5F4FA1"/>
    <w:rsid w:val="3DBC5B14"/>
    <w:rsid w:val="3DD675AC"/>
    <w:rsid w:val="3DE40C1B"/>
    <w:rsid w:val="3E096D82"/>
    <w:rsid w:val="3E171AF0"/>
    <w:rsid w:val="3E2A13E6"/>
    <w:rsid w:val="3E4A71D6"/>
    <w:rsid w:val="3E4F7FFF"/>
    <w:rsid w:val="3EE872B8"/>
    <w:rsid w:val="3F0C27FB"/>
    <w:rsid w:val="3F347A43"/>
    <w:rsid w:val="3F6A112E"/>
    <w:rsid w:val="3F7136A4"/>
    <w:rsid w:val="3F7E0EE7"/>
    <w:rsid w:val="3FA23805"/>
    <w:rsid w:val="3FB33614"/>
    <w:rsid w:val="3FF23382"/>
    <w:rsid w:val="40110966"/>
    <w:rsid w:val="40111F29"/>
    <w:rsid w:val="404C715C"/>
    <w:rsid w:val="409F7ED5"/>
    <w:rsid w:val="40A43FE1"/>
    <w:rsid w:val="40EA548F"/>
    <w:rsid w:val="41477DA7"/>
    <w:rsid w:val="41633AB2"/>
    <w:rsid w:val="416769A1"/>
    <w:rsid w:val="41990F0C"/>
    <w:rsid w:val="41A05B22"/>
    <w:rsid w:val="41C31810"/>
    <w:rsid w:val="41C75889"/>
    <w:rsid w:val="41D7394A"/>
    <w:rsid w:val="41E55E6F"/>
    <w:rsid w:val="41EC3DB8"/>
    <w:rsid w:val="41F001A3"/>
    <w:rsid w:val="4204145F"/>
    <w:rsid w:val="42451C25"/>
    <w:rsid w:val="424A7759"/>
    <w:rsid w:val="42683702"/>
    <w:rsid w:val="42906002"/>
    <w:rsid w:val="42AD6748"/>
    <w:rsid w:val="42B152CB"/>
    <w:rsid w:val="42E03096"/>
    <w:rsid w:val="43064B62"/>
    <w:rsid w:val="43142587"/>
    <w:rsid w:val="43310BCC"/>
    <w:rsid w:val="43447F70"/>
    <w:rsid w:val="43476835"/>
    <w:rsid w:val="439814AE"/>
    <w:rsid w:val="439E1C85"/>
    <w:rsid w:val="43A35238"/>
    <w:rsid w:val="43A91320"/>
    <w:rsid w:val="43C42339"/>
    <w:rsid w:val="43E90552"/>
    <w:rsid w:val="43F14B51"/>
    <w:rsid w:val="44531FA9"/>
    <w:rsid w:val="447C536B"/>
    <w:rsid w:val="44801089"/>
    <w:rsid w:val="44E22A77"/>
    <w:rsid w:val="451E6B21"/>
    <w:rsid w:val="45424C62"/>
    <w:rsid w:val="457A7EBB"/>
    <w:rsid w:val="458C2FAA"/>
    <w:rsid w:val="45950735"/>
    <w:rsid w:val="45BB24DF"/>
    <w:rsid w:val="45BB265C"/>
    <w:rsid w:val="45EE3F48"/>
    <w:rsid w:val="46120BF3"/>
    <w:rsid w:val="461A3815"/>
    <w:rsid w:val="46494B0D"/>
    <w:rsid w:val="46541946"/>
    <w:rsid w:val="46987F5C"/>
    <w:rsid w:val="46D44808"/>
    <w:rsid w:val="46E61A49"/>
    <w:rsid w:val="47006EA7"/>
    <w:rsid w:val="47071601"/>
    <w:rsid w:val="471A6DE4"/>
    <w:rsid w:val="471C4C5D"/>
    <w:rsid w:val="472E5D57"/>
    <w:rsid w:val="474474E9"/>
    <w:rsid w:val="474779FD"/>
    <w:rsid w:val="47794D7B"/>
    <w:rsid w:val="47863686"/>
    <w:rsid w:val="47A12F04"/>
    <w:rsid w:val="47B76DB7"/>
    <w:rsid w:val="47D42224"/>
    <w:rsid w:val="47E26E94"/>
    <w:rsid w:val="480B0A3F"/>
    <w:rsid w:val="480D472B"/>
    <w:rsid w:val="48224FDC"/>
    <w:rsid w:val="48403498"/>
    <w:rsid w:val="48757D08"/>
    <w:rsid w:val="48B03F98"/>
    <w:rsid w:val="48B607AB"/>
    <w:rsid w:val="48E543C2"/>
    <w:rsid w:val="490F1461"/>
    <w:rsid w:val="49417CB0"/>
    <w:rsid w:val="496A0929"/>
    <w:rsid w:val="498826B0"/>
    <w:rsid w:val="49C91698"/>
    <w:rsid w:val="49CF7426"/>
    <w:rsid w:val="49EB2866"/>
    <w:rsid w:val="49F57898"/>
    <w:rsid w:val="49FC1D63"/>
    <w:rsid w:val="49FE2A68"/>
    <w:rsid w:val="4A055A50"/>
    <w:rsid w:val="4A2319E6"/>
    <w:rsid w:val="4A4554B8"/>
    <w:rsid w:val="4AA77F21"/>
    <w:rsid w:val="4AC81CD2"/>
    <w:rsid w:val="4ACC3E2B"/>
    <w:rsid w:val="4B1231D3"/>
    <w:rsid w:val="4B1F63D1"/>
    <w:rsid w:val="4B8322F0"/>
    <w:rsid w:val="4B8371F6"/>
    <w:rsid w:val="4BB319AC"/>
    <w:rsid w:val="4BE44913"/>
    <w:rsid w:val="4BF25C98"/>
    <w:rsid w:val="4C1C524A"/>
    <w:rsid w:val="4C1F7BAC"/>
    <w:rsid w:val="4C207114"/>
    <w:rsid w:val="4C2A5B6F"/>
    <w:rsid w:val="4C30395B"/>
    <w:rsid w:val="4C3677AE"/>
    <w:rsid w:val="4C4D2A82"/>
    <w:rsid w:val="4C73547C"/>
    <w:rsid w:val="4C824743"/>
    <w:rsid w:val="4C8B3E82"/>
    <w:rsid w:val="4CB41768"/>
    <w:rsid w:val="4CBD45F6"/>
    <w:rsid w:val="4CCE5C39"/>
    <w:rsid w:val="4D014D12"/>
    <w:rsid w:val="4D082F2B"/>
    <w:rsid w:val="4D121B0D"/>
    <w:rsid w:val="4D71459A"/>
    <w:rsid w:val="4D7328BC"/>
    <w:rsid w:val="4D9537B4"/>
    <w:rsid w:val="4DB87928"/>
    <w:rsid w:val="4E113FA9"/>
    <w:rsid w:val="4E47273C"/>
    <w:rsid w:val="4E486C7C"/>
    <w:rsid w:val="4E5505B6"/>
    <w:rsid w:val="4E555EE6"/>
    <w:rsid w:val="4E5C2695"/>
    <w:rsid w:val="4E751832"/>
    <w:rsid w:val="4ECA1785"/>
    <w:rsid w:val="4EF773D5"/>
    <w:rsid w:val="4EFA3BA1"/>
    <w:rsid w:val="4F0016C2"/>
    <w:rsid w:val="4F0949F1"/>
    <w:rsid w:val="4F23119A"/>
    <w:rsid w:val="4F26376B"/>
    <w:rsid w:val="4F293E81"/>
    <w:rsid w:val="4F586964"/>
    <w:rsid w:val="4F66599C"/>
    <w:rsid w:val="4F9547EC"/>
    <w:rsid w:val="4FA04A91"/>
    <w:rsid w:val="4FA2553E"/>
    <w:rsid w:val="4FEC0BC3"/>
    <w:rsid w:val="4FFE393B"/>
    <w:rsid w:val="50606C56"/>
    <w:rsid w:val="50632489"/>
    <w:rsid w:val="5065050A"/>
    <w:rsid w:val="507963E7"/>
    <w:rsid w:val="50AE3C80"/>
    <w:rsid w:val="50DC4C8A"/>
    <w:rsid w:val="50DF2ABC"/>
    <w:rsid w:val="50E37775"/>
    <w:rsid w:val="50E91B38"/>
    <w:rsid w:val="50EE4AFC"/>
    <w:rsid w:val="513F50A1"/>
    <w:rsid w:val="51691416"/>
    <w:rsid w:val="51751B8E"/>
    <w:rsid w:val="517F298F"/>
    <w:rsid w:val="519805C3"/>
    <w:rsid w:val="51B77A57"/>
    <w:rsid w:val="51BC69A8"/>
    <w:rsid w:val="51D34F44"/>
    <w:rsid w:val="51D81722"/>
    <w:rsid w:val="51E26E67"/>
    <w:rsid w:val="51F27B53"/>
    <w:rsid w:val="52185CBC"/>
    <w:rsid w:val="525748A7"/>
    <w:rsid w:val="525A3245"/>
    <w:rsid w:val="525C100F"/>
    <w:rsid w:val="526E1B7B"/>
    <w:rsid w:val="5279285E"/>
    <w:rsid w:val="52C73FF6"/>
    <w:rsid w:val="52E02D46"/>
    <w:rsid w:val="531B0347"/>
    <w:rsid w:val="53404825"/>
    <w:rsid w:val="536522FF"/>
    <w:rsid w:val="538F23A6"/>
    <w:rsid w:val="53A25729"/>
    <w:rsid w:val="53F0411E"/>
    <w:rsid w:val="540A5E66"/>
    <w:rsid w:val="544A5A5C"/>
    <w:rsid w:val="544C687D"/>
    <w:rsid w:val="545A4F71"/>
    <w:rsid w:val="54810975"/>
    <w:rsid w:val="54A50091"/>
    <w:rsid w:val="54AA5D1D"/>
    <w:rsid w:val="54AF3C0F"/>
    <w:rsid w:val="54F9421E"/>
    <w:rsid w:val="55195A2F"/>
    <w:rsid w:val="552C443B"/>
    <w:rsid w:val="55547800"/>
    <w:rsid w:val="556804C7"/>
    <w:rsid w:val="55704ABA"/>
    <w:rsid w:val="559049A1"/>
    <w:rsid w:val="559A7384"/>
    <w:rsid w:val="55D06F86"/>
    <w:rsid w:val="56265247"/>
    <w:rsid w:val="56611E44"/>
    <w:rsid w:val="568D16B9"/>
    <w:rsid w:val="56AD20E1"/>
    <w:rsid w:val="56B2462F"/>
    <w:rsid w:val="56FA3102"/>
    <w:rsid w:val="57342326"/>
    <w:rsid w:val="573B0177"/>
    <w:rsid w:val="574163F9"/>
    <w:rsid w:val="57461CFC"/>
    <w:rsid w:val="57890C46"/>
    <w:rsid w:val="57A2219C"/>
    <w:rsid w:val="57A753B3"/>
    <w:rsid w:val="57B74973"/>
    <w:rsid w:val="57DB4580"/>
    <w:rsid w:val="57E976FD"/>
    <w:rsid w:val="57F84657"/>
    <w:rsid w:val="57FC7666"/>
    <w:rsid w:val="58130CEC"/>
    <w:rsid w:val="58162CB9"/>
    <w:rsid w:val="58207565"/>
    <w:rsid w:val="583A6BB8"/>
    <w:rsid w:val="584A40D3"/>
    <w:rsid w:val="58545203"/>
    <w:rsid w:val="58845D45"/>
    <w:rsid w:val="588717C9"/>
    <w:rsid w:val="58AD3254"/>
    <w:rsid w:val="58BA7F29"/>
    <w:rsid w:val="58F63263"/>
    <w:rsid w:val="59022F96"/>
    <w:rsid w:val="59184ED2"/>
    <w:rsid w:val="5937223D"/>
    <w:rsid w:val="5949510A"/>
    <w:rsid w:val="595F3E32"/>
    <w:rsid w:val="59744244"/>
    <w:rsid w:val="59C31ED9"/>
    <w:rsid w:val="59DE3233"/>
    <w:rsid w:val="59E24AD2"/>
    <w:rsid w:val="5A1F5D26"/>
    <w:rsid w:val="5A3D6C9C"/>
    <w:rsid w:val="5A3F5EAB"/>
    <w:rsid w:val="5A5B3CCD"/>
    <w:rsid w:val="5A5E31E8"/>
    <w:rsid w:val="5A621D05"/>
    <w:rsid w:val="5A8E79A0"/>
    <w:rsid w:val="5A971D60"/>
    <w:rsid w:val="5AAE2453"/>
    <w:rsid w:val="5ADE5322"/>
    <w:rsid w:val="5AE9421B"/>
    <w:rsid w:val="5B1F3A0B"/>
    <w:rsid w:val="5B2D07A3"/>
    <w:rsid w:val="5B572D99"/>
    <w:rsid w:val="5B6836FC"/>
    <w:rsid w:val="5B771124"/>
    <w:rsid w:val="5B871580"/>
    <w:rsid w:val="5B876ADC"/>
    <w:rsid w:val="5B9A3355"/>
    <w:rsid w:val="5B9D7ACA"/>
    <w:rsid w:val="5BB30D9C"/>
    <w:rsid w:val="5BB43E84"/>
    <w:rsid w:val="5C2869E8"/>
    <w:rsid w:val="5C440727"/>
    <w:rsid w:val="5C5D4718"/>
    <w:rsid w:val="5C7414C4"/>
    <w:rsid w:val="5C7F2172"/>
    <w:rsid w:val="5CA21365"/>
    <w:rsid w:val="5CA903DB"/>
    <w:rsid w:val="5CEF128F"/>
    <w:rsid w:val="5CF15024"/>
    <w:rsid w:val="5CFFBEAC"/>
    <w:rsid w:val="5D224DDA"/>
    <w:rsid w:val="5D485E88"/>
    <w:rsid w:val="5D525F29"/>
    <w:rsid w:val="5D5A5B2C"/>
    <w:rsid w:val="5D6A35D0"/>
    <w:rsid w:val="5D946993"/>
    <w:rsid w:val="5D96269B"/>
    <w:rsid w:val="5D9B7A75"/>
    <w:rsid w:val="5DC02280"/>
    <w:rsid w:val="5DF64FF0"/>
    <w:rsid w:val="5E03770C"/>
    <w:rsid w:val="5E1B289C"/>
    <w:rsid w:val="5E420235"/>
    <w:rsid w:val="5E5B30EE"/>
    <w:rsid w:val="5E623D7B"/>
    <w:rsid w:val="5E6B6243"/>
    <w:rsid w:val="5E710B1A"/>
    <w:rsid w:val="5E7A5C21"/>
    <w:rsid w:val="5E87736A"/>
    <w:rsid w:val="5EC7722F"/>
    <w:rsid w:val="5ED6097D"/>
    <w:rsid w:val="5EDD3BF0"/>
    <w:rsid w:val="5EE71EFF"/>
    <w:rsid w:val="5EFE0325"/>
    <w:rsid w:val="5F164E4A"/>
    <w:rsid w:val="5F323F74"/>
    <w:rsid w:val="5F4B368E"/>
    <w:rsid w:val="5F521080"/>
    <w:rsid w:val="5F622211"/>
    <w:rsid w:val="5F903F66"/>
    <w:rsid w:val="5FA42567"/>
    <w:rsid w:val="5FB00CD9"/>
    <w:rsid w:val="60017D91"/>
    <w:rsid w:val="60053385"/>
    <w:rsid w:val="603902DF"/>
    <w:rsid w:val="60783253"/>
    <w:rsid w:val="609F3489"/>
    <w:rsid w:val="60BF4AD9"/>
    <w:rsid w:val="60F15327"/>
    <w:rsid w:val="60F30682"/>
    <w:rsid w:val="610944D4"/>
    <w:rsid w:val="61365007"/>
    <w:rsid w:val="61441117"/>
    <w:rsid w:val="617F354E"/>
    <w:rsid w:val="61877033"/>
    <w:rsid w:val="618C1999"/>
    <w:rsid w:val="618D247F"/>
    <w:rsid w:val="61A96C17"/>
    <w:rsid w:val="61B06AED"/>
    <w:rsid w:val="61B57FDA"/>
    <w:rsid w:val="61BA4B64"/>
    <w:rsid w:val="61BD53A2"/>
    <w:rsid w:val="61D92AF6"/>
    <w:rsid w:val="61E40392"/>
    <w:rsid w:val="61E909C7"/>
    <w:rsid w:val="61F83EDC"/>
    <w:rsid w:val="62087EC2"/>
    <w:rsid w:val="62127362"/>
    <w:rsid w:val="621454CF"/>
    <w:rsid w:val="62195032"/>
    <w:rsid w:val="623426DB"/>
    <w:rsid w:val="62352D6E"/>
    <w:rsid w:val="624B1C6F"/>
    <w:rsid w:val="62751A14"/>
    <w:rsid w:val="627C6CC3"/>
    <w:rsid w:val="628C5F22"/>
    <w:rsid w:val="62E25D3F"/>
    <w:rsid w:val="62E56E7D"/>
    <w:rsid w:val="63075B0B"/>
    <w:rsid w:val="63182F48"/>
    <w:rsid w:val="632B573B"/>
    <w:rsid w:val="6333005B"/>
    <w:rsid w:val="633702E2"/>
    <w:rsid w:val="637A56E3"/>
    <w:rsid w:val="63857653"/>
    <w:rsid w:val="63C15D59"/>
    <w:rsid w:val="63EC561F"/>
    <w:rsid w:val="63F6668D"/>
    <w:rsid w:val="64116758"/>
    <w:rsid w:val="64154EC7"/>
    <w:rsid w:val="64357CB9"/>
    <w:rsid w:val="643B38FE"/>
    <w:rsid w:val="64644EC8"/>
    <w:rsid w:val="646A37CF"/>
    <w:rsid w:val="647B0F6F"/>
    <w:rsid w:val="64A357A5"/>
    <w:rsid w:val="64B623D4"/>
    <w:rsid w:val="64B62688"/>
    <w:rsid w:val="64B80B37"/>
    <w:rsid w:val="64B8674B"/>
    <w:rsid w:val="64C115D9"/>
    <w:rsid w:val="64C42EA0"/>
    <w:rsid w:val="64C722F3"/>
    <w:rsid w:val="64F54908"/>
    <w:rsid w:val="651E730F"/>
    <w:rsid w:val="65217BBB"/>
    <w:rsid w:val="65363B5B"/>
    <w:rsid w:val="65421564"/>
    <w:rsid w:val="6556649C"/>
    <w:rsid w:val="65895B75"/>
    <w:rsid w:val="65954E34"/>
    <w:rsid w:val="65AE37F5"/>
    <w:rsid w:val="65B627DF"/>
    <w:rsid w:val="65D45C1E"/>
    <w:rsid w:val="660336CB"/>
    <w:rsid w:val="664E4752"/>
    <w:rsid w:val="66531D6F"/>
    <w:rsid w:val="667F3538"/>
    <w:rsid w:val="66B145D8"/>
    <w:rsid w:val="66BE361D"/>
    <w:rsid w:val="66C52871"/>
    <w:rsid w:val="66C57280"/>
    <w:rsid w:val="66D22B91"/>
    <w:rsid w:val="66F909CC"/>
    <w:rsid w:val="670A2576"/>
    <w:rsid w:val="671C4264"/>
    <w:rsid w:val="672B4917"/>
    <w:rsid w:val="675009B3"/>
    <w:rsid w:val="6751640F"/>
    <w:rsid w:val="676336CA"/>
    <w:rsid w:val="676416CA"/>
    <w:rsid w:val="67AB5E6A"/>
    <w:rsid w:val="67DE35C5"/>
    <w:rsid w:val="67EF08F3"/>
    <w:rsid w:val="68465D0E"/>
    <w:rsid w:val="6852376A"/>
    <w:rsid w:val="685C4A37"/>
    <w:rsid w:val="688177FF"/>
    <w:rsid w:val="68A01214"/>
    <w:rsid w:val="68A670CA"/>
    <w:rsid w:val="68D61FDD"/>
    <w:rsid w:val="68D66149"/>
    <w:rsid w:val="68DA35CA"/>
    <w:rsid w:val="694110E9"/>
    <w:rsid w:val="69590392"/>
    <w:rsid w:val="695A2F82"/>
    <w:rsid w:val="6963099A"/>
    <w:rsid w:val="69A769FD"/>
    <w:rsid w:val="69AA6BD2"/>
    <w:rsid w:val="6A0851EB"/>
    <w:rsid w:val="6A3A4A33"/>
    <w:rsid w:val="6A3C18D8"/>
    <w:rsid w:val="6AC412B9"/>
    <w:rsid w:val="6B221A83"/>
    <w:rsid w:val="6B264B93"/>
    <w:rsid w:val="6B877EA1"/>
    <w:rsid w:val="6B895556"/>
    <w:rsid w:val="6BA676ED"/>
    <w:rsid w:val="6BD64B90"/>
    <w:rsid w:val="6BE306DD"/>
    <w:rsid w:val="6BE33C8F"/>
    <w:rsid w:val="6BF42734"/>
    <w:rsid w:val="6BF57D58"/>
    <w:rsid w:val="6BF7754D"/>
    <w:rsid w:val="6C105A58"/>
    <w:rsid w:val="6C346766"/>
    <w:rsid w:val="6C3D350D"/>
    <w:rsid w:val="6C4526AF"/>
    <w:rsid w:val="6C51632C"/>
    <w:rsid w:val="6C7F2AD3"/>
    <w:rsid w:val="6C9740E3"/>
    <w:rsid w:val="6CB378F9"/>
    <w:rsid w:val="6CC85207"/>
    <w:rsid w:val="6CE7260C"/>
    <w:rsid w:val="6CF87FF6"/>
    <w:rsid w:val="6D162119"/>
    <w:rsid w:val="6D2C3705"/>
    <w:rsid w:val="6D485F0B"/>
    <w:rsid w:val="6D7D4DE5"/>
    <w:rsid w:val="6D873010"/>
    <w:rsid w:val="6D8D0448"/>
    <w:rsid w:val="6D904050"/>
    <w:rsid w:val="6DDC046F"/>
    <w:rsid w:val="6DE210EC"/>
    <w:rsid w:val="6DEA07E1"/>
    <w:rsid w:val="6DEF7BE9"/>
    <w:rsid w:val="6E16292A"/>
    <w:rsid w:val="6E2267D8"/>
    <w:rsid w:val="6E2C0B71"/>
    <w:rsid w:val="6E3021CD"/>
    <w:rsid w:val="6E41410C"/>
    <w:rsid w:val="6E617DB5"/>
    <w:rsid w:val="6EAA4474"/>
    <w:rsid w:val="6EAC4123"/>
    <w:rsid w:val="6ECD507F"/>
    <w:rsid w:val="6EFF0DB0"/>
    <w:rsid w:val="6F1624C1"/>
    <w:rsid w:val="6F27365A"/>
    <w:rsid w:val="6F2A435C"/>
    <w:rsid w:val="6F6B3132"/>
    <w:rsid w:val="6F7D32A6"/>
    <w:rsid w:val="6F9261A7"/>
    <w:rsid w:val="6F9F49B0"/>
    <w:rsid w:val="6FB87AD8"/>
    <w:rsid w:val="6FD85E0E"/>
    <w:rsid w:val="6FE85FAC"/>
    <w:rsid w:val="6FEF1509"/>
    <w:rsid w:val="6FF879A7"/>
    <w:rsid w:val="700A7C70"/>
    <w:rsid w:val="70213099"/>
    <w:rsid w:val="70311402"/>
    <w:rsid w:val="704B0DE5"/>
    <w:rsid w:val="704E3B0A"/>
    <w:rsid w:val="70C35002"/>
    <w:rsid w:val="70D421A3"/>
    <w:rsid w:val="70E31094"/>
    <w:rsid w:val="71094BE2"/>
    <w:rsid w:val="710D7AB3"/>
    <w:rsid w:val="711060E4"/>
    <w:rsid w:val="711E28A2"/>
    <w:rsid w:val="714D3A87"/>
    <w:rsid w:val="717539A9"/>
    <w:rsid w:val="71854BFE"/>
    <w:rsid w:val="71A55A01"/>
    <w:rsid w:val="72493564"/>
    <w:rsid w:val="72581FD1"/>
    <w:rsid w:val="72845A81"/>
    <w:rsid w:val="7293781E"/>
    <w:rsid w:val="72992D90"/>
    <w:rsid w:val="729F4DE6"/>
    <w:rsid w:val="72BC22AC"/>
    <w:rsid w:val="72E551B3"/>
    <w:rsid w:val="72E925E9"/>
    <w:rsid w:val="73167737"/>
    <w:rsid w:val="731B6E65"/>
    <w:rsid w:val="733C4DFB"/>
    <w:rsid w:val="736C11ED"/>
    <w:rsid w:val="737A19CC"/>
    <w:rsid w:val="738D2681"/>
    <w:rsid w:val="73AB7A5B"/>
    <w:rsid w:val="73B409E6"/>
    <w:rsid w:val="73C216D3"/>
    <w:rsid w:val="73C83F5E"/>
    <w:rsid w:val="73E516C0"/>
    <w:rsid w:val="73FF4C06"/>
    <w:rsid w:val="74017DF2"/>
    <w:rsid w:val="743D3CAA"/>
    <w:rsid w:val="744650DB"/>
    <w:rsid w:val="745E1897"/>
    <w:rsid w:val="747E7852"/>
    <w:rsid w:val="74AB1F57"/>
    <w:rsid w:val="74C413D4"/>
    <w:rsid w:val="74E431FA"/>
    <w:rsid w:val="74E9443F"/>
    <w:rsid w:val="74F82FA3"/>
    <w:rsid w:val="74F91C79"/>
    <w:rsid w:val="751246D7"/>
    <w:rsid w:val="75210EA2"/>
    <w:rsid w:val="753546A4"/>
    <w:rsid w:val="753610E6"/>
    <w:rsid w:val="75666069"/>
    <w:rsid w:val="75867211"/>
    <w:rsid w:val="758A32E3"/>
    <w:rsid w:val="75922EB0"/>
    <w:rsid w:val="75925B77"/>
    <w:rsid w:val="75A0327F"/>
    <w:rsid w:val="75A30E29"/>
    <w:rsid w:val="75BE7912"/>
    <w:rsid w:val="75CA4550"/>
    <w:rsid w:val="75DB6764"/>
    <w:rsid w:val="76010AE4"/>
    <w:rsid w:val="76251C4D"/>
    <w:rsid w:val="7625426C"/>
    <w:rsid w:val="76360BD5"/>
    <w:rsid w:val="76376B7F"/>
    <w:rsid w:val="76377102"/>
    <w:rsid w:val="76384B84"/>
    <w:rsid w:val="763C3F4F"/>
    <w:rsid w:val="766E5C13"/>
    <w:rsid w:val="76BD7AD7"/>
    <w:rsid w:val="76C6095F"/>
    <w:rsid w:val="76C90779"/>
    <w:rsid w:val="76DF266D"/>
    <w:rsid w:val="770C53FF"/>
    <w:rsid w:val="771E1FB8"/>
    <w:rsid w:val="777C3F16"/>
    <w:rsid w:val="77932EE6"/>
    <w:rsid w:val="7794370B"/>
    <w:rsid w:val="779B4B4A"/>
    <w:rsid w:val="77A541C8"/>
    <w:rsid w:val="77B10335"/>
    <w:rsid w:val="77C73C0A"/>
    <w:rsid w:val="77D067C7"/>
    <w:rsid w:val="77EC2046"/>
    <w:rsid w:val="77EE673C"/>
    <w:rsid w:val="77EF5926"/>
    <w:rsid w:val="782245A4"/>
    <w:rsid w:val="783E7EAF"/>
    <w:rsid w:val="78773D2D"/>
    <w:rsid w:val="788E25FA"/>
    <w:rsid w:val="789B0C8D"/>
    <w:rsid w:val="78B50CC4"/>
    <w:rsid w:val="78BF32A9"/>
    <w:rsid w:val="791F31F5"/>
    <w:rsid w:val="792451CB"/>
    <w:rsid w:val="79415749"/>
    <w:rsid w:val="79570BE0"/>
    <w:rsid w:val="795B0471"/>
    <w:rsid w:val="796849BB"/>
    <w:rsid w:val="797A09D8"/>
    <w:rsid w:val="797D7F1B"/>
    <w:rsid w:val="79824691"/>
    <w:rsid w:val="79CB2844"/>
    <w:rsid w:val="79E02D82"/>
    <w:rsid w:val="79FC1981"/>
    <w:rsid w:val="7A1962BE"/>
    <w:rsid w:val="7A2E4784"/>
    <w:rsid w:val="7A5A29EC"/>
    <w:rsid w:val="7A5A3BF2"/>
    <w:rsid w:val="7A633959"/>
    <w:rsid w:val="7A9D0EFB"/>
    <w:rsid w:val="7ACE3009"/>
    <w:rsid w:val="7ADE60D1"/>
    <w:rsid w:val="7AE50739"/>
    <w:rsid w:val="7B236FD3"/>
    <w:rsid w:val="7B3C0681"/>
    <w:rsid w:val="7B762E74"/>
    <w:rsid w:val="7B7E1655"/>
    <w:rsid w:val="7B8632CC"/>
    <w:rsid w:val="7B9D6653"/>
    <w:rsid w:val="7BA829B9"/>
    <w:rsid w:val="7BA82CDA"/>
    <w:rsid w:val="7C023D5C"/>
    <w:rsid w:val="7C0D0571"/>
    <w:rsid w:val="7C2B54C3"/>
    <w:rsid w:val="7C9C2DAE"/>
    <w:rsid w:val="7CA2387C"/>
    <w:rsid w:val="7CB71996"/>
    <w:rsid w:val="7CB91896"/>
    <w:rsid w:val="7CD6149E"/>
    <w:rsid w:val="7CEF7382"/>
    <w:rsid w:val="7D042C28"/>
    <w:rsid w:val="7D1A2F7D"/>
    <w:rsid w:val="7D6733BC"/>
    <w:rsid w:val="7D6A4C5A"/>
    <w:rsid w:val="7D6E2658"/>
    <w:rsid w:val="7D717D97"/>
    <w:rsid w:val="7D8F1157"/>
    <w:rsid w:val="7DA36ABE"/>
    <w:rsid w:val="7DB12FE5"/>
    <w:rsid w:val="7DD143E1"/>
    <w:rsid w:val="7DD70F7E"/>
    <w:rsid w:val="7DFDC2F5"/>
    <w:rsid w:val="7DFE460D"/>
    <w:rsid w:val="7E1A121E"/>
    <w:rsid w:val="7E2E4EFD"/>
    <w:rsid w:val="7E301B17"/>
    <w:rsid w:val="7E8B75AC"/>
    <w:rsid w:val="7EAB5BA9"/>
    <w:rsid w:val="7F50786C"/>
    <w:rsid w:val="7F791185"/>
    <w:rsid w:val="7F801114"/>
    <w:rsid w:val="7FBD786E"/>
    <w:rsid w:val="7FE36660"/>
    <w:rsid w:val="7FE84A32"/>
    <w:rsid w:val="9EDD4A1C"/>
    <w:rsid w:val="BEFF1C57"/>
    <w:rsid w:val="D5FFDC32"/>
    <w:rsid w:val="FC9F24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0"/>
    <w:pPr>
      <w:keepNext/>
      <w:keepLines/>
      <w:spacing w:line="576" w:lineRule="auto"/>
      <w:outlineLvl w:val="0"/>
    </w:pPr>
    <w:rPr>
      <w:b/>
      <w:bCs/>
      <w:kern w:val="44"/>
      <w:sz w:val="44"/>
      <w:szCs w:val="44"/>
    </w:rPr>
  </w:style>
  <w:style w:type="paragraph" w:styleId="4">
    <w:name w:val="heading 2"/>
    <w:basedOn w:val="1"/>
    <w:next w:val="1"/>
    <w:unhideWhenUsed/>
    <w:qFormat/>
    <w:uiPriority w:val="0"/>
    <w:pPr>
      <w:keepNext/>
      <w:keepLines/>
      <w:spacing w:before="260" w:after="260" w:line="416" w:lineRule="auto"/>
      <w:outlineLvl w:val="1"/>
    </w:pPr>
    <w:rPr>
      <w:rFonts w:ascii="Cambria" w:hAnsi="Cambria"/>
      <w:b/>
      <w:bCs/>
    </w:rPr>
  </w:style>
  <w:style w:type="paragraph" w:styleId="5">
    <w:name w:val="heading 3"/>
    <w:basedOn w:val="1"/>
    <w:next w:val="1"/>
    <w:unhideWhenUsed/>
    <w:qFormat/>
    <w:uiPriority w:val="0"/>
    <w:pPr>
      <w:keepNext/>
      <w:keepLines/>
      <w:spacing w:before="260" w:after="260" w:line="416" w:lineRule="atLeast"/>
      <w:outlineLvl w:val="2"/>
    </w:pPr>
    <w:rPr>
      <w:b/>
      <w:bCs/>
      <w:sz w:val="32"/>
      <w:szCs w:val="32"/>
    </w:rPr>
  </w:style>
  <w:style w:type="paragraph" w:styleId="6">
    <w:name w:val="heading 4"/>
    <w:basedOn w:val="1"/>
    <w:next w:val="1"/>
    <w:unhideWhenUsed/>
    <w:qFormat/>
    <w:uiPriority w:val="0"/>
    <w:pPr>
      <w:keepNext/>
      <w:keepLines/>
      <w:spacing w:before="280" w:after="290" w:line="376" w:lineRule="auto"/>
      <w:outlineLvl w:val="3"/>
    </w:pPr>
    <w:rPr>
      <w:rFonts w:ascii="Cambria" w:hAnsi="Cambria" w:eastAsia="宋体" w:cs="Times New Roman"/>
      <w:b/>
      <w:bCs/>
      <w:sz w:val="28"/>
      <w:szCs w:val="28"/>
    </w:rPr>
  </w:style>
  <w:style w:type="character" w:default="1" w:styleId="24">
    <w:name w:val="Default Paragraph Font"/>
    <w:unhideWhenUsed/>
    <w:qFormat/>
    <w:uiPriority w:val="1"/>
  </w:style>
  <w:style w:type="table" w:default="1" w:styleId="22">
    <w:name w:val="Normal Table"/>
    <w:unhideWhenUsed/>
    <w:qFormat/>
    <w:uiPriority w:val="99"/>
    <w:tblPr>
      <w:tblCellMar>
        <w:top w:w="0" w:type="dxa"/>
        <w:left w:w="108" w:type="dxa"/>
        <w:bottom w:w="0" w:type="dxa"/>
        <w:right w:w="108" w:type="dxa"/>
      </w:tblCellMar>
    </w:tblPr>
  </w:style>
  <w:style w:type="paragraph" w:styleId="2">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7">
    <w:name w:val="Normal Indent"/>
    <w:basedOn w:val="1"/>
    <w:next w:val="8"/>
    <w:unhideWhenUsed/>
    <w:qFormat/>
    <w:uiPriority w:val="0"/>
    <w:pPr>
      <w:ind w:firstLine="420"/>
    </w:pPr>
  </w:style>
  <w:style w:type="paragraph" w:styleId="8">
    <w:name w:val="caption"/>
    <w:basedOn w:val="1"/>
    <w:next w:val="1"/>
    <w:unhideWhenUsed/>
    <w:qFormat/>
    <w:uiPriority w:val="0"/>
    <w:rPr>
      <w:rFonts w:ascii="DejaVu Sans" w:hAnsi="DejaVu Sans" w:eastAsia="方正黑体_GBK"/>
      <w:sz w:val="20"/>
    </w:rPr>
  </w:style>
  <w:style w:type="paragraph" w:styleId="9">
    <w:name w:val="annotation text"/>
    <w:basedOn w:val="1"/>
    <w:link w:val="29"/>
    <w:qFormat/>
    <w:uiPriority w:val="0"/>
    <w:pPr>
      <w:jc w:val="left"/>
    </w:pPr>
  </w:style>
  <w:style w:type="paragraph" w:styleId="10">
    <w:name w:val="Body Text"/>
    <w:basedOn w:val="1"/>
    <w:next w:val="1"/>
    <w:qFormat/>
    <w:uiPriority w:val="0"/>
    <w:pPr>
      <w:spacing w:after="120"/>
    </w:pPr>
  </w:style>
  <w:style w:type="paragraph" w:styleId="11">
    <w:name w:val="Body Text Indent"/>
    <w:basedOn w:val="1"/>
    <w:next w:val="12"/>
    <w:qFormat/>
    <w:uiPriority w:val="0"/>
    <w:pPr>
      <w:ind w:left="420" w:leftChars="200"/>
    </w:pPr>
  </w:style>
  <w:style w:type="paragraph" w:styleId="12">
    <w:name w:val="envelope return"/>
    <w:basedOn w:val="1"/>
    <w:unhideWhenUsed/>
    <w:qFormat/>
    <w:uiPriority w:val="99"/>
    <w:pPr>
      <w:snapToGrid w:val="0"/>
    </w:pPr>
    <w:rPr>
      <w:rFonts w:ascii="Arial" w:hAnsi="Arial"/>
    </w:rPr>
  </w:style>
  <w:style w:type="paragraph" w:styleId="13">
    <w:name w:val="footer"/>
    <w:basedOn w:val="1"/>
    <w:link w:val="30"/>
    <w:qFormat/>
    <w:uiPriority w:val="0"/>
    <w:pPr>
      <w:tabs>
        <w:tab w:val="center" w:pos="4153"/>
        <w:tab w:val="right" w:pos="8306"/>
      </w:tabs>
      <w:snapToGrid w:val="0"/>
      <w:jc w:val="left"/>
    </w:pPr>
    <w:rPr>
      <w:sz w:val="18"/>
      <w:szCs w:val="18"/>
    </w:rPr>
  </w:style>
  <w:style w:type="paragraph" w:styleId="14">
    <w:name w:val="header"/>
    <w:basedOn w:val="1"/>
    <w:link w:val="31"/>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0"/>
  </w:style>
  <w:style w:type="paragraph" w:styleId="1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1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8">
    <w:name w:val="Title"/>
    <w:basedOn w:val="4"/>
    <w:next w:val="1"/>
    <w:qFormat/>
    <w:uiPriority w:val="0"/>
    <w:pPr>
      <w:spacing w:beforeLines="50" w:afterLines="50" w:line="240" w:lineRule="auto"/>
    </w:pPr>
    <w:rPr>
      <w:rFonts w:ascii="楷体" w:hAnsi="楷体" w:eastAsia="楷体"/>
      <w:sz w:val="28"/>
      <w:szCs w:val="28"/>
    </w:rPr>
  </w:style>
  <w:style w:type="paragraph" w:styleId="19">
    <w:name w:val="annotation subject"/>
    <w:basedOn w:val="9"/>
    <w:next w:val="9"/>
    <w:link w:val="32"/>
    <w:qFormat/>
    <w:uiPriority w:val="0"/>
    <w:rPr>
      <w:b/>
      <w:bCs/>
    </w:rPr>
  </w:style>
  <w:style w:type="paragraph" w:styleId="20">
    <w:name w:val="Body Text First Indent"/>
    <w:basedOn w:val="10"/>
    <w:qFormat/>
    <w:uiPriority w:val="0"/>
    <w:pPr>
      <w:ind w:firstLine="420" w:firstLineChars="100"/>
    </w:pPr>
    <w:rPr>
      <w:szCs w:val="24"/>
    </w:rPr>
  </w:style>
  <w:style w:type="paragraph" w:styleId="21">
    <w:name w:val="Body Text First Indent 2"/>
    <w:basedOn w:val="1"/>
    <w:next w:val="20"/>
    <w:unhideWhenUsed/>
    <w:qFormat/>
    <w:uiPriority w:val="99"/>
    <w:pPr>
      <w:ind w:firstLine="420"/>
    </w:p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0"/>
    <w:rPr>
      <w:b/>
    </w:rPr>
  </w:style>
  <w:style w:type="character" w:styleId="26">
    <w:name w:val="Emphasis"/>
    <w:basedOn w:val="24"/>
    <w:qFormat/>
    <w:uiPriority w:val="0"/>
    <w:rPr>
      <w:i/>
    </w:rPr>
  </w:style>
  <w:style w:type="character" w:styleId="27">
    <w:name w:val="annotation reference"/>
    <w:basedOn w:val="24"/>
    <w:qFormat/>
    <w:uiPriority w:val="0"/>
    <w:rPr>
      <w:sz w:val="21"/>
      <w:szCs w:val="21"/>
    </w:rPr>
  </w:style>
  <w:style w:type="character" w:customStyle="1" w:styleId="28">
    <w:name w:val="标题 1 Char"/>
    <w:link w:val="3"/>
    <w:qFormat/>
    <w:uiPriority w:val="0"/>
    <w:rPr>
      <w:b/>
      <w:bCs/>
      <w:kern w:val="44"/>
      <w:sz w:val="44"/>
      <w:szCs w:val="44"/>
    </w:rPr>
  </w:style>
  <w:style w:type="character" w:customStyle="1" w:styleId="29">
    <w:name w:val="批注文字 字符"/>
    <w:basedOn w:val="24"/>
    <w:link w:val="9"/>
    <w:qFormat/>
    <w:uiPriority w:val="0"/>
    <w:rPr>
      <w:kern w:val="2"/>
      <w:sz w:val="21"/>
      <w:szCs w:val="24"/>
    </w:rPr>
  </w:style>
  <w:style w:type="character" w:customStyle="1" w:styleId="30">
    <w:name w:val="页脚 字符"/>
    <w:basedOn w:val="24"/>
    <w:link w:val="13"/>
    <w:qFormat/>
    <w:uiPriority w:val="0"/>
    <w:rPr>
      <w:kern w:val="2"/>
      <w:sz w:val="18"/>
      <w:szCs w:val="18"/>
    </w:rPr>
  </w:style>
  <w:style w:type="character" w:customStyle="1" w:styleId="31">
    <w:name w:val="页眉 字符"/>
    <w:basedOn w:val="24"/>
    <w:link w:val="14"/>
    <w:qFormat/>
    <w:uiPriority w:val="0"/>
    <w:rPr>
      <w:kern w:val="2"/>
      <w:sz w:val="18"/>
      <w:szCs w:val="18"/>
    </w:rPr>
  </w:style>
  <w:style w:type="character" w:customStyle="1" w:styleId="32">
    <w:name w:val="批注主题 字符"/>
    <w:basedOn w:val="29"/>
    <w:link w:val="19"/>
    <w:qFormat/>
    <w:uiPriority w:val="0"/>
    <w:rPr>
      <w:b/>
      <w:bCs/>
      <w:kern w:val="2"/>
      <w:sz w:val="21"/>
      <w:szCs w:val="24"/>
    </w:rPr>
  </w:style>
  <w:style w:type="paragraph" w:customStyle="1" w:styleId="33">
    <w:name w:val="标题3"/>
    <w:basedOn w:val="5"/>
    <w:next w:val="1"/>
    <w:qFormat/>
    <w:uiPriority w:val="0"/>
    <w:pPr>
      <w:spacing w:beforeLines="50" w:afterLines="50" w:line="240" w:lineRule="auto"/>
    </w:pPr>
    <w:rPr>
      <w:rFonts w:ascii="隶书" w:hAnsi="仿宋" w:eastAsia="隶书"/>
      <w:b w:val="0"/>
      <w:sz w:val="28"/>
      <w:szCs w:val="28"/>
    </w:rPr>
  </w:style>
  <w:style w:type="paragraph" w:customStyle="1" w:styleId="34">
    <w:name w:val="标题4"/>
    <w:basedOn w:val="33"/>
    <w:next w:val="1"/>
    <w:qFormat/>
    <w:uiPriority w:val="0"/>
    <w:pPr>
      <w:outlineLvl w:val="3"/>
    </w:pPr>
    <w:rPr>
      <w:rFonts w:ascii="楷体" w:hAnsi="楷体" w:eastAsia="楷体"/>
      <w:bCs w:val="0"/>
    </w:rPr>
  </w:style>
  <w:style w:type="paragraph" w:customStyle="1" w:styleId="35">
    <w:name w:val="摘录引用方案"/>
    <w:basedOn w:val="1"/>
    <w:next w:val="1"/>
    <w:qFormat/>
    <w:uiPriority w:val="0"/>
    <w:rPr>
      <w:i/>
      <w:color w:val="FF0000"/>
    </w:rPr>
  </w:style>
  <w:style w:type="paragraph" w:customStyle="1" w:styleId="36">
    <w:name w:val="* Body1"/>
    <w:basedOn w:val="1"/>
    <w:qFormat/>
    <w:uiPriority w:val="0"/>
    <w:pPr>
      <w:spacing w:afterLines="50" w:line="360" w:lineRule="auto"/>
    </w:pPr>
    <w:rPr>
      <w:rFonts w:cs="宋体"/>
      <w:sz w:val="24"/>
    </w:rPr>
  </w:style>
  <w:style w:type="paragraph" w:customStyle="1" w:styleId="37">
    <w:name w:val="Revision"/>
    <w:unhideWhenUsed/>
    <w:qFormat/>
    <w:uiPriority w:val="99"/>
    <w:rPr>
      <w:rFonts w:ascii="Times New Roman" w:hAnsi="Times New Roman" w:eastAsia="宋体" w:cs="Times New Roman"/>
      <w:kern w:val="2"/>
      <w:sz w:val="21"/>
      <w:szCs w:val="24"/>
      <w:lang w:val="en-US" w:eastAsia="zh-CN" w:bidi="ar-SA"/>
    </w:rPr>
  </w:style>
  <w:style w:type="paragraph" w:customStyle="1" w:styleId="38">
    <w:name w:val="WPSOffice手动目录 1"/>
    <w:qFormat/>
    <w:uiPriority w:val="0"/>
    <w:pPr>
      <w:ind w:leftChars="0"/>
    </w:pPr>
    <w:rPr>
      <w:rFonts w:ascii="Times New Roman" w:hAnsi="Times New Roman" w:eastAsia="宋体" w:cs="Times New Roman"/>
      <w:sz w:val="20"/>
      <w:szCs w:val="20"/>
    </w:rPr>
  </w:style>
  <w:style w:type="paragraph" w:customStyle="1" w:styleId="39">
    <w:name w:val="H3"/>
    <w:basedOn w:val="1"/>
    <w:qFormat/>
    <w:uiPriority w:val="0"/>
    <w:pPr>
      <w:numPr>
        <w:ilvl w:val="2"/>
        <w:numId w:val="1"/>
      </w:numPr>
      <w:spacing w:before="120" w:beforeLines="50" w:after="120" w:afterLines="50" w:line="360" w:lineRule="auto"/>
      <w:outlineLvl w:val="2"/>
    </w:pPr>
    <w:rPr>
      <w:rFonts w:ascii="黑体" w:hAnsi="黑体" w:eastAsia="黑体"/>
      <w:b/>
      <w:bCs/>
      <w:sz w:val="24"/>
      <w:szCs w:val="24"/>
    </w:rPr>
  </w:style>
  <w:style w:type="paragraph" w:styleId="40">
    <w:name w:val="List Paragraph"/>
    <w:basedOn w:val="1"/>
    <w:qFormat/>
    <w:uiPriority w:val="99"/>
    <w:pPr>
      <w:ind w:firstLine="420" w:firstLineChars="200"/>
    </w:pPr>
  </w:style>
  <w:style w:type="paragraph" w:customStyle="1" w:styleId="41">
    <w:name w:val="正文段落"/>
    <w:basedOn w:val="1"/>
    <w:qFormat/>
    <w:uiPriority w:val="0"/>
    <w:pPr>
      <w:widowControl/>
      <w:ind w:firstLine="440" w:firstLineChars="200"/>
    </w:pPr>
    <w:rPr>
      <w:kern w:val="0"/>
      <w:sz w:val="22"/>
      <w:szCs w:val="22"/>
      <w:lang w:val="de-DE"/>
    </w:rPr>
  </w:style>
  <w:style w:type="paragraph" w:customStyle="1" w:styleId="42">
    <w:name w:val="列表1"/>
    <w:basedOn w:val="40"/>
    <w:qFormat/>
    <w:uiPriority w:val="0"/>
    <w:pPr>
      <w:numPr>
        <w:ilvl w:val="0"/>
        <w:numId w:val="2"/>
      </w:numPr>
      <w:ind w:firstLine="0" w:firstLineChars="0"/>
    </w:pPr>
    <w:rPr>
      <w:rFonts w:ascii="微软雅黑" w:hAnsi="微软雅黑" w:eastAsia="微软雅黑"/>
      <w:sz w:val="2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9228</Words>
  <Characters>9542</Characters>
  <Lines>35</Lines>
  <Paragraphs>9</Paragraphs>
  <TotalTime>10</TotalTime>
  <ScaleCrop>false</ScaleCrop>
  <LinksUpToDate>false</LinksUpToDate>
  <CharactersWithSpaces>9835</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2023-06-09T18:35:00Z</dcterms:created>
  <dc:creator>zh-sunbb</dc:creator>
  <cp:lastModifiedBy>张艺凡</cp:lastModifiedBy>
  <cp:lastPrinted>2025-08-13T01:20:00Z</cp:lastPrinted>
  <dcterms:modified xsi:type="dcterms:W3CDTF">2026-01-05T05:55:52Z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4314BDD9F95A465D8871ACA91DB843C5</vt:lpwstr>
  </property>
  <property fmtid="{D5CDD505-2E9C-101B-9397-08002B2CF9AE}" pid="4" name="KSOTemplateDocerSaveRecord">
    <vt:lpwstr>eyJoZGlkIjoiZDg3YjEwYzg4MzZlM2VkY2YxYTI3YmEyN2JmODJkZDUiLCJ1c2VySWQiOiIzOTk5MTU1MTUifQ==</vt:lpwstr>
  </property>
</Properties>
</file>