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ind w:firstLine="0" w:firstLineChars="0"/>
        <w:jc w:val="center"/>
        <w:rPr>
          <w:sz w:val="36"/>
          <w:szCs w:val="36"/>
        </w:rPr>
      </w:pPr>
      <w:r>
        <w:rPr>
          <w:rFonts w:hint="eastAsia"/>
          <w:sz w:val="36"/>
          <w:szCs w:val="36"/>
        </w:rPr>
        <w:t>软件产品采购需求主要内容</w:t>
      </w:r>
    </w:p>
    <w:p>
      <w:pPr>
        <w:pStyle w:val="31"/>
        <w:ind w:firstLine="0" w:firstLineChars="0"/>
        <w:jc w:val="center"/>
        <w:rPr>
          <w:sz w:val="36"/>
          <w:szCs w:val="36"/>
        </w:rPr>
      </w:pPr>
      <w:r>
        <w:rPr>
          <w:rFonts w:hint="eastAsia"/>
          <w:sz w:val="36"/>
          <w:szCs w:val="36"/>
        </w:rPr>
        <w:t>（一般包括以下所列内容）</w:t>
      </w:r>
    </w:p>
    <w:p>
      <w:pPr>
        <w:pStyle w:val="31"/>
        <w:ind w:firstLine="480"/>
        <w:rPr>
          <w:rFonts w:asciiTheme="minorEastAsia" w:hAnsiTheme="minorEastAsia" w:eastAsiaTheme="minorEastAsia"/>
        </w:rPr>
      </w:pPr>
    </w:p>
    <w:p>
      <w:pPr>
        <w:pStyle w:val="23"/>
        <w:numPr>
          <w:ilvl w:val="0"/>
          <w:numId w:val="6"/>
        </w:numPr>
        <w:spacing w:before="156" w:after="156"/>
        <w:rPr>
          <w:rFonts w:asciiTheme="minorEastAsia" w:hAnsiTheme="minorEastAsia" w:eastAsiaTheme="minorEastAsia"/>
        </w:rPr>
      </w:pPr>
      <w:r>
        <w:rPr>
          <w:rFonts w:hint="eastAsia" w:asciiTheme="minorEastAsia" w:hAnsiTheme="minorEastAsia" w:eastAsiaTheme="minorEastAsia"/>
        </w:rPr>
        <w:t>基本要求</w:t>
      </w:r>
    </w:p>
    <w:p>
      <w:pPr>
        <w:pStyle w:val="4"/>
        <w:numPr>
          <w:ilvl w:val="1"/>
          <w:numId w:val="7"/>
        </w:numPr>
        <w:spacing w:before="40" w:after="40" w:line="360" w:lineRule="auto"/>
        <w:rPr>
          <w:rFonts w:ascii="宋体" w:hAnsi="宋体" w:cs="Times New Roman"/>
          <w:sz w:val="28"/>
        </w:rPr>
      </w:pPr>
      <w:r>
        <w:rPr>
          <w:rFonts w:hint="eastAsia" w:ascii="宋体" w:hAnsi="宋体" w:cs="Times New Roman"/>
          <w:sz w:val="28"/>
        </w:rPr>
        <w:t>软件产品必须具有在中国境内的正式合法使用权和销售权</w:t>
      </w:r>
    </w:p>
    <w:p>
      <w:pPr>
        <w:pStyle w:val="46"/>
        <w:spacing w:line="440" w:lineRule="exact"/>
        <w:ind w:firstLine="480" w:firstLineChars="200"/>
        <w:rPr>
          <w:rFonts w:asciiTheme="minorEastAsia" w:hAnsiTheme="minorEastAsia" w:eastAsiaTheme="minorEastAsia"/>
          <w:kern w:val="1"/>
          <w:sz w:val="24"/>
          <w:szCs w:val="21"/>
          <w:lang w:val="en-GB"/>
        </w:rPr>
      </w:pPr>
      <w:r>
        <w:rPr>
          <w:rFonts w:hint="eastAsia" w:asciiTheme="minorEastAsia" w:hAnsiTheme="minorEastAsia" w:eastAsiaTheme="minorEastAsia"/>
          <w:kern w:val="1"/>
          <w:sz w:val="24"/>
          <w:szCs w:val="21"/>
          <w:lang w:val="en-GB"/>
        </w:rPr>
        <w:t>1.1 供货商按招标需求书要求所列明的软件产品名称、功能、使用许可内容等向采购方销售该软件产品的使用许可（以下简称“使用许可”）。</w:t>
      </w:r>
    </w:p>
    <w:p>
      <w:pPr>
        <w:pStyle w:val="46"/>
        <w:spacing w:line="440" w:lineRule="exact"/>
        <w:ind w:firstLine="480" w:firstLineChars="200"/>
      </w:pPr>
      <w:r>
        <w:rPr>
          <w:rFonts w:hint="eastAsia" w:asciiTheme="minorEastAsia" w:hAnsiTheme="minorEastAsia" w:eastAsiaTheme="minorEastAsia"/>
          <w:kern w:val="1"/>
          <w:sz w:val="24"/>
          <w:szCs w:val="21"/>
          <w:lang w:val="en-GB"/>
        </w:rPr>
        <w:t>1.2 供货商按招标需求书要求约定向采购方提供与软件产品及使用许可相关的服务。</w:t>
      </w:r>
    </w:p>
    <w:p>
      <w:pPr>
        <w:pStyle w:val="4"/>
        <w:numPr>
          <w:ilvl w:val="1"/>
          <w:numId w:val="7"/>
        </w:numPr>
        <w:spacing w:before="40" w:after="40" w:line="360" w:lineRule="auto"/>
        <w:rPr>
          <w:rFonts w:ascii="宋体" w:hAnsi="宋体" w:cs="Times New Roman"/>
          <w:sz w:val="28"/>
        </w:rPr>
      </w:pPr>
      <w:r>
        <w:rPr>
          <w:rFonts w:hint="eastAsia" w:ascii="宋体" w:hAnsi="宋体" w:cs="Times New Roman"/>
          <w:sz w:val="28"/>
        </w:rPr>
        <w:t>软件产品在国内有可靠的技术支持力量</w:t>
      </w:r>
    </w:p>
    <w:p>
      <w:pPr>
        <w:pStyle w:val="46"/>
        <w:spacing w:line="440" w:lineRule="exact"/>
        <w:ind w:firstLine="480" w:firstLineChars="200"/>
        <w:rPr>
          <w:rFonts w:asciiTheme="minorEastAsia" w:hAnsiTheme="minorEastAsia" w:eastAsiaTheme="minorEastAsia"/>
          <w:kern w:val="1"/>
          <w:sz w:val="24"/>
          <w:szCs w:val="21"/>
          <w:lang w:val="en-GB"/>
        </w:rPr>
      </w:pPr>
      <w:r>
        <w:rPr>
          <w:rFonts w:hint="eastAsia" w:asciiTheme="minorEastAsia" w:hAnsiTheme="minorEastAsia" w:eastAsiaTheme="minorEastAsia"/>
          <w:kern w:val="1"/>
          <w:sz w:val="24"/>
          <w:szCs w:val="21"/>
          <w:lang w:val="en-GB"/>
        </w:rPr>
        <w:t>供应商为本项目配备的技术人员具备国家相关部门颁发的在有效期内的资质证书，项目实施过程中保证持证上岗。供应商提供本项目相关技术人员职称、认证资格及参与项目经历。</w:t>
      </w:r>
    </w:p>
    <w:p>
      <w:pPr>
        <w:pStyle w:val="46"/>
        <w:spacing w:line="440" w:lineRule="exact"/>
        <w:ind w:firstLine="480" w:firstLineChars="200"/>
        <w:rPr>
          <w:rFonts w:asciiTheme="minorEastAsia" w:hAnsiTheme="minorEastAsia" w:eastAsiaTheme="minorEastAsia"/>
          <w:kern w:val="1"/>
          <w:sz w:val="24"/>
          <w:szCs w:val="21"/>
          <w:lang w:val="en-GB"/>
        </w:rPr>
      </w:pPr>
      <w:r>
        <w:rPr>
          <w:rFonts w:hint="eastAsia" w:asciiTheme="minorEastAsia" w:hAnsiTheme="minorEastAsia" w:eastAsiaTheme="minorEastAsia"/>
          <w:kern w:val="1"/>
          <w:sz w:val="24"/>
          <w:szCs w:val="21"/>
          <w:lang w:val="en-GB"/>
        </w:rPr>
        <w:t>供应商在响应文件中根据本项目需求提出完整的解决方案，系统的整体框架、功能组成以及主要流程的设计框架。系统开发应具体说明能达到的技术指标。方案应完整详细地列出系统开发任务清单，包括服务内容、所费的时间、投入的人力、需要用户提供的支持与配合等。方案应响应采购人提出的各项技术与业务需求。</w:t>
      </w:r>
    </w:p>
    <w:p>
      <w:pPr>
        <w:pStyle w:val="4"/>
        <w:numPr>
          <w:ilvl w:val="1"/>
          <w:numId w:val="7"/>
        </w:numPr>
        <w:spacing w:before="40" w:after="40" w:line="360" w:lineRule="auto"/>
        <w:rPr>
          <w:rFonts w:ascii="宋体" w:hAnsi="宋体" w:cs="Times New Roman"/>
          <w:sz w:val="28"/>
        </w:rPr>
      </w:pPr>
      <w:r>
        <w:rPr>
          <w:rFonts w:hint="eastAsia" w:ascii="宋体" w:hAnsi="宋体" w:cs="Times New Roman"/>
          <w:sz w:val="28"/>
        </w:rPr>
        <w:t>软件产品必须为正式版本</w:t>
      </w:r>
    </w:p>
    <w:p>
      <w:pPr>
        <w:pStyle w:val="46"/>
        <w:spacing w:line="440" w:lineRule="exact"/>
        <w:ind w:firstLine="480" w:firstLineChars="200"/>
        <w:rPr>
          <w:rFonts w:asciiTheme="minorEastAsia" w:hAnsiTheme="minorEastAsia" w:eastAsiaTheme="minorEastAsia"/>
          <w:kern w:val="1"/>
          <w:sz w:val="24"/>
          <w:szCs w:val="21"/>
          <w:lang w:val="en-GB"/>
        </w:rPr>
      </w:pPr>
      <w:r>
        <w:rPr>
          <w:rFonts w:hint="eastAsia" w:asciiTheme="minorEastAsia" w:hAnsiTheme="minorEastAsia" w:eastAsiaTheme="minorEastAsia"/>
          <w:kern w:val="1"/>
          <w:sz w:val="24"/>
          <w:szCs w:val="21"/>
          <w:lang w:val="en-GB"/>
        </w:rPr>
        <w:t>3.1 供货商提供的软件产品应当具备招标需求书要求约定的功能；如在招标文件其他附件中已指明其他质量或功能要求的，则软件产品还应符合该质量或功能要求。</w:t>
      </w:r>
    </w:p>
    <w:p>
      <w:pPr>
        <w:pStyle w:val="46"/>
        <w:spacing w:line="440" w:lineRule="exact"/>
        <w:ind w:firstLine="480" w:firstLineChars="200"/>
        <w:rPr>
          <w:rFonts w:asciiTheme="minorEastAsia" w:hAnsiTheme="minorEastAsia" w:eastAsiaTheme="minorEastAsia"/>
          <w:kern w:val="1"/>
          <w:sz w:val="24"/>
          <w:szCs w:val="21"/>
          <w:lang w:val="en-GB"/>
        </w:rPr>
      </w:pPr>
      <w:r>
        <w:rPr>
          <w:rFonts w:hint="eastAsia" w:asciiTheme="minorEastAsia" w:hAnsiTheme="minorEastAsia" w:eastAsiaTheme="minorEastAsia"/>
          <w:kern w:val="1"/>
          <w:sz w:val="24"/>
          <w:szCs w:val="21"/>
          <w:lang w:val="en-GB"/>
        </w:rPr>
        <w:t>3.2 供货商保证提供给采购方的软件产品已通过软件产品质量测试和检验，并提供质量合格保证。软件产品内附操作手册，保证软件产品能按照内附操作手册在招标约定的项目中正常运行或使用。</w:t>
      </w:r>
    </w:p>
    <w:p>
      <w:pPr>
        <w:pStyle w:val="46"/>
        <w:spacing w:line="440" w:lineRule="exact"/>
        <w:ind w:firstLine="480" w:firstLineChars="200"/>
      </w:pPr>
      <w:r>
        <w:rPr>
          <w:rFonts w:hint="eastAsia" w:asciiTheme="minorEastAsia" w:hAnsiTheme="minorEastAsia" w:eastAsiaTheme="minorEastAsia"/>
          <w:kern w:val="1"/>
          <w:sz w:val="24"/>
          <w:szCs w:val="21"/>
          <w:lang w:val="en-GB"/>
        </w:rPr>
        <w:t>3.3 供货商保证软件产品不包含任何明显的或主要的缺陷、错误，不包含任何恶意的、破坏性的或可能导致未经授权者侵入、操作、控制计算机或计算机数据的计算机病毒、木马程序、后门程序等程序设计或程序代码。</w:t>
      </w:r>
    </w:p>
    <w:p>
      <w:pPr>
        <w:pStyle w:val="4"/>
        <w:numPr>
          <w:ilvl w:val="1"/>
          <w:numId w:val="7"/>
        </w:numPr>
        <w:spacing w:before="40" w:after="40" w:line="360" w:lineRule="auto"/>
      </w:pPr>
      <w:r>
        <w:rPr>
          <w:rFonts w:hint="eastAsia" w:ascii="宋体" w:hAnsi="宋体" w:cs="Times New Roman"/>
          <w:sz w:val="28"/>
        </w:rPr>
        <w:t>软件产品必须具有完整的技术资料</w:t>
      </w:r>
    </w:p>
    <w:p>
      <w:pPr>
        <w:pStyle w:val="46"/>
        <w:spacing w:line="440" w:lineRule="exact"/>
        <w:ind w:firstLine="480" w:firstLineChars="200"/>
      </w:pPr>
      <w:r>
        <w:rPr>
          <w:rFonts w:hint="eastAsia" w:asciiTheme="minorEastAsia" w:hAnsiTheme="minorEastAsia" w:eastAsiaTheme="minorEastAsia"/>
          <w:kern w:val="1"/>
          <w:sz w:val="24"/>
          <w:szCs w:val="21"/>
          <w:lang w:val="en-GB"/>
        </w:rPr>
        <w:t>按照招标需求书中的要求，对所投产品的名称、主要技术性能指标及其在技术、安全、性能、管理及售后服务等方面情况提供详细的技术文件等相关资料。</w:t>
      </w:r>
    </w:p>
    <w:p>
      <w:pPr>
        <w:pStyle w:val="23"/>
        <w:numPr>
          <w:ilvl w:val="0"/>
          <w:numId w:val="6"/>
        </w:numPr>
        <w:spacing w:before="156" w:after="156"/>
        <w:rPr>
          <w:rFonts w:asciiTheme="minorEastAsia" w:hAnsiTheme="minorEastAsia" w:eastAsiaTheme="minorEastAsia"/>
        </w:rPr>
      </w:pPr>
      <w:r>
        <w:rPr>
          <w:rFonts w:hint="eastAsia" w:asciiTheme="minorEastAsia" w:hAnsiTheme="minorEastAsia" w:eastAsiaTheme="minorEastAsia"/>
        </w:rPr>
        <w:t>功能要求，包括功能说明、功能模块列表等</w:t>
      </w:r>
    </w:p>
    <w:p>
      <w:pPr>
        <w:pStyle w:val="4"/>
        <w:numPr>
          <w:ilvl w:val="1"/>
          <w:numId w:val="8"/>
        </w:numPr>
        <w:spacing w:before="40" w:after="40" w:line="360" w:lineRule="auto"/>
        <w:rPr>
          <w:rFonts w:ascii="宋体" w:hAnsi="宋体" w:cs="Times New Roman"/>
          <w:sz w:val="28"/>
        </w:rPr>
      </w:pPr>
      <w:r>
        <w:rPr>
          <w:rFonts w:ascii="宋体" w:hAnsi="宋体" w:cs="Times New Roman"/>
          <w:sz w:val="28"/>
        </w:rPr>
        <w:t>建设内容</w:t>
      </w:r>
    </w:p>
    <w:tbl>
      <w:tblPr>
        <w:tblW w:w="819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600"/>
        <w:gridCol w:w="2293"/>
        <w:gridCol w:w="2350"/>
        <w:gridCol w:w="2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w:t>
            </w:r>
          </w:p>
        </w:tc>
        <w:tc>
          <w:tcPr>
            <w:tcW w:w="2293"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医生服务平台</w:t>
            </w:r>
          </w:p>
        </w:tc>
        <w:tc>
          <w:tcPr>
            <w:tcW w:w="235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账号管理</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登录账号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我的信息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应用分享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院内通讯录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患者管理</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门诊患者管理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住院患者管理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出院患者管理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关注患者管理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病史信息查阅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备忘记录管理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标签分组管理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典型病例收藏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患者搜索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3</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日程管理</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日程日历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日程分类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添加日程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日程提醒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4</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医学中心</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典型病例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医学公式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医学指南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5</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移动会诊</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新建会诊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参与会诊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会诊讨论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会诊结论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会诊管理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6</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移动随访</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添加患者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患者管理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随访计划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问诊表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患教资料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医患交流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随访记录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就诊记录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群发助手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量表统计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7</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手术管理</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个人手术排班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科室手术排班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手术间排班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手术详细信息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手术提醒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8</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危急值提醒</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危急值提醒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危急值处理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分级响应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9</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陪护证管理</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申请审批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查询证件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注销证件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数据统计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10</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病历质控提醒</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质控消息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消息回执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11</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临床业务审批</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业务审批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12</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在线医嘱</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门诊医嘱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住院医嘱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13</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在线课堂</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在线课堂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14</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临床试验管理系统</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试验预约申请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试验审批管理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基础业务管理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15</w:t>
            </w:r>
          </w:p>
        </w:tc>
        <w:tc>
          <w:tcPr>
            <w:tcW w:w="2293"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运营管理平台</w:t>
            </w:r>
          </w:p>
        </w:tc>
        <w:tc>
          <w:tcPr>
            <w:tcW w:w="235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舆情管理</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就诊评价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16</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投诉建议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系统管理</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系统管理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信息管理</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医院信息配置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17</w:t>
            </w: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数据监控</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统计分析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18</w:t>
            </w:r>
          </w:p>
        </w:tc>
        <w:tc>
          <w:tcPr>
            <w:tcW w:w="2293" w:type="dxa"/>
            <w:vMerge w:val="restart"/>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远程诊疗服务平台</w:t>
            </w:r>
          </w:p>
        </w:tc>
        <w:tc>
          <w:tcPr>
            <w:tcW w:w="235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远程会诊</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新建会诊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nil"/>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信息录入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nil"/>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会诊管理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19</w:t>
            </w:r>
          </w:p>
        </w:tc>
        <w:tc>
          <w:tcPr>
            <w:tcW w:w="2293" w:type="dxa"/>
            <w:vMerge w:val="continue"/>
            <w:tcBorders>
              <w:top w:val="single" w:color="000000" w:sz="4" w:space="0"/>
              <w:left w:val="single" w:color="000000" w:sz="4" w:space="0"/>
              <w:bottom w:val="nil"/>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在线交流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w:t>
            </w:r>
          </w:p>
        </w:tc>
        <w:tc>
          <w:tcPr>
            <w:tcW w:w="2293" w:type="dxa"/>
            <w:vMerge w:val="continue"/>
            <w:tcBorders>
              <w:top w:val="single" w:color="000000" w:sz="4" w:space="0"/>
              <w:left w:val="single" w:color="000000" w:sz="4" w:space="0"/>
              <w:bottom w:val="nil"/>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会诊结论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nil"/>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restart"/>
            <w:tcBorders>
              <w:top w:val="single" w:color="000000" w:sz="4" w:space="0"/>
              <w:left w:val="single" w:color="000000" w:sz="4" w:space="0"/>
              <w:bottom w:val="nil"/>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双向转诊</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转诊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nil"/>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nil"/>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转诊申请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21</w:t>
            </w:r>
          </w:p>
        </w:tc>
        <w:tc>
          <w:tcPr>
            <w:tcW w:w="2293" w:type="dxa"/>
            <w:vMerge w:val="continue"/>
            <w:tcBorders>
              <w:top w:val="single" w:color="000000" w:sz="4" w:space="0"/>
              <w:left w:val="single" w:color="000000" w:sz="4" w:space="0"/>
              <w:bottom w:val="nil"/>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nil"/>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送转管理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22</w:t>
            </w:r>
          </w:p>
        </w:tc>
        <w:tc>
          <w:tcPr>
            <w:tcW w:w="2293" w:type="dxa"/>
            <w:vMerge w:val="continue"/>
            <w:tcBorders>
              <w:top w:val="single" w:color="000000" w:sz="4" w:space="0"/>
              <w:left w:val="single" w:color="000000" w:sz="4" w:space="0"/>
              <w:bottom w:val="nil"/>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nil"/>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接诊管理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nil"/>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nil"/>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数据共享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nil"/>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vMerge w:val="continue"/>
            <w:tcBorders>
              <w:top w:val="single" w:color="000000" w:sz="4" w:space="0"/>
              <w:left w:val="single" w:color="000000" w:sz="4" w:space="0"/>
              <w:bottom w:val="nil"/>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950" w:type="dxa"/>
            <w:tcBorders>
              <w:top w:val="single" w:color="000000" w:sz="4" w:space="0"/>
              <w:left w:val="single" w:color="000000" w:sz="4" w:space="0"/>
              <w:bottom w:val="nil"/>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申请记录查询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23</w:t>
            </w:r>
          </w:p>
        </w:tc>
        <w:tc>
          <w:tcPr>
            <w:tcW w:w="22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官网患者服务</w:t>
            </w: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患者服务</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患者服务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24</w:t>
            </w:r>
          </w:p>
        </w:tc>
        <w:tc>
          <w:tcPr>
            <w:tcW w:w="2293"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移动短信消息平台系统</w:t>
            </w: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消息推送</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消息推送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消息管理</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消息管理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合理用药改造</w:t>
            </w:r>
          </w:p>
        </w:tc>
        <w:tc>
          <w:tcPr>
            <w:tcW w:w="2350" w:type="dxa"/>
            <w:tcBorders>
              <w:top w:val="single" w:color="000000" w:sz="4" w:space="0"/>
              <w:left w:val="single" w:color="000000" w:sz="4" w:space="0"/>
              <w:bottom w:val="nil"/>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合理用药改造</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药品说明书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25</w:t>
            </w:r>
          </w:p>
        </w:tc>
        <w:tc>
          <w:tcPr>
            <w:tcW w:w="2293" w:type="dxa"/>
            <w:vMerge w:val="restart"/>
            <w:tcBorders>
              <w:top w:val="single" w:color="000000" w:sz="4" w:space="0"/>
              <w:left w:val="single" w:color="000000" w:sz="4" w:space="0"/>
              <w:bottom w:val="single" w:color="000000" w:sz="4" w:space="0"/>
              <w:right w:val="nil"/>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智能预问诊</w:t>
            </w: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智能预诊系统</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智能预诊系统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26</w:t>
            </w:r>
          </w:p>
        </w:tc>
        <w:tc>
          <w:tcPr>
            <w:tcW w:w="2293" w:type="dxa"/>
            <w:vMerge w:val="continue"/>
            <w:tcBorders>
              <w:top w:val="single" w:color="000000" w:sz="4" w:space="0"/>
              <w:left w:val="single" w:color="000000" w:sz="4" w:space="0"/>
              <w:bottom w:val="single" w:color="000000" w:sz="4" w:space="0"/>
              <w:right w:val="nil"/>
            </w:tcBorders>
            <w:shd w:val="clear"/>
            <w:vAlign w:val="center"/>
          </w:tcPr>
          <w:p>
            <w:pPr>
              <w:jc w:val="center"/>
              <w:rPr>
                <w:rFonts w:hint="eastAsia" w:ascii="宋体" w:hAnsi="宋体" w:eastAsia="宋体" w:cs="宋体"/>
                <w:i w:val="0"/>
                <w:color w:val="000000"/>
                <w:sz w:val="20"/>
                <w:szCs w:val="20"/>
                <w:u w:val="none"/>
              </w:rPr>
            </w:pP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智能照护系统</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智能照护系统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nil"/>
            </w:tcBorders>
            <w:shd w:val="clear"/>
            <w:vAlign w:val="center"/>
          </w:tcPr>
          <w:p>
            <w:pPr>
              <w:jc w:val="center"/>
              <w:rPr>
                <w:rFonts w:hint="eastAsia" w:ascii="宋体" w:hAnsi="宋体" w:eastAsia="宋体" w:cs="宋体"/>
                <w:i w:val="0"/>
                <w:color w:val="000000"/>
                <w:sz w:val="20"/>
                <w:szCs w:val="20"/>
                <w:u w:val="none"/>
              </w:rPr>
            </w:pP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智能用药助手系统</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智能用药助手系统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vMerge w:val="continue"/>
            <w:tcBorders>
              <w:top w:val="single" w:color="000000" w:sz="4" w:space="0"/>
              <w:left w:val="single" w:color="000000" w:sz="4" w:space="0"/>
              <w:bottom w:val="single" w:color="000000" w:sz="4" w:space="0"/>
              <w:right w:val="nil"/>
            </w:tcBorders>
            <w:shd w:val="clear"/>
            <w:vAlign w:val="center"/>
          </w:tcPr>
          <w:p>
            <w:pPr>
              <w:jc w:val="center"/>
              <w:rPr>
                <w:rFonts w:hint="eastAsia" w:ascii="宋体" w:hAnsi="宋体" w:eastAsia="宋体" w:cs="宋体"/>
                <w:i w:val="0"/>
                <w:color w:val="000000"/>
                <w:sz w:val="20"/>
                <w:szCs w:val="20"/>
                <w:u w:val="none"/>
              </w:rPr>
            </w:pPr>
          </w:p>
        </w:tc>
        <w:tc>
          <w:tcPr>
            <w:tcW w:w="2350"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智能分诊系统</w:t>
            </w:r>
          </w:p>
        </w:tc>
        <w:tc>
          <w:tcPr>
            <w:tcW w:w="2950"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智能分诊系统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27</w:t>
            </w:r>
          </w:p>
        </w:tc>
        <w:tc>
          <w:tcPr>
            <w:tcW w:w="229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智慧服务对接管理</w:t>
            </w:r>
          </w:p>
        </w:tc>
        <w:tc>
          <w:tcPr>
            <w:tcW w:w="2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智慧服务对接管理</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智慧服务对接管理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28</w:t>
            </w:r>
          </w:p>
        </w:tc>
        <w:tc>
          <w:tcPr>
            <w:tcW w:w="229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三级等保测评</w:t>
            </w:r>
          </w:p>
        </w:tc>
        <w:tc>
          <w:tcPr>
            <w:tcW w:w="2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三级等保测评</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三级等保测评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培训服务</w:t>
            </w:r>
          </w:p>
        </w:tc>
        <w:tc>
          <w:tcPr>
            <w:tcW w:w="23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培训服务</w:t>
            </w:r>
          </w:p>
        </w:tc>
        <w:tc>
          <w:tcPr>
            <w:tcW w:w="2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培训服务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color w:val="000000"/>
                <w:sz w:val="20"/>
                <w:szCs w:val="20"/>
                <w:u w:val="none"/>
              </w:rPr>
            </w:pPr>
          </w:p>
        </w:tc>
        <w:tc>
          <w:tcPr>
            <w:tcW w:w="22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自助设备运维管理服务</w:t>
            </w: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自助设备运维管理服务</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自助设备运维管理服务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0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29</w:t>
            </w:r>
          </w:p>
        </w:tc>
        <w:tc>
          <w:tcPr>
            <w:tcW w:w="22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智慧医疗信息系统</w:t>
            </w:r>
          </w:p>
        </w:tc>
        <w:tc>
          <w:tcPr>
            <w:tcW w:w="23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智慧医疗信息系统</w:t>
            </w:r>
          </w:p>
        </w:tc>
        <w:tc>
          <w:tcPr>
            <w:tcW w:w="29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智慧医疗信息系统</w:t>
            </w:r>
          </w:p>
        </w:tc>
      </w:tr>
    </w:tbl>
    <w:p>
      <w:pPr>
        <w:pStyle w:val="5"/>
      </w:pPr>
    </w:p>
    <w:p>
      <w:pPr>
        <w:pStyle w:val="4"/>
        <w:numPr>
          <w:ilvl w:val="1"/>
          <w:numId w:val="8"/>
        </w:numPr>
        <w:spacing w:before="40" w:after="40" w:line="360" w:lineRule="auto"/>
        <w:rPr>
          <w:rFonts w:ascii="宋体" w:hAnsi="宋体" w:cs="Times New Roman"/>
          <w:sz w:val="28"/>
        </w:rPr>
      </w:pPr>
      <w:r>
        <w:rPr>
          <w:rFonts w:hint="eastAsia" w:ascii="宋体" w:hAnsi="宋体" w:cs="Times New Roman"/>
          <w:sz w:val="28"/>
        </w:rPr>
        <w:t>功能要求</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（一）</w:t>
      </w:r>
      <w:r>
        <w:rPr>
          <w:rFonts w:hint="eastAsia" w:asciiTheme="minorEastAsia" w:hAnsiTheme="minorEastAsia" w:eastAsiaTheme="minorEastAsia"/>
          <w:kern w:val="1"/>
          <w:sz w:val="21"/>
          <w:szCs w:val="21"/>
          <w:lang w:val="en-GB"/>
        </w:rPr>
        <w:t>医生服务平台（APP）</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1)账户管理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支持对接院内HIS账号系统，实现统一的账号登录认证。支持强密码策略、修改密码、找回密码等操作。支持通过手势密码快速解锁APP应用。</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支持医生维护个人的简介、擅长信息。查看、分享个人的名片信息，方便患者快速找到医生。</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支持分享掌上医生APP的下载二维码，方便同事间分享下载。查看院内各科室的通讯录，快速拨打联系电话。</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2</w:t>
      </w:r>
      <w:r>
        <w:rPr>
          <w:rFonts w:hint="eastAsia" w:asciiTheme="minorEastAsia" w:hAnsiTheme="minorEastAsia" w:eastAsiaTheme="minorEastAsia"/>
          <w:kern w:val="1"/>
          <w:sz w:val="21"/>
          <w:szCs w:val="21"/>
          <w:lang w:val="en-GB"/>
        </w:rPr>
        <w:t>)患者管理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支持以日历形式查看个人门诊排班的患者预约信息。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支持查看患者基本信息、预约信息、预问诊信息、病史记录等。</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支持查看个人及本科室的在院患者信息。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支持查看患者基本信息、床位信息、医保信息、费用明细、诊断信息、电子病历、护理记录、检查检验报告等信息。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支持支持按入院时间、科室等条件筛选患者记录。</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支持查看个人及本科室出院患者信息。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支持查看患者基本信息、床位信息、医保信息、费用明细、诊断信息、电子病历、护理记录、检查检验报告等信息。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支持按出院时间、科室等条件筛选患者记录。</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支持对重点患者的关注、取消关注处理。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支持查看已关注的患者列表，调阅患者的病史记录。</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支持查看患者姓名、 性别、年龄、职业、家庭住址、电话号码、身份类型、门诊号、住院号、健康档案等基本信息。支持在线拨打患者电话，联系患者。</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支持实时查阅门诊患者、住院患者、出院患者的就诊记录、电子病历、门诊处方、长期医嘱、临时医嘱、检查报告、检验报告、病理报告、手术报告、护理记录全面的诊疗数据。</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实时查阅患者的门诊处方、住院长期医嘱、住院临时医嘱信息。包括医嘱名称、医嘱类型、开立医生、开立时间、用法用量、执行护士、执行时间、执行状态等。支持按医嘱状态的特殊颜色分类，支持展示/隐藏作废医嘱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支持对患者添加文字、图片、语音、视频类型的随诊记录。</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支持上传随诊记录，按日期分组，支持编辑、删除等操作。</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支持患者的标签化管理。对患者进行标记标签、取消标签、查看标签操作。支持标签的新建、修改、删除、查看处理。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支持将患者收藏为典型病例，在医学中心中快速查询和集中展示。</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支持通过门诊号、住院号、时间区间、分组标签、患者姓名等条件快速搜索患者。</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3</w:t>
      </w:r>
      <w:r>
        <w:rPr>
          <w:rFonts w:hint="eastAsia" w:asciiTheme="minorEastAsia" w:hAnsiTheme="minorEastAsia" w:eastAsiaTheme="minorEastAsia"/>
          <w:kern w:val="1"/>
          <w:sz w:val="21"/>
          <w:szCs w:val="21"/>
          <w:lang w:val="en-GB"/>
        </w:rPr>
        <w:t>)日程管理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支持以周日历、月日历的形式展示日程概要、日程详细信息。对接门诊排班、手术排班、云诊室排班、手机系统日历渠道，集中展示个人的日程信息。通过日程详细信息，可快速进入相应的业务模块。</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支持手动添加个人日程信息，包括提醒内容、时间、地点、提醒时机、备注。自动生成提醒计划，系统可定时推送提醒消息。</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4</w:t>
      </w:r>
      <w:r>
        <w:rPr>
          <w:rFonts w:hint="eastAsia" w:asciiTheme="minorEastAsia" w:hAnsiTheme="minorEastAsia" w:eastAsiaTheme="minorEastAsia"/>
          <w:kern w:val="1"/>
          <w:sz w:val="21"/>
          <w:szCs w:val="21"/>
          <w:lang w:val="en-GB"/>
        </w:rPr>
        <w:t>)医学中心</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典型病例管理，查看已收藏的典型病例信息，取消典型收藏。</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常用的医学计算器。包括单位换算、输液速度、胰岛素初始计量、肌酐清除率、渗透溶质清除率公式。</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各学科的学习、分享论坛。支持指南文献的上传分享、下载保存、点赞、评论。</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5</w:t>
      </w:r>
      <w:r>
        <w:rPr>
          <w:rFonts w:hint="eastAsia" w:asciiTheme="minorEastAsia" w:hAnsiTheme="minorEastAsia" w:eastAsiaTheme="minorEastAsia"/>
          <w:kern w:val="1"/>
          <w:sz w:val="21"/>
          <w:szCs w:val="21"/>
          <w:lang w:val="en-GB"/>
        </w:rPr>
        <w:t>)移动会诊</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支持在线发起会诊申请，填写会诊理由、邀请会诊专家、授权患者的病历信息。系统自动发送会诊邀请的提醒消息，参与专家可快速进入会诊室。</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支持加入会诊室后，医生可在线浏览会诊信息（会诊理由、参与者、已授权的病历信息），医生之间可通过文字、语音、图片方式在线交流讨论。</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支持受邀专家可随时提交会诊结论。参与专家可查看本人提交的结论，发起者可查看全部结论。会诊发起者，可管理会诊信息。参与医生管理、病历授权管理、关闭会诊。</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6</w:t>
      </w:r>
      <w:r>
        <w:rPr>
          <w:rFonts w:hint="eastAsia" w:asciiTheme="minorEastAsia" w:hAnsiTheme="minorEastAsia" w:eastAsiaTheme="minorEastAsia"/>
          <w:kern w:val="1"/>
          <w:sz w:val="21"/>
          <w:szCs w:val="21"/>
          <w:lang w:val="en-GB"/>
        </w:rPr>
        <w:t>)移动随访</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基本信息设置：用户账号、密码用户类别、身份证号、手机号、性别、出生日期、科室、职称、类别的设置；</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权限信息设置：用户角色、全息档案试视图设置、数据查看权限设置、计划查看权限设置等角色管理。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支持对接院内系统，按照门诊、住院、在院分类查询患者信息。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支持门诊患者基于就诊信息（患者姓名、门诊号、就诊日期、就诊科室、就诊医生、疾病诊断）等条件筛选和检索。</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支持在院患者基于在院信息（患者姓名、住院号、入院日期、入院科室、入院病区、入院诊断）等条件进行患者筛选和检索。</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支持出院患者基于出院信息（患者姓名、住院号、出院日期、出院科室、出院病区、出院诊断）等条件进行患者筛选和检索。</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支持查询患者的基本信息和就诊相关信息。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支持向特定患者手动加入随访计划，发送随访消息。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支持对接院内系统，查询患者院内就诊的病史信息。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支持查看患者个人信息，包括姓名、性别、年龄、电话、家庭住址、联系人等基本信息；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支持查看历次门诊诊疗信息，包括就诊记录、门诊诊断、检验报告、检查报告、医嘱信息、病历文书等，按照时间顺序对历次门诊诊疗记录进行排列，同时可查看门诊就诊次数。</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支持查看历次住院诊疗记录，包括出院记录、出院诊断、检验报告、检查报告、医嘱信息、病历文书等，按照时间顺序对历次住院诊疗记录进行排列，同时可查看住院次数。</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建立科室随访计划。制定随访计划基本信息（计划名称、随访人员、随访时间等），设置随访规则（患者来源、院区、科室、病区、医生、疾病诊断、手术方案、治疗方案），设置随访任务（普通随访、定时随访、发送时间、任务类型、提醒内容、随访表单、宣教资料）。</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支持按照随访计划设置的随访规则条件，每天定时自动从院内系统抽取符合的患者，自动入组，自动启动随访计划。</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支持随访计划的新增、停止、编辑、启动等功能。</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支持实时或按随访计划设置时间，自动推送提醒消息、随访表单、宣教资料。</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支持微信渠道开展随访，发送微信随访提醒通知，推送随访问卷到微信公众号，患者可在手机端接收并填写。</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支持短信渠道开展随访，发送随访提醒短信到患者手机端，患者在手机端填写并提交随访问卷。</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支持查询随访计划详细，直观展现患者的随访情况，例如是否回复，是否异常等； 患者回复无异常情况，支持随访任务自动完成。</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支持随访结果异常情况的预警和管理。患者回复有异常情况下，系统自动生成提醒内容并通知随访人员（短信）。</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支持每天定时向随访人员发送前一日随访执行结果情况，包括随访记录情况。</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支持查询患者的历次随访记录、表单记录、宣教记录、提醒记录。支持电话随访后，人工填写随访表单。</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支持查询患者院内病史记录。包括门诊、住院、医嘱、病历、报告等诊疗信息。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支持按科室、随访人员分别的工作量统计功能，包括随访量、随访率、失访率等统计指标，支持报表下载、导出。</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支持按随访表单统计使用量情况。查询科室使用排名、医生使用排名。</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支持按宣教材料统计使用量情况。查询科室使用排名、医生使用排名。</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支持表单库、宣教库、短信库的查询、新建、编辑、删除等管理功能。表单题型至少包括：单项填空题、下拉选择题、单选题、多选题。</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7</w:t>
      </w:r>
      <w:r>
        <w:rPr>
          <w:rFonts w:hint="eastAsia" w:asciiTheme="minorEastAsia" w:hAnsiTheme="minorEastAsia" w:eastAsiaTheme="minorEastAsia"/>
          <w:kern w:val="1"/>
          <w:sz w:val="21"/>
          <w:szCs w:val="21"/>
          <w:lang w:val="en-GB"/>
        </w:rPr>
        <w:t>)手术管理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接院内手麻系统，实现手麻信息的实时同步。手术参与者（手术医生、手术助手、麻醉医生、手术护士等）可实时在线查看个人、科室、手术间的排班和手术详细过程（手术事件）。手术开始前可向相关参与者发送提醒通知。</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8</w:t>
      </w:r>
      <w:r>
        <w:rPr>
          <w:rFonts w:hint="eastAsia" w:asciiTheme="minorEastAsia" w:hAnsiTheme="minorEastAsia" w:eastAsiaTheme="minorEastAsia"/>
          <w:kern w:val="1"/>
          <w:sz w:val="21"/>
          <w:szCs w:val="21"/>
          <w:lang w:val="en-GB"/>
        </w:rPr>
        <w:t>)危急值管理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支持对接LIS、PACS系统，实时推送危急值信息；临床医生及时接收提醒并可直接在线处置；支持多级响应机制，长时间未处置的危急值，自动向上级报告，确保危机值得以有效处置。</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9</w:t>
      </w:r>
      <w:r>
        <w:rPr>
          <w:rFonts w:hint="eastAsia" w:asciiTheme="minorEastAsia" w:hAnsiTheme="minorEastAsia" w:eastAsiaTheme="minorEastAsia"/>
          <w:kern w:val="1"/>
          <w:sz w:val="21"/>
          <w:szCs w:val="21"/>
          <w:lang w:val="en-GB"/>
        </w:rPr>
        <w:t>)陪护证管理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查阅陪护人提交的电子陪护证的申请信息，支持审核通过和拒绝驳回。审核通过后，系统自动生成电子陪护证。审核结果，系统自动向申请者发送通知。</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支持通过陪护人姓名、住院号关键字，实时查询电子陪护证信息。支持查询历史办理的电子陪护证信息。支持人工注销电子陪护证。</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支持实时监控统计病区、全院的待审批、已审批、已注销的陪护证报表信息。</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10</w:t>
      </w:r>
      <w:r>
        <w:rPr>
          <w:rFonts w:hint="eastAsia" w:asciiTheme="minorEastAsia" w:hAnsiTheme="minorEastAsia" w:eastAsiaTheme="minorEastAsia"/>
          <w:kern w:val="1"/>
          <w:sz w:val="21"/>
          <w:szCs w:val="21"/>
          <w:lang w:val="en-GB"/>
        </w:rPr>
        <w:t>)病历质控提醒</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支持对接院内病历质控系统，实时向主治医生发送病历质控消息、质控通知提醒。</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支持提醒消息的已读回执。</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11</w:t>
      </w:r>
      <w:r>
        <w:rPr>
          <w:rFonts w:hint="eastAsia" w:asciiTheme="minorEastAsia" w:hAnsiTheme="minorEastAsia" w:eastAsiaTheme="minorEastAsia"/>
          <w:kern w:val="1"/>
          <w:sz w:val="21"/>
          <w:szCs w:val="21"/>
          <w:lang w:val="en-GB"/>
        </w:rPr>
        <w:t>)临床业务审批</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支持抗菌药审批、用血审批、病历审批等。</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w:t>
      </w:r>
      <w:r>
        <w:rPr>
          <w:rFonts w:asciiTheme="minorEastAsia" w:hAnsiTheme="minorEastAsia" w:eastAsiaTheme="minorEastAsia"/>
          <w:kern w:val="1"/>
          <w:sz w:val="21"/>
          <w:szCs w:val="21"/>
          <w:lang w:val="en-GB"/>
        </w:rPr>
        <w:t>2</w:t>
      </w:r>
      <w:r>
        <w:rPr>
          <w:rFonts w:hint="eastAsia" w:asciiTheme="minorEastAsia" w:hAnsiTheme="minorEastAsia" w:eastAsiaTheme="minorEastAsia"/>
          <w:kern w:val="1"/>
          <w:sz w:val="21"/>
          <w:szCs w:val="21"/>
          <w:lang w:val="en-GB"/>
        </w:rPr>
        <w:t>)在线医嘱</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支持面向本人的门诊患者，支持在线开立限定的门诊医嘱组套（检查检验、药品）</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支持面向本人的住院患者，支持在线开立限定的检查检验组套、临时药品处方。</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13)在线课堂</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教学管理：课程管理、课程运维、培训班管理、学员管理、组织管理、消息互动管理、基础报表、定制报表、学员听课统计、 权限管理、日志管理、通知管理。</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在线考试：试题管理、试卷管理、考试规则管理、成绩管理、考试档案管理、考试分析。</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应用终端：PC端、移动端培训、考试系统。</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培训学习：学习计划提醒、我的课程、我的培训班、我的消息、我的订单、问题反馈、设置、安全和隐私。</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我的考试、我的错题集。</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14)临床试验管理</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（1）试验预约申请</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支持在线查阅院内所有GCP招募项目的详细信息。</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支持按科室、适应症等维度进行分类筛选和查询。</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支持查看项目详情，包括项目介绍、详细入排标准（招募标准）、主要研究者（主研医生）信息等。</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支持患者在线填写并提交项目报名申请表。</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支持上传个人基本信息和相关病历资料以完成申请。</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支持患者实时查看所提交项目的申请进度及当前审核状态。</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支持通过微信消息推送等方式，自动、及时地向患者通知项目申请结果（如通过、未通过、需补充材料）以及对其咨询问题的回复结果。</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对于指定项目（如热门或重点招募项目），支持患者在线提交与该试验相关的咨询问题。</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支持患者查询个人历史及当前的所有项目申请记录。</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支持对处于“审核中”状态的申请记录进行在线撤回操作。</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支持接收并查看系统推送的临床试验相关宣教内容。</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（2）试验审批管理</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支持医生在线审核报名患者的申请信息。</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支持医生直接关联并查看报名患者的院内电子病历信息（需具备权限及系统对接）。</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支持医生为报名患者标记自定义分类标签，便于进行分组管理和筛选。</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支持医生查看报名患者针对项目提交的咨询问题。</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支持医生在线回复患者咨询（可选择私密回复或公开）。</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支持医生将具有普遍性的问题及回复设置为“精选问答”，并向参与该项目的所有患者公开展示。</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支持医生按项目、患者标签、特定患者等多种维度，精准筛选目标人群并推送相关宣教内容。</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（3）基础业务管理</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支持运营管理人员通过后台发布、编辑和管理GCP招募项目信息。</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支持运营管理人员集中查看所有报名患者的申请资料。</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支持运营管理人员对患者报名申请进行审核操作（或协助医生进行初步审核/管理）。</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支持运营管理人员查看患者提交的咨询信息。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支持运营管理人员对咨询信息进行在线回复（或协助医生进行回复管理）。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（二）运营管理平台</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1)舆情管理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查询患者的投诉建议。支持在线回复患者反馈信息，支持屏蔽恶意投诉。</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查询患者的就诊评价信息。支持屏蔽不合规、恶意差评的评价记录。</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2</w:t>
      </w:r>
      <w:r>
        <w:rPr>
          <w:rFonts w:hint="eastAsia" w:asciiTheme="minorEastAsia" w:hAnsiTheme="minorEastAsia" w:eastAsiaTheme="minorEastAsia"/>
          <w:kern w:val="1"/>
          <w:sz w:val="21"/>
          <w:szCs w:val="21"/>
          <w:lang w:val="en-GB"/>
        </w:rPr>
        <w:t>)系统管理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系统用户管理、角色管理、菜单管理、日志管理。</w:t>
      </w:r>
    </w:p>
    <w:p>
      <w:pPr>
        <w:pStyle w:val="46"/>
        <w:spacing w:line="440" w:lineRule="exact"/>
        <w:ind w:firstLine="420" w:firstLineChars="200"/>
        <w:rPr>
          <w:rFonts w:asciiTheme="minorEastAsia" w:hAnsiTheme="minorEastAsia" w:eastAsiaTheme="minorEastAsia"/>
          <w:kern w:val="1"/>
          <w:sz w:val="21"/>
          <w:szCs w:val="21"/>
          <w:lang w:val="en-GB"/>
        </w:rPr>
      </w:pPr>
      <w:bookmarkStart w:id="0" w:name="_Toc81991375"/>
      <w:r>
        <w:rPr>
          <w:rFonts w:asciiTheme="minorEastAsia" w:hAnsiTheme="minorEastAsia" w:eastAsiaTheme="minorEastAsia"/>
          <w:kern w:val="1"/>
          <w:sz w:val="21"/>
          <w:szCs w:val="21"/>
          <w:lang w:val="en-GB"/>
        </w:rPr>
        <w:t>3</w:t>
      </w:r>
      <w:r>
        <w:rPr>
          <w:rFonts w:hint="eastAsia" w:asciiTheme="minorEastAsia" w:hAnsiTheme="minorEastAsia" w:eastAsiaTheme="minorEastAsia"/>
          <w:kern w:val="1"/>
          <w:sz w:val="21"/>
          <w:szCs w:val="21"/>
          <w:lang w:val="en-GB"/>
        </w:rPr>
        <w:t>)信息管理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系统基础信息、科室信息、医生信息、院内连接、公告信息、功能菜单、须知提示等内容的配置管理。</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4</w:t>
      </w:r>
      <w:r>
        <w:rPr>
          <w:rFonts w:hint="eastAsia" w:asciiTheme="minorEastAsia" w:hAnsiTheme="minorEastAsia" w:eastAsiaTheme="minorEastAsia"/>
          <w:kern w:val="1"/>
          <w:sz w:val="21"/>
          <w:szCs w:val="21"/>
          <w:lang w:val="en-GB"/>
        </w:rPr>
        <w:t>)</w:t>
      </w:r>
      <w:bookmarkEnd w:id="0"/>
      <w:r>
        <w:rPr>
          <w:rFonts w:hint="eastAsia" w:asciiTheme="minorEastAsia" w:hAnsiTheme="minorEastAsia" w:eastAsiaTheme="minorEastAsia"/>
          <w:kern w:val="1"/>
          <w:sz w:val="21"/>
          <w:szCs w:val="21"/>
          <w:lang w:val="en-GB"/>
        </w:rPr>
        <w:t>数据监控</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智慧服务线上业务的运营数据监控。包括注册用户、预约挂号、门诊交费、医保支付、住院交费、自助入院、自助出院、病案复印、电子陪护、核酸预约、体检预约、检查预约的使用量统计。</w:t>
      </w:r>
    </w:p>
    <w:p>
      <w:pPr>
        <w:pStyle w:val="46"/>
        <w:spacing w:line="440" w:lineRule="exact"/>
        <w:ind w:firstLine="420" w:firstLineChars="200"/>
        <w:rPr>
          <w:rFonts w:asciiTheme="minorEastAsia" w:hAnsiTheme="minorEastAsia" w:eastAsiaTheme="minorEastAsia"/>
          <w:kern w:val="1"/>
          <w:sz w:val="21"/>
          <w:szCs w:val="21"/>
          <w:lang w:val="en-GB"/>
        </w:rPr>
      </w:pP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（三）远程诊疗服务平台</w:t>
      </w:r>
    </w:p>
    <w:p>
      <w:pPr>
        <w:pStyle w:val="46"/>
        <w:spacing w:line="440" w:lineRule="exact"/>
        <w:ind w:firstLine="420" w:firstLineChars="200"/>
        <w:rPr>
          <w:rFonts w:asciiTheme="minorEastAsia" w:hAnsiTheme="minorEastAsia" w:eastAsiaTheme="minorEastAsia"/>
          <w:kern w:val="1"/>
          <w:sz w:val="21"/>
          <w:szCs w:val="21"/>
          <w:lang w:val="en-GB"/>
        </w:rPr>
      </w:pPr>
      <w:bookmarkStart w:id="1" w:name="_Toc105090555"/>
      <w:r>
        <w:rPr>
          <w:rFonts w:asciiTheme="minorEastAsia" w:hAnsiTheme="minorEastAsia" w:eastAsiaTheme="minorEastAsia"/>
          <w:kern w:val="1"/>
          <w:sz w:val="21"/>
          <w:szCs w:val="21"/>
          <w:lang w:val="en-GB"/>
        </w:rPr>
        <w:t>1</w:t>
      </w:r>
      <w:r>
        <w:rPr>
          <w:rFonts w:hint="eastAsia" w:asciiTheme="minorEastAsia" w:hAnsiTheme="minorEastAsia" w:eastAsiaTheme="minorEastAsia"/>
          <w:kern w:val="1"/>
          <w:sz w:val="21"/>
          <w:szCs w:val="21"/>
          <w:lang w:val="en-GB"/>
        </w:rPr>
        <w:t>)远程会诊</w:t>
      </w:r>
      <w:bookmarkEnd w:id="1"/>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支持新建会诊功能。申请医院可在线发起会诊申请，对于不符合会诊单录入信息要求的内容进行提示；申请成功后，支持向会诊关联人员发送会诊通知和时间提醒（短信，APP推送通知）</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支持录入患者信息可包含患者姓名、主诉、初步诊断、病史及检查信息，会诊信息可包含会诊类别、邀请专家、患者来源、会诊目的等信息，并支持上传会诊资料；</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通过患者姓名、申请单位、申请日期、会诊日期、会诊状态等进行会诊查询与搜索，查看会诊申请信息、会诊资料、会诊执行状态和会诊安排等信息；支持修改会诊申请信息、增加或删除会诊资料；支持专家个人审批会诊申请、机构统一审批会诊申请；</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支持医生之间通过视频、音频以及图文的形式进行会诊，视频、会诊资料支持浮窗分屏显示。</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支持在线提交会诊结论，会诊发起者可查看完整的会诊结论信息。</w:t>
      </w:r>
    </w:p>
    <w:p>
      <w:pPr>
        <w:pStyle w:val="46"/>
        <w:spacing w:line="440" w:lineRule="exact"/>
        <w:ind w:firstLine="420" w:firstLineChars="200"/>
        <w:rPr>
          <w:rFonts w:asciiTheme="minorEastAsia" w:hAnsiTheme="minorEastAsia" w:eastAsiaTheme="minorEastAsia"/>
          <w:kern w:val="1"/>
          <w:sz w:val="21"/>
          <w:szCs w:val="21"/>
          <w:lang w:val="en-GB"/>
        </w:rPr>
      </w:pPr>
      <w:bookmarkStart w:id="2" w:name="_Toc105090556"/>
      <w:r>
        <w:rPr>
          <w:rFonts w:asciiTheme="minorEastAsia" w:hAnsiTheme="minorEastAsia" w:eastAsiaTheme="minorEastAsia"/>
          <w:kern w:val="1"/>
          <w:sz w:val="21"/>
          <w:szCs w:val="21"/>
          <w:lang w:val="en-GB"/>
        </w:rPr>
        <w:t>2</w:t>
      </w:r>
      <w:r>
        <w:rPr>
          <w:rFonts w:hint="eastAsia" w:asciiTheme="minorEastAsia" w:hAnsiTheme="minorEastAsia" w:eastAsiaTheme="minorEastAsia"/>
          <w:kern w:val="1"/>
          <w:sz w:val="21"/>
          <w:szCs w:val="21"/>
          <w:lang w:val="en-GB"/>
        </w:rPr>
        <w:t>)双向转诊</w:t>
      </w:r>
      <w:bookmarkEnd w:id="2"/>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支持对各类转诊医疗机构、转诊相关人员进行管理登记。配置账号、权限等信息。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支持转诊申请单填写、转诊申请的提交与修改、接诊机构查询、转诊申请的查询等功能。</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转诊申请单包括患者的基本信息、病情、病史、诊断、用药信息、检查检验信息、电子病历等。支持申请信息的拍照上传。</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转诊申请提交后会向转诊关联人员发送转诊通知（短信、APP推送通知）。</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支持转诊单审核之前，送转方可进行取消送转、打印转诊单、重新转出操作。</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支持接诊方进行接诊或拒绝接诊操作。具备转诊过程管理、病例资料管理、转诊过程提醒、转诊记录查询等功能；</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支持上级医院出院患者转诊到下级医院时，向转入医院授权调阅患者诊疗信息。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支持下级医院向上转诊时，上传患者诊疗信息（医嘱、病历、报告等），上级医院可实时调阅查看。</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支持通过进度状态，申请医院、转入医院，申请时间，患者姓名等维度查询转诊单列表并转诊详情查看。</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（四）官网患者服务</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Web版患者服务系统，集成嵌入官网系统。支持患者注册建档、预约挂号、候诊查询、满意度调查、投诉意见反馈、药品清单查询、随访问卷填写等功能。</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（五）移动消息平台</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覆盖患者诊前、诊中和诊后全程的患者消息中心，进行完整的指引，做到患者应知尽知。包含就诊前挂号消息通知、诊前检查检验须知、入院及宣教提醒、手术安排通知、出院及术后指导提醒、检验检查报告提醒、开具电子发票成功提醒，诊后用药等遵医嘱消息通知及随访通知等精准性、个性化消息，用于加强患者离院后诊疗依从性指引和管</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支持对接院内业务系统，将院内临床业务相关的消息（危急值、病历质控、医嘱、会诊等），发送至患者移动应用终端（医生APP、短信）</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支持系统商户管理、消息配置管理、模板配置管理、推送规则配置、消息订阅管理等基础管理。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消息记录的实时查询，包括消息来源、接收方、发送方、发送时间、发送状态、消息类型、发送类型等；</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支持按发送方、接收方、发送时间、发送类型、发送状态等多维度的消息统计报表。</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支持手动向指定的注册患者、门诊患者、住院患者等患者群体，发送微信模板消息、短信消息等。</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（六）合理用药改造</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支持提供电子版药品说明书。</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（七）智能预问诊</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1</w:t>
      </w:r>
      <w:r>
        <w:rPr>
          <w:rFonts w:hint="eastAsia" w:asciiTheme="minorEastAsia" w:hAnsiTheme="minorEastAsia" w:eastAsiaTheme="minorEastAsia"/>
          <w:kern w:val="1"/>
          <w:sz w:val="21"/>
          <w:szCs w:val="21"/>
          <w:lang w:val="en-GB"/>
        </w:rPr>
        <w:t>)智能预诊系统</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基于医学知识图谱，根据患者的回答，实时推理计算患者病情，结合问诊状态转移图，确定下一步对话状态，结合对话生成技术，动态生成下一个问题。</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在通过对话交互完成信息采集后，智能预问诊系统会自动生成符合医生通用书写习惯标准的预问诊报告。包括主诉、现病史（症状的属性及伴随症状）、既往史（用药史、过敏史）、家族史、个人史；医生确认无误后可以直接写入电子病历系统(需相关产商配合完成)。患者在完成交互流程后也可以看到整个报告，让患者提前对自己的病情有个全面了解。</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以时间轴的形式展示患者症状出现的先后顺序，方便医生分析患者病情的发展，为明确诊断做参考。</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以时间轴的形式展示患者诊断和治疗情况，方便医生分析患者病情的进展和转归，为下一步诊疗做参考。</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结构化展示病情相特征，包括患者已有的症状、追问的症状、否定的症状、症状变化、一般状况、病史、过敏史等信息，并对症状的紧急严重情况进行评估，通过可视化展示，方便医生关注重点信息。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问诊系统基于院内微信平台建设预问诊系统，患者在排队候诊时或者网上预约挂号后，将会引导患者在预问诊系统回答相关问询信息，并形成相关报告。</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预问诊知识库各医院结合各专科特色形成科室级预问诊知识库系统，基于知识规则，支撑预问诊系统的有效进行，支持报告结果的自动生成。</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接口完成互联网端预问诊系统与挂号系统、门诊病历、互联网等系统的对接工作，满足数据交换要求。</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门诊医生站预问诊系统（医生 PC端）预问诊报告展示诊前采集病史、诊中自动匹配到医院的门诊病历系统，方便医生查看。</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门诊病历自动生成患者诊前预问诊报告同步至门诊病历中，根据患者的描述自动生成门诊病历，并实现信息的自动录入。</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接口完成门诊结构化病历与预问诊系统的接口对接，满足交换要求。</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预问诊分析系统预问诊数据分析统计预问诊的使用人次、使用率、监控不同科室的运营数据情况，促进预问诊的持续改进与推进。</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接口完成预问诊及病历的统计指标维护及制定工作。</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门诊病历问诊提示系统（医生 PC端）问诊提示根据患者的最终诊断推算出问诊提示和诊疗建议供医师参考。</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接口完成门诊病历及预问诊系统的对接工作，满足数据交换要求。</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2) 智能照护系统</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 线上预约</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预约入口：患者可通过医院官网、微信公众号、小程序等进入陪诊预约页面。</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预约信息填写：患者需填写基本信息，包括姓名、联系电话、预约日期、紧急联系人等。</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家属信息：包括家属姓名、联系电话等。</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陪诊工具：可选择轮椅、平车等相关工具。</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预约确认：患者确认预约信息后，系统生成预约订单，并发送确认短信。</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2 陪诊分析与分配</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患者需求分析：系统根据患者的预约信息、就诊科室、医生建议等，评估患者的陪诊需求。</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陪诊人员分配：系统根据陪诊人员的专长、可用时间、患者评分等信息，分配最合适的陪诊人员。</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分配结果通知：分配完成后，系统通过短信或推送通知患者陪诊人员信息。</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3 预约状态管理</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预约状态更新：系统支持预约状态的实时更新，包括“待确认”“已确认”“已完成”“已取消”等状态。</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预约修改与取消：患者可在规定时间内修改或取消预约，系统自动同步更新陪诊人员的日程安排。</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4 推送治疗信息</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家属通知：系统可将患者的预约信息实时推送给患者指定的家属，确保家属了解预约状态。</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5 预约状态提醒</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预约成功通知：患者预约成功后，系统通过短信或推送通知患者和家属。</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预约提醒：预约时间临近时，系统发送提醒通知患者和陪诊人员。</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预约修改通知：预约信息发生变动时，系统实时通知相关方。</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6 支付状态提醒</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支付成功通知：支付完成后，系统发送支付成功的短信或邮件。</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支付失败提醒：支付失败时，系统提醒患者检查支付方式或重新支付。</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退款通知：退款处理完成后，系统通知患者退款结果。</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7 服务状态提醒</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服务开始提醒：陪诊服务开始时，系统提醒患者和陪诊人员。</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服务结束提醒：陪诊服务结束后，系统提醒患者评价服务。</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服务延迟提醒：因特殊情况导致服务延迟，系统及时通知患者和家属。</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3</w:t>
      </w:r>
      <w:r>
        <w:rPr>
          <w:rFonts w:hint="eastAsia" w:asciiTheme="minorEastAsia" w:hAnsiTheme="minorEastAsia" w:eastAsiaTheme="minorEastAsia"/>
          <w:kern w:val="1"/>
          <w:sz w:val="21"/>
          <w:szCs w:val="21"/>
          <w:lang w:val="en-GB"/>
        </w:rPr>
        <w:t>)智能用药助手</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支持与HIS进行接口对接，展示原始处方医嘱中医生开具的用药剂量、频次、用法。</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支持医嘱中单次剂量若以g/mg/ug/ml等单位表示，指导报告会自动将其转换成患者容易理解的单位，如：1片/1粒/1支等。</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支持针对部分药品，为患者推荐最佳给药时间（如：餐前、餐后、睡前、早中晚），补充医生医嘱遗漏部分。</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支持根据药品特性推送不同用水量知识（如：阿仑膦酸钠片：必须用175～250ml白开水送服。甲磺酸伊马替尼胶囊：为使胃肠道紊乱的风险降到最小，需要用一大杯水送服，建议500ml。）。</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支持根据药品剂型不同展示不同的用药方法（如：颗粒剂用温开水冲服，外用乳膏剂使用前先清洁皮肤，揩干后再均匀的涂抹于患处等）。</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支持特殊剂型或药品展示详细用药方法（如：使用滴眼液需头后仰，眼向上望，下拉下眼睑，滴入结膜内，轻轻闭眼并转动眼球）。</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支持针对多种药物不能同一时间用药而是需间隔一段时间再用的情况，提醒患者药物合用时需间隔的时长。</w:t>
      </w:r>
    </w:p>
    <w:p>
      <w:pPr>
        <w:pStyle w:val="46"/>
        <w:spacing w:line="440" w:lineRule="exact"/>
        <w:ind w:firstLine="420" w:firstLineChars="200"/>
        <w:rPr>
          <w:rFonts w:hint="eastAsia"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支持以标签的形式展示药品服用期间应注意的事项和内容（如：饮食禁忌、漏服处理、使用前需注意、饮食建议、定期检查）。</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支持高亮提醒重点注意事项内容。</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支持医院添加自定义提醒内容。</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支持告知患者某些药品停药时的注意事项。</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支持告知患者在用药过程中出现哪些情况需要停药。</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支持以标签的形式展示药品不良反应内容。</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支持展示药品不良反应相应的处理策略。</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支持医院添加自定义不良反应内容。</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支持以标签的形式展示药品的禁用情况。</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支持以标签的形式展示药品的慎用情况。</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支持用药视频指导（如：沙美特罗替卡松粉吸入剂的使用视频）。</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支持展示用药患教知识（如：饭前、饭后、空腹具体指的是什么时间？）。</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支持展示特殊人群常见的用药知识（如：哪些药品不适合老人吃？）。</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支持以文字形式展示疾病介绍、预防、生活护理、饮食护理等知识。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支持疾病详情知识覆盖超过5千病种。</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支持展示患者当次所用药品的电子版说明书。</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支持以批准文号为单位的电子版药品说明书数量超过7万。</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支持针对视力不好或者个别不识字的患者设计有语音播放功能，播报如何用药部分的知识。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支持针对老年患者设计有根据年龄自动放大字体的功能。</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支持针对视力不好的其他患者设计有手动放大字体的功能。</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支持在报告中显示患者的年龄、性别、临床诊断信息，需要HIS或EMR提供接口。</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支持对患者姓名，身份证号等信息进行脱敏处理，其余信息并进行加密传输。</w:t>
      </w:r>
    </w:p>
    <w:p>
      <w:pPr>
        <w:pStyle w:val="46"/>
        <w:spacing w:line="440" w:lineRule="exact"/>
        <w:ind w:firstLine="420" w:firstLineChars="200"/>
        <w:rPr>
          <w:rFonts w:asciiTheme="minorEastAsia" w:hAnsiTheme="minorEastAsia" w:eastAsiaTheme="minorEastAsia"/>
          <w:kern w:val="1"/>
          <w:sz w:val="21"/>
          <w:szCs w:val="21"/>
          <w:lang w:val="en-GB"/>
        </w:rPr>
      </w:pPr>
      <w:r>
        <w:rPr>
          <w:rFonts w:asciiTheme="minorEastAsia" w:hAnsiTheme="minorEastAsia" w:eastAsiaTheme="minorEastAsia"/>
          <w:kern w:val="1"/>
          <w:sz w:val="21"/>
          <w:szCs w:val="21"/>
          <w:lang w:val="en-GB"/>
        </w:rPr>
        <w:t>4</w:t>
      </w:r>
      <w:r>
        <w:rPr>
          <w:rFonts w:hint="eastAsia" w:asciiTheme="minorEastAsia" w:hAnsiTheme="minorEastAsia" w:eastAsiaTheme="minorEastAsia"/>
          <w:kern w:val="1"/>
          <w:sz w:val="21"/>
          <w:szCs w:val="21"/>
          <w:lang w:val="en-GB"/>
        </w:rPr>
        <w:t>)智能分诊系统</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基于医疗知识图谱的延伸应用。具有诊断准确，交互友好等功能特点。考虑到该功能的使用人群是缺乏医学知识的普通人群，智能导诊实现了将患者非理性的，个性化的，发散式的描述与医学专业术语的对照。</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对话式询问患者症状。自然语言处理成医学语言。例：胳膊抬不起来-上肢乏力。</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动态计算生成问题。根据患者的疾病情况，动态计算后自动生成下一个问题。</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基于概率输出诊断。根据多层贝叶斯网络模型，输出基于概率的诊断。</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基于诊断对应科室。根据疾病诊断，输出患者当前症状情况下可以挂号的科室。</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匹配医院科室。上述科室可以对应到具体医院的具体科室。</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根据患者症状描述推荐挂号科室，并可展示相应的医疗信息，如科室介绍，专家介绍，门诊安排，就诊需知等。</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以系统性疾病为主体，告知患者应该挂号就诊的科室（例如胃炎、肠炎都应该挂号消化内科）。</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（八）智慧服务对接管理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智慧服务建设内容相关的系统适应性开发、改造。</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（九）三级等保测评</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智慧服务系统三级等保测评。</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（十）培训服务</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智慧服务系统的整体技术、业务培训、</w:t>
      </w:r>
      <w:r>
        <w:rPr>
          <w:rFonts w:hint="eastAsia" w:asciiTheme="minorEastAsia" w:hAnsiTheme="minorEastAsia" w:eastAsiaTheme="minorEastAsia"/>
          <w:kern w:val="1"/>
          <w:sz w:val="21"/>
          <w:szCs w:val="21"/>
        </w:rPr>
        <w:t>和数据应用服务</w:t>
      </w:r>
      <w:r>
        <w:rPr>
          <w:rFonts w:hint="eastAsia" w:asciiTheme="minorEastAsia" w:hAnsiTheme="minorEastAsia" w:eastAsiaTheme="minorEastAsia"/>
          <w:kern w:val="1"/>
          <w:sz w:val="21"/>
          <w:szCs w:val="21"/>
          <w:lang w:val="en-GB"/>
        </w:rPr>
        <w:t>。</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（十一）自助设备运维管理服务</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实时监控院内自助设备状态，并进行可视化呈现，包括但不限于设备耗材使用状态，设备模块状态，设备使用状态。</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设备使用数据导出，设备基础日志记录。</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 xml:space="preserve">针对设备进行远程控制，升级。 </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负责项目软件前置系统、自助终端的维护，含三年驻场服务。</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（十二）智慧医疗信息系统</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院内智慧医疗系统建设(院内自助设备互联互通、院内自助设备电子化承接及管理、院内线上、线下、窗口号源池共联共通）。</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负责银医前置平台与院内HIS系统之间的银医交易数据传输：MIS自助机部分和HIS联网。</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数据接口交互：提供统一的银医结算门诊端相关服务接口，包括对自助机、HIS，建设银行、医保与医院内系统的服务接口集成中心智能AI辅助决策：提供AI判断辅助门诊互联互通判断。</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逻辑处理交互：设置信用逻辑，控制开关设置以及信用额度等配置，管理就医业务及信用就医融合逻辑处理。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容错处理：平台运行时，能对由非正常因素引起的运行错误给出适当的处理或信息提示，保证运行正常。</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权限管理:管理平台的权限，不同角色的用户开通不同权限的访问权限，从而保证平台的安全性。订单管理:管理信用就医的订单，包括订单明细、状态更新等。</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分账管理：整合了全渠道支付收款、账户管理、合规分账等多样化服务，精准匹配分账业务。日志查询:查询交易日志、接口调用日志以及服务日志等，方便纠错。黑名单管理:对于失信人员进行与银行同步管理，并在就医过程无法使用信用就医模式。</w:t>
      </w:r>
    </w:p>
    <w:p>
      <w:pPr>
        <w:pStyle w:val="46"/>
        <w:spacing w:line="440" w:lineRule="exact"/>
        <w:ind w:firstLine="420" w:firstLineChars="200"/>
        <w:rPr>
          <w:rFonts w:asciiTheme="minorEastAsia" w:hAnsiTheme="minorEastAsia" w:eastAsiaTheme="minorEastAsia"/>
        </w:rPr>
      </w:pPr>
      <w:r>
        <w:rPr>
          <w:rFonts w:hint="eastAsia" w:asciiTheme="minorEastAsia" w:hAnsiTheme="minorEastAsia" w:eastAsiaTheme="minorEastAsia"/>
          <w:kern w:val="1"/>
          <w:sz w:val="21"/>
          <w:szCs w:val="21"/>
          <w:lang w:val="en-GB"/>
        </w:rPr>
        <w:t>运维管理：开发建设智慧医疗服务运维管理模块。</w:t>
      </w:r>
    </w:p>
    <w:p>
      <w:pPr>
        <w:pStyle w:val="23"/>
        <w:numPr>
          <w:ilvl w:val="0"/>
          <w:numId w:val="6"/>
        </w:numPr>
        <w:spacing w:before="156" w:after="156"/>
        <w:rPr>
          <w:rFonts w:asciiTheme="minorEastAsia" w:hAnsiTheme="minorEastAsia" w:eastAsiaTheme="minorEastAsia"/>
          <w:sz w:val="28"/>
        </w:rPr>
      </w:pPr>
      <w:r>
        <w:rPr>
          <w:rFonts w:hint="eastAsia" w:asciiTheme="minorEastAsia" w:hAnsiTheme="minorEastAsia" w:eastAsiaTheme="minorEastAsia"/>
          <w:sz w:val="28"/>
        </w:rPr>
        <w:t>技术要求</w:t>
      </w:r>
    </w:p>
    <w:p>
      <w:pPr>
        <w:pStyle w:val="4"/>
        <w:numPr>
          <w:ilvl w:val="1"/>
          <w:numId w:val="9"/>
        </w:numPr>
        <w:spacing w:before="40" w:after="40" w:line="360" w:lineRule="auto"/>
        <w:rPr>
          <w:rFonts w:ascii="宋体" w:hAnsi="宋体" w:cs="Times New Roman"/>
          <w:sz w:val="28"/>
        </w:rPr>
      </w:pPr>
      <w:r>
        <w:rPr>
          <w:rFonts w:hint="eastAsia" w:ascii="宋体" w:hAnsi="宋体" w:cs="Times New Roman"/>
          <w:sz w:val="28"/>
        </w:rPr>
        <w:t>平台支持要求</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1731"/>
        <w:gridCol w:w="5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545" w:type="pct"/>
            <w:shd w:val="clear" w:color="auto" w:fill="D8D8D8" w:themeFill="background1" w:themeFillShade="D9"/>
            <w:vAlign w:val="center"/>
          </w:tcPr>
          <w:p>
            <w:pPr>
              <w:snapToGrid w:val="0"/>
              <w:spacing w:line="400" w:lineRule="exact"/>
              <w:ind w:hanging="142"/>
              <w:jc w:val="center"/>
              <w:rPr>
                <w:rFonts w:ascii="宋体" w:hAnsi="宋体" w:cs="宋体"/>
                <w:b/>
                <w:bCs/>
                <w:color w:val="000000"/>
                <w:szCs w:val="21"/>
              </w:rPr>
            </w:pPr>
            <w:r>
              <w:rPr>
                <w:rFonts w:hint="eastAsia" w:ascii="宋体" w:hAnsi="宋体" w:cs="宋体"/>
                <w:b/>
                <w:bCs/>
                <w:color w:val="000000"/>
                <w:szCs w:val="21"/>
              </w:rPr>
              <w:t>序号</w:t>
            </w:r>
          </w:p>
        </w:tc>
        <w:tc>
          <w:tcPr>
            <w:tcW w:w="1016" w:type="pct"/>
            <w:shd w:val="clear" w:color="auto" w:fill="D8D8D8" w:themeFill="background1" w:themeFillShade="D9"/>
            <w:vAlign w:val="center"/>
          </w:tcPr>
          <w:p>
            <w:pPr>
              <w:snapToGrid w:val="0"/>
              <w:spacing w:line="400" w:lineRule="exact"/>
              <w:ind w:hanging="142"/>
              <w:jc w:val="center"/>
              <w:rPr>
                <w:rFonts w:ascii="宋体" w:hAnsi="宋体" w:cs="宋体"/>
                <w:b/>
                <w:bCs/>
                <w:color w:val="000000"/>
                <w:szCs w:val="21"/>
              </w:rPr>
            </w:pPr>
            <w:r>
              <w:rPr>
                <w:rFonts w:hint="eastAsia" w:ascii="宋体" w:hAnsi="宋体" w:cs="宋体"/>
                <w:b/>
                <w:bCs/>
                <w:color w:val="000000"/>
                <w:szCs w:val="21"/>
              </w:rPr>
              <w:t>项目</w:t>
            </w:r>
          </w:p>
        </w:tc>
        <w:tc>
          <w:tcPr>
            <w:tcW w:w="3439" w:type="pct"/>
            <w:shd w:val="clear" w:color="auto" w:fill="D8D8D8" w:themeFill="background1" w:themeFillShade="D9"/>
            <w:vAlign w:val="center"/>
          </w:tcPr>
          <w:p>
            <w:pPr>
              <w:snapToGrid w:val="0"/>
              <w:spacing w:line="400" w:lineRule="exact"/>
              <w:ind w:hanging="142"/>
              <w:jc w:val="center"/>
              <w:rPr>
                <w:rFonts w:ascii="宋体" w:hAnsi="宋体" w:cs="宋体"/>
                <w:b/>
                <w:bCs/>
                <w:color w:val="000000"/>
                <w:szCs w:val="21"/>
              </w:rPr>
            </w:pPr>
            <w:r>
              <w:rPr>
                <w:rFonts w:hint="eastAsia" w:ascii="宋体" w:hAnsi="宋体" w:cs="宋体"/>
                <w:b/>
                <w:bCs/>
                <w:color w:val="000000"/>
                <w:szCs w:val="21"/>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545"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1</w:t>
            </w:r>
          </w:p>
        </w:tc>
        <w:tc>
          <w:tcPr>
            <w:tcW w:w="1016"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易用性</w:t>
            </w:r>
          </w:p>
        </w:tc>
        <w:tc>
          <w:tcPr>
            <w:tcW w:w="3439" w:type="pct"/>
            <w:vAlign w:val="center"/>
          </w:tcPr>
          <w:p>
            <w:pPr>
              <w:snapToGrid w:val="0"/>
              <w:spacing w:line="400" w:lineRule="exact"/>
              <w:rPr>
                <w:rFonts w:ascii="宋体" w:hAnsi="宋体" w:cs="宋体"/>
                <w:color w:val="000000"/>
                <w:szCs w:val="21"/>
              </w:rPr>
            </w:pPr>
            <w:r>
              <w:rPr>
                <w:rFonts w:ascii="Helvetica Neue" w:hAnsi="Helvetica Neue"/>
                <w:color w:val="0D0D0D"/>
                <w:szCs w:val="20"/>
                <w:shd w:val="clear" w:color="auto" w:fill="FFFFFF"/>
              </w:rPr>
              <w:t>软件系统在设计过程中，需秉持实用性与先进性相融合的原则。具体而言，应具备易于理解掌握、操作简便、提示信息明确、逻辑架构严谨、界面直观简洁以及帮助信息丰富等特性。同时，要充分考量医院输入项目的独特性，对输入顺序进行专门定制，确保操作人员能够以最快的速度和最少的击键次数完成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5"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2</w:t>
            </w:r>
          </w:p>
        </w:tc>
        <w:tc>
          <w:tcPr>
            <w:tcW w:w="1016"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安全性</w:t>
            </w:r>
          </w:p>
        </w:tc>
        <w:tc>
          <w:tcPr>
            <w:tcW w:w="3439" w:type="pct"/>
            <w:vAlign w:val="center"/>
          </w:tcPr>
          <w:p>
            <w:pPr>
              <w:snapToGrid w:val="0"/>
              <w:spacing w:line="400" w:lineRule="exact"/>
              <w:rPr>
                <w:rFonts w:ascii="宋体" w:hAnsi="宋体" w:cs="宋体"/>
                <w:color w:val="000000"/>
                <w:szCs w:val="21"/>
              </w:rPr>
            </w:pPr>
            <w:r>
              <w:rPr>
                <w:rFonts w:hint="eastAsia" w:ascii="宋体" w:hAnsi="宋体" w:cs="宋体"/>
                <w:color w:val="000000"/>
                <w:szCs w:val="21"/>
              </w:rPr>
              <w:t>在系统安全层面，分为系统级安全与应用级安全。系统级安全方面，数据库设计需详细阐明保障系统安全的具体方式。</w:t>
            </w:r>
          </w:p>
          <w:p>
            <w:pPr>
              <w:snapToGrid w:val="0"/>
              <w:spacing w:line="400" w:lineRule="exact"/>
              <w:rPr>
                <w:rFonts w:ascii="宋体" w:hAnsi="宋体" w:cs="宋体"/>
                <w:color w:val="000000"/>
                <w:szCs w:val="21"/>
              </w:rPr>
            </w:pPr>
            <w:r>
              <w:rPr>
                <w:rFonts w:hint="eastAsia" w:ascii="宋体" w:hAnsi="宋体" w:cs="宋体"/>
                <w:color w:val="000000"/>
                <w:szCs w:val="21"/>
              </w:rPr>
              <w:t>应用级安全（工作站的权限验证）主要从以下几个关键方面进行考量：一是工作站当前是否具备运行系统的权限；二是操作员当下是否有权使用特定系统；三是数据加密措施；四是应用操作系统权限。系统应具备抵御外界环境干扰和人为操作失误的能力，配备充足的防护措施，防止非法用户入侵，确保不会因操作人员的误操作而导致系统崩溃等严重问题。</w:t>
            </w:r>
          </w:p>
          <w:p>
            <w:pPr>
              <w:snapToGrid w:val="0"/>
              <w:spacing w:line="400" w:lineRule="exact"/>
              <w:rPr>
                <w:rFonts w:ascii="宋体" w:hAnsi="宋体" w:cs="宋体"/>
                <w:color w:val="000000"/>
                <w:szCs w:val="21"/>
              </w:rPr>
            </w:pPr>
            <w:r>
              <w:rPr>
                <w:rFonts w:hint="eastAsia" w:ascii="宋体" w:hAnsi="宋体" w:cs="宋体"/>
                <w:color w:val="000000"/>
                <w:szCs w:val="21"/>
              </w:rPr>
              <w:t>操作员的权限验证环节，系统管理需依据员工的职务和工作内容进行角色划分，并通过角色分配相应的权限。当操作人员试图超越权限登录时，系统应予以拒绝，并将相关记录存入系统日志。</w:t>
            </w:r>
          </w:p>
          <w:p>
            <w:pPr>
              <w:snapToGrid w:val="0"/>
              <w:spacing w:line="400" w:lineRule="exact"/>
              <w:rPr>
                <w:rFonts w:ascii="宋体" w:hAnsi="宋体" w:cs="宋体"/>
                <w:color w:val="000000"/>
                <w:szCs w:val="21"/>
              </w:rPr>
            </w:pPr>
            <w:r>
              <w:rPr>
                <w:rFonts w:hint="eastAsia" w:ascii="宋体" w:hAnsi="宋体" w:cs="宋体"/>
                <w:color w:val="000000"/>
                <w:szCs w:val="21"/>
              </w:rPr>
              <w:t>数据加密方面，除上述登录/使用验证外，系统还需对部分关键数据（如用户代码和密码）在数据库后台进行加密处理，以进一步提升安全性。</w:t>
            </w:r>
          </w:p>
          <w:p>
            <w:pPr>
              <w:snapToGrid w:val="0"/>
              <w:spacing w:line="400" w:lineRule="exact"/>
              <w:rPr>
                <w:rFonts w:ascii="宋体" w:hAnsi="宋体" w:cs="宋体"/>
                <w:color w:val="000000"/>
                <w:szCs w:val="21"/>
              </w:rPr>
            </w:pPr>
            <w:r>
              <w:rPr>
                <w:rFonts w:hint="eastAsia" w:ascii="宋体" w:hAnsi="宋体" w:cs="宋体"/>
                <w:color w:val="000000"/>
                <w:szCs w:val="21"/>
              </w:rPr>
              <w:t>此外，要求投标人提出一套完备的数据安全管理措施以及医院计算机网络设备的管理模式。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45"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3</w:t>
            </w:r>
          </w:p>
        </w:tc>
        <w:tc>
          <w:tcPr>
            <w:tcW w:w="1016"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稳定性</w:t>
            </w:r>
          </w:p>
        </w:tc>
        <w:tc>
          <w:tcPr>
            <w:tcW w:w="3439" w:type="pct"/>
            <w:vAlign w:val="center"/>
          </w:tcPr>
          <w:p>
            <w:pPr>
              <w:snapToGrid w:val="0"/>
              <w:spacing w:line="400" w:lineRule="exact"/>
              <w:rPr>
                <w:rFonts w:ascii="宋体" w:hAnsi="宋体" w:cs="宋体"/>
                <w:color w:val="000000"/>
                <w:szCs w:val="21"/>
              </w:rPr>
            </w:pPr>
            <w:r>
              <w:rPr>
                <w:rFonts w:hint="eastAsia" w:ascii="宋体" w:hAnsi="宋体" w:cs="宋体"/>
                <w:color w:val="000000"/>
                <w:szCs w:val="21"/>
              </w:rPr>
              <w:t>需具有基于数据库系统开发的经验。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545"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4</w:t>
            </w:r>
          </w:p>
        </w:tc>
        <w:tc>
          <w:tcPr>
            <w:tcW w:w="1016"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kern w:val="0"/>
                <w:szCs w:val="21"/>
              </w:rPr>
              <w:t>响应速度快</w:t>
            </w:r>
          </w:p>
        </w:tc>
        <w:tc>
          <w:tcPr>
            <w:tcW w:w="3439" w:type="pct"/>
            <w:vAlign w:val="center"/>
          </w:tcPr>
          <w:p>
            <w:pPr>
              <w:snapToGrid w:val="0"/>
              <w:spacing w:line="400" w:lineRule="exact"/>
              <w:rPr>
                <w:rFonts w:ascii="宋体" w:hAnsi="宋体" w:cs="宋体"/>
                <w:color w:val="000000"/>
                <w:szCs w:val="21"/>
              </w:rPr>
            </w:pPr>
            <w:r>
              <w:rPr>
                <w:rFonts w:hint="eastAsia" w:ascii="宋体" w:hAnsi="宋体" w:cs="宋体"/>
                <w:color w:val="000000"/>
                <w:szCs w:val="21"/>
              </w:rPr>
              <w:t>各一线工作站高峰期操作系统时无感觉等待，查询操作进行预处理以加快查询速度。额定用户（最低500个）同时运行时不能出现堵塞现象。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545"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5</w:t>
            </w:r>
          </w:p>
        </w:tc>
        <w:tc>
          <w:tcPr>
            <w:tcW w:w="1016"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kern w:val="0"/>
                <w:szCs w:val="21"/>
              </w:rPr>
              <w:t>灵活性、维护性</w:t>
            </w:r>
          </w:p>
        </w:tc>
        <w:tc>
          <w:tcPr>
            <w:tcW w:w="3439" w:type="pct"/>
            <w:vAlign w:val="center"/>
          </w:tcPr>
          <w:p>
            <w:pPr>
              <w:snapToGrid w:val="0"/>
              <w:spacing w:line="400" w:lineRule="exact"/>
              <w:rPr>
                <w:rFonts w:ascii="宋体" w:hAnsi="宋体" w:cs="宋体"/>
                <w:color w:val="000000"/>
                <w:szCs w:val="21"/>
              </w:rPr>
            </w:pPr>
            <w:r>
              <w:rPr>
                <w:rFonts w:hint="eastAsia" w:ascii="宋体" w:hAnsi="宋体" w:cs="宋体"/>
                <w:color w:val="000000"/>
                <w:szCs w:val="21"/>
              </w:rPr>
              <w:t>系统可根据医院的具体工作流程定制、重组和改造，并为医院提供定制和改造的客户化工具。为适应将来的发展，系统应具有良好的可裁减性、可扩充性和可移植性；系统的安装卸载简单方便，可管理性、可维护性强；软件设计模块化、组件化，并提供配置模块和客户化工具。系统需求及流程变化、 操作方式变化、机构人员变化、空间地点变化、操作系统环境变化无影响。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45"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6</w:t>
            </w:r>
          </w:p>
        </w:tc>
        <w:tc>
          <w:tcPr>
            <w:tcW w:w="1016" w:type="pct"/>
            <w:vAlign w:val="center"/>
          </w:tcPr>
          <w:p>
            <w:pPr>
              <w:snapToGrid w:val="0"/>
              <w:spacing w:line="400" w:lineRule="exact"/>
              <w:jc w:val="center"/>
              <w:rPr>
                <w:rFonts w:ascii="宋体" w:hAnsi="宋体" w:cs="宋体"/>
                <w:color w:val="000000"/>
                <w:kern w:val="0"/>
                <w:szCs w:val="21"/>
              </w:rPr>
            </w:pPr>
            <w:r>
              <w:rPr>
                <w:rFonts w:hint="eastAsia" w:ascii="宋体" w:hAnsi="宋体" w:cs="宋体"/>
                <w:color w:val="000000"/>
                <w:kern w:val="0"/>
                <w:szCs w:val="21"/>
              </w:rPr>
              <w:t>扩展性</w:t>
            </w:r>
          </w:p>
        </w:tc>
        <w:tc>
          <w:tcPr>
            <w:tcW w:w="3439" w:type="pct"/>
            <w:vAlign w:val="center"/>
          </w:tcPr>
          <w:p>
            <w:pPr>
              <w:snapToGrid w:val="0"/>
              <w:spacing w:line="400" w:lineRule="exact"/>
              <w:rPr>
                <w:rFonts w:ascii="宋体" w:hAnsi="宋体" w:cs="宋体"/>
                <w:color w:val="000000"/>
                <w:kern w:val="0"/>
                <w:szCs w:val="21"/>
              </w:rPr>
            </w:pPr>
            <w:r>
              <w:rPr>
                <w:rFonts w:hint="eastAsia" w:ascii="宋体" w:hAnsi="宋体" w:cs="宋体"/>
                <w:color w:val="000000"/>
                <w:kern w:val="0"/>
                <w:szCs w:val="21"/>
              </w:rPr>
              <w:t>采用开放式的系统软件平台、模块化的应用软件结构，确保系统可灵活地扩充其业务功能，并可与其它业务系统进行无缝互连，采购人如需连接其他系统的，投标人需承诺提供相关技术接口和进行技术配合。系统须提供必要的辅助临床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545"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7</w:t>
            </w:r>
          </w:p>
        </w:tc>
        <w:tc>
          <w:tcPr>
            <w:tcW w:w="1016" w:type="pct"/>
            <w:vAlign w:val="center"/>
          </w:tcPr>
          <w:p>
            <w:pPr>
              <w:snapToGrid w:val="0"/>
              <w:spacing w:line="400" w:lineRule="exact"/>
              <w:jc w:val="center"/>
              <w:rPr>
                <w:rFonts w:ascii="宋体" w:hAnsi="宋体" w:cs="宋体"/>
                <w:color w:val="000000"/>
                <w:kern w:val="0"/>
                <w:szCs w:val="21"/>
              </w:rPr>
            </w:pPr>
            <w:r>
              <w:rPr>
                <w:rFonts w:hint="eastAsia" w:ascii="宋体" w:hAnsi="宋体" w:cs="宋体"/>
                <w:color w:val="000000"/>
                <w:kern w:val="0"/>
                <w:szCs w:val="21"/>
              </w:rPr>
              <w:t>先进性</w:t>
            </w:r>
          </w:p>
        </w:tc>
        <w:tc>
          <w:tcPr>
            <w:tcW w:w="3439" w:type="pct"/>
            <w:vAlign w:val="center"/>
          </w:tcPr>
          <w:p>
            <w:pPr>
              <w:snapToGrid w:val="0"/>
              <w:spacing w:line="400" w:lineRule="exact"/>
              <w:rPr>
                <w:rFonts w:ascii="宋体" w:hAnsi="宋体" w:cs="宋体"/>
                <w:color w:val="000000"/>
                <w:kern w:val="0"/>
                <w:szCs w:val="21"/>
              </w:rPr>
            </w:pPr>
            <w:r>
              <w:rPr>
                <w:rFonts w:hint="eastAsia" w:ascii="宋体" w:hAnsi="宋体" w:cs="宋体"/>
                <w:color w:val="000000"/>
                <w:kern w:val="0"/>
                <w:szCs w:val="21"/>
              </w:rPr>
              <w:t>采用业界先进、成熟的软件开发技术和系统结构，面向对象的设计方法，可视化的、面向对象的开发工具。本招标文件中技术要求没有涉及的先进技术、方法，投标人可自行补充，并在投标文件中介绍说明。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45"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8</w:t>
            </w:r>
          </w:p>
        </w:tc>
        <w:tc>
          <w:tcPr>
            <w:tcW w:w="1016" w:type="pct"/>
            <w:vAlign w:val="center"/>
          </w:tcPr>
          <w:p>
            <w:pPr>
              <w:snapToGrid w:val="0"/>
              <w:spacing w:line="400" w:lineRule="exact"/>
              <w:jc w:val="center"/>
              <w:rPr>
                <w:rFonts w:ascii="宋体" w:hAnsi="宋体" w:cs="宋体"/>
                <w:color w:val="000000"/>
                <w:kern w:val="0"/>
                <w:szCs w:val="21"/>
              </w:rPr>
            </w:pPr>
            <w:r>
              <w:rPr>
                <w:rFonts w:hint="eastAsia" w:ascii="宋体" w:hAnsi="宋体" w:cs="宋体"/>
                <w:color w:val="000000"/>
                <w:kern w:val="0"/>
                <w:szCs w:val="21"/>
              </w:rPr>
              <w:t>可行性原则</w:t>
            </w:r>
          </w:p>
        </w:tc>
        <w:tc>
          <w:tcPr>
            <w:tcW w:w="3439" w:type="pct"/>
            <w:vAlign w:val="center"/>
          </w:tcPr>
          <w:p>
            <w:pPr>
              <w:snapToGrid w:val="0"/>
              <w:spacing w:line="400" w:lineRule="exact"/>
              <w:rPr>
                <w:rFonts w:ascii="宋体" w:hAnsi="宋体" w:cs="宋体"/>
                <w:color w:val="000000"/>
                <w:kern w:val="0"/>
                <w:szCs w:val="21"/>
              </w:rPr>
            </w:pPr>
            <w:r>
              <w:rPr>
                <w:rFonts w:hint="eastAsia" w:ascii="宋体" w:hAnsi="宋体" w:cs="宋体"/>
                <w:color w:val="000000"/>
                <w:kern w:val="0"/>
                <w:szCs w:val="21"/>
              </w:rPr>
              <w:t>鉴于中国医院信息化建设与国际医院信息化建设水平存在比较大的差异，国际医疗信息相关标准、规范在国内医院应用不广泛，完全照搬外国医院建设经验等不足，全面、完整地支持国际标准、规范，工作难度大，风险高，所以要明确可行性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45" w:type="pct"/>
            <w:vAlign w:val="center"/>
          </w:tcPr>
          <w:p>
            <w:pPr>
              <w:snapToGrid w:val="0"/>
              <w:spacing w:line="400" w:lineRule="exact"/>
              <w:jc w:val="center"/>
              <w:rPr>
                <w:rFonts w:ascii="宋体" w:hAnsi="宋体" w:cs="宋体"/>
                <w:color w:val="000000"/>
                <w:szCs w:val="21"/>
              </w:rPr>
            </w:pPr>
            <w:r>
              <w:rPr>
                <w:rFonts w:hint="eastAsia" w:ascii="宋体" w:hAnsi="宋体" w:cs="宋体"/>
                <w:color w:val="000000"/>
                <w:szCs w:val="21"/>
              </w:rPr>
              <w:t>9</w:t>
            </w:r>
          </w:p>
        </w:tc>
        <w:tc>
          <w:tcPr>
            <w:tcW w:w="1016" w:type="pct"/>
            <w:vAlign w:val="center"/>
          </w:tcPr>
          <w:p>
            <w:pPr>
              <w:snapToGrid w:val="0"/>
              <w:spacing w:line="400" w:lineRule="exact"/>
              <w:jc w:val="center"/>
              <w:rPr>
                <w:rFonts w:ascii="宋体" w:hAnsi="宋体" w:cs="宋体"/>
                <w:color w:val="000000"/>
                <w:kern w:val="0"/>
                <w:szCs w:val="21"/>
              </w:rPr>
            </w:pPr>
            <w:r>
              <w:rPr>
                <w:rFonts w:hint="eastAsia" w:ascii="宋体" w:hAnsi="宋体"/>
                <w:kern w:val="44"/>
                <w:szCs w:val="21"/>
              </w:rPr>
              <w:t>一体化原则</w:t>
            </w:r>
          </w:p>
        </w:tc>
        <w:tc>
          <w:tcPr>
            <w:tcW w:w="3439" w:type="pct"/>
            <w:vAlign w:val="center"/>
          </w:tcPr>
          <w:p>
            <w:pPr>
              <w:snapToGrid w:val="0"/>
              <w:spacing w:line="400" w:lineRule="exact"/>
              <w:rPr>
                <w:rFonts w:ascii="宋体" w:hAnsi="宋体" w:cs="宋体"/>
                <w:color w:val="000000"/>
                <w:kern w:val="0"/>
                <w:szCs w:val="21"/>
              </w:rPr>
            </w:pPr>
            <w:r>
              <w:rPr>
                <w:rFonts w:hint="eastAsia" w:ascii="宋体" w:hAnsi="宋体"/>
                <w:szCs w:val="21"/>
              </w:rPr>
              <w:t>要求线上与线下一体化，数据源只需录入一次，其他端全部同步。包括全部字典、逻辑、规则等。</w:t>
            </w:r>
          </w:p>
        </w:tc>
      </w:tr>
    </w:tbl>
    <w:p>
      <w:pPr>
        <w:pStyle w:val="4"/>
        <w:numPr>
          <w:ilvl w:val="1"/>
          <w:numId w:val="9"/>
        </w:numPr>
        <w:spacing w:before="40" w:after="40" w:line="360" w:lineRule="auto"/>
        <w:rPr>
          <w:rFonts w:ascii="宋体" w:hAnsi="宋体" w:cs="Times New Roman"/>
          <w:sz w:val="28"/>
        </w:rPr>
      </w:pPr>
      <w:r>
        <w:rPr>
          <w:rFonts w:hint="eastAsia" w:ascii="宋体" w:hAnsi="宋体" w:cs="Times New Roman"/>
          <w:sz w:val="28"/>
        </w:rPr>
        <w:t>完整性和独立性要求：对其他第三方软件的依赖程度不能太高</w:t>
      </w:r>
    </w:p>
    <w:tbl>
      <w:tblPr>
        <w:tblStyle w:val="18"/>
        <w:tblW w:w="822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4"/>
        <w:gridCol w:w="5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rPr>
                <w:rFonts w:cs="微软雅黑" w:asciiTheme="minorEastAsia" w:hAnsiTheme="minorEastAsia" w:eastAsiaTheme="minorEastAsia"/>
                <w:sz w:val="21"/>
              </w:rPr>
            </w:pPr>
            <w:r>
              <w:rPr>
                <w:rFonts w:hint="eastAsia" w:cs="微软雅黑" w:asciiTheme="minorEastAsia" w:hAnsiTheme="minorEastAsia" w:eastAsiaTheme="minorEastAsia"/>
                <w:sz w:val="21"/>
                <w:lang w:bidi="ar"/>
              </w:rPr>
              <w:t>内部业务</w:t>
            </w:r>
          </w:p>
        </w:tc>
        <w:tc>
          <w:tcPr>
            <w:tcW w:w="5748" w:type="dxa"/>
            <w:tcBorders>
              <w:top w:val="single" w:color="auto" w:sz="4" w:space="0"/>
              <w:left w:val="nil"/>
              <w:bottom w:val="single" w:color="auto" w:sz="4" w:space="0"/>
              <w:right w:val="single" w:color="auto" w:sz="4" w:space="0"/>
            </w:tcBorders>
            <w:shd w:val="clear" w:color="auto" w:fill="auto"/>
            <w:vAlign w:val="center"/>
          </w:tcPr>
          <w:p>
            <w:pPr>
              <w:pStyle w:val="43"/>
              <w:jc w:val="left"/>
              <w:rPr>
                <w:rFonts w:cs="微软雅黑" w:asciiTheme="minorEastAsia" w:hAnsiTheme="minorEastAsia" w:eastAsiaTheme="minorEastAsia"/>
                <w:color w:val="000000"/>
                <w:sz w:val="21"/>
                <w:lang w:bidi="ar"/>
              </w:rPr>
            </w:pPr>
            <w:r>
              <w:rPr>
                <w:rFonts w:hint="eastAsia" w:cs="微软雅黑" w:asciiTheme="minorEastAsia" w:hAnsiTheme="minorEastAsia" w:eastAsiaTheme="minorEastAsia"/>
                <w:color w:val="000000"/>
                <w:sz w:val="21"/>
                <w:lang w:bidi="ar"/>
              </w:rPr>
              <w:t>基于医院智慧服务3及标准，满足基本项8项</w:t>
            </w:r>
          </w:p>
          <w:p>
            <w:pPr>
              <w:pStyle w:val="43"/>
              <w:jc w:val="left"/>
              <w:rPr>
                <w:rFonts w:cs="微软雅黑" w:asciiTheme="minorEastAsia" w:hAnsiTheme="minorEastAsia" w:eastAsiaTheme="minorEastAsia"/>
                <w:color w:val="000000"/>
                <w:sz w:val="21"/>
                <w:lang w:bidi="ar"/>
              </w:rPr>
            </w:pPr>
            <w:r>
              <w:rPr>
                <w:rFonts w:hint="eastAsia" w:cs="微软雅黑" w:asciiTheme="minorEastAsia" w:hAnsiTheme="minorEastAsia" w:eastAsiaTheme="minorEastAsia"/>
                <w:color w:val="000000"/>
                <w:sz w:val="21"/>
                <w:lang w:bidi="ar"/>
              </w:rPr>
              <w:t>基于医院智慧服务3及标准，满足选择项&gt;=</w:t>
            </w:r>
            <w:r>
              <w:rPr>
                <w:rFonts w:cs="微软雅黑" w:asciiTheme="minorEastAsia" w:hAnsiTheme="minorEastAsia" w:eastAsiaTheme="minorEastAsia"/>
                <w:color w:val="000000"/>
                <w:sz w:val="21"/>
                <w:lang w:bidi="ar"/>
              </w:rPr>
              <w:t>4</w:t>
            </w:r>
            <w:r>
              <w:rPr>
                <w:rFonts w:hint="eastAsia" w:cs="微软雅黑" w:asciiTheme="minorEastAsia" w:hAnsiTheme="minorEastAsia" w:eastAsiaTheme="minorEastAsia"/>
                <w:color w:val="000000"/>
                <w:sz w:val="21"/>
                <w:lang w:bidi="ar"/>
              </w:rPr>
              <w:t>个</w:t>
            </w:r>
          </w:p>
          <w:p>
            <w:pPr>
              <w:pStyle w:val="43"/>
              <w:jc w:val="left"/>
              <w:rPr>
                <w:rFonts w:cs="微软雅黑" w:asciiTheme="minorEastAsia" w:hAnsiTheme="minorEastAsia" w:eastAsiaTheme="minorEastAsia"/>
                <w:color w:val="000000"/>
                <w:sz w:val="21"/>
              </w:rPr>
            </w:pPr>
            <w:r>
              <w:rPr>
                <w:rFonts w:cs="Times New Roman" w:asciiTheme="minorEastAsia" w:hAnsiTheme="minorEastAsia" w:eastAsiaTheme="minorEastAsia"/>
                <w:kern w:val="1"/>
                <w:sz w:val="21"/>
                <w:lang w:val="en-GB"/>
              </w:rPr>
              <w:t>初步建立院内院外、线上线下一体化的医疗服务流程。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rPr>
                <w:rFonts w:cs="微软雅黑" w:asciiTheme="minorEastAsia" w:hAnsiTheme="minorEastAsia" w:eastAsiaTheme="minorEastAsia"/>
                <w:sz w:val="21"/>
              </w:rPr>
            </w:pPr>
            <w:r>
              <w:rPr>
                <w:rFonts w:hint="eastAsia" w:cs="微软雅黑" w:asciiTheme="minorEastAsia" w:hAnsiTheme="minorEastAsia" w:eastAsiaTheme="minorEastAsia"/>
                <w:sz w:val="21"/>
                <w:lang w:bidi="ar"/>
              </w:rPr>
              <w:t>外部业务</w:t>
            </w:r>
          </w:p>
        </w:tc>
        <w:tc>
          <w:tcPr>
            <w:tcW w:w="5748" w:type="dxa"/>
            <w:tcBorders>
              <w:top w:val="single" w:color="auto" w:sz="4" w:space="0"/>
              <w:left w:val="nil"/>
              <w:bottom w:val="single" w:color="auto" w:sz="4" w:space="0"/>
              <w:right w:val="single" w:color="auto" w:sz="4" w:space="0"/>
            </w:tcBorders>
            <w:shd w:val="clear" w:color="auto" w:fill="auto"/>
            <w:vAlign w:val="center"/>
          </w:tcPr>
          <w:p>
            <w:pPr>
              <w:pStyle w:val="46"/>
              <w:spacing w:line="440" w:lineRule="exact"/>
              <w:rPr>
                <w:rFonts w:cs="微软雅黑" w:asciiTheme="minorEastAsia" w:hAnsiTheme="minorEastAsia" w:eastAsiaTheme="minorEastAsia"/>
                <w:sz w:val="21"/>
              </w:rPr>
            </w:pPr>
            <w:r>
              <w:rPr>
                <w:rFonts w:asciiTheme="minorEastAsia" w:hAnsiTheme="minorEastAsia" w:eastAsiaTheme="minorEastAsia"/>
                <w:kern w:val="1"/>
                <w:sz w:val="21"/>
                <w:szCs w:val="21"/>
                <w:lang w:val="en-GB"/>
              </w:rPr>
              <w:t>电子病历的部分信息通过互联网在医院内外进行实时共享，部分诊疗信息可以在院外进行处理，并与院内电子病历信息系统实时交互。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rPr>
                <w:rFonts w:cs="微软雅黑" w:asciiTheme="minorEastAsia" w:hAnsiTheme="minorEastAsia" w:eastAsiaTheme="minorEastAsia"/>
                <w:sz w:val="21"/>
              </w:rPr>
            </w:pPr>
            <w:r>
              <w:rPr>
                <w:rFonts w:hint="eastAsia" w:cs="微软雅黑" w:asciiTheme="minorEastAsia" w:hAnsiTheme="minorEastAsia" w:eastAsiaTheme="minorEastAsia"/>
                <w:sz w:val="21"/>
                <w:lang w:bidi="ar"/>
              </w:rPr>
              <w:t>线上线下一体化</w:t>
            </w:r>
          </w:p>
        </w:tc>
        <w:tc>
          <w:tcPr>
            <w:tcW w:w="5748" w:type="dxa"/>
            <w:tcBorders>
              <w:top w:val="single" w:color="auto" w:sz="4" w:space="0"/>
              <w:left w:val="nil"/>
              <w:bottom w:val="single" w:color="auto" w:sz="4" w:space="0"/>
              <w:right w:val="single" w:color="auto" w:sz="4" w:space="0"/>
            </w:tcBorders>
            <w:shd w:val="clear" w:color="auto" w:fill="auto"/>
            <w:vAlign w:val="center"/>
          </w:tcPr>
          <w:p>
            <w:pPr>
              <w:pStyle w:val="43"/>
              <w:jc w:val="left"/>
              <w:rPr>
                <w:rFonts w:cs="微软雅黑" w:asciiTheme="minorEastAsia" w:hAnsiTheme="minorEastAsia" w:eastAsiaTheme="minorEastAsia"/>
                <w:color w:val="000000"/>
                <w:sz w:val="21"/>
              </w:rPr>
            </w:pPr>
            <w:r>
              <w:rPr>
                <w:rFonts w:hint="eastAsia" w:cs="微软雅黑" w:asciiTheme="minorEastAsia" w:hAnsiTheme="minorEastAsia" w:eastAsiaTheme="minorEastAsia"/>
                <w:color w:val="000000"/>
                <w:sz w:val="21"/>
                <w:lang w:bidi="ar"/>
              </w:rPr>
              <w:t>支持线上业务与院内业务的无缝衔接。</w:t>
            </w:r>
          </w:p>
        </w:tc>
      </w:tr>
    </w:tbl>
    <w:p>
      <w:pPr>
        <w:pStyle w:val="4"/>
        <w:numPr>
          <w:ilvl w:val="1"/>
          <w:numId w:val="9"/>
        </w:numPr>
        <w:spacing w:before="40" w:after="40" w:line="360" w:lineRule="auto"/>
        <w:rPr>
          <w:rFonts w:ascii="宋体" w:hAnsi="宋体" w:cs="Times New Roman"/>
          <w:sz w:val="28"/>
        </w:rPr>
      </w:pPr>
      <w:r>
        <w:rPr>
          <w:rFonts w:hint="eastAsia" w:ascii="宋体" w:hAnsi="宋体" w:cs="Times New Roman"/>
          <w:sz w:val="28"/>
        </w:rPr>
        <w:t>性能要求</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 xml:space="preserve">高并发与响应速度：需具备强大的并发处理能力，如预约挂号系统在高峰时段需支持每秒超 1000 次请求；核心业务操作（如挂号、缴费、报告查询）响应时间需小于 </w:t>
      </w:r>
      <w:r>
        <w:rPr>
          <w:rFonts w:asciiTheme="minorEastAsia" w:hAnsiTheme="minorEastAsia" w:eastAsiaTheme="minorEastAsia"/>
          <w:kern w:val="1"/>
          <w:sz w:val="21"/>
          <w:szCs w:val="21"/>
          <w:lang w:val="en-GB"/>
        </w:rPr>
        <w:t>3</w:t>
      </w:r>
      <w:r>
        <w:rPr>
          <w:rFonts w:hint="eastAsia" w:asciiTheme="minorEastAsia" w:hAnsiTheme="minorEastAsia" w:eastAsiaTheme="minorEastAsia"/>
          <w:kern w:val="1"/>
          <w:sz w:val="21"/>
          <w:szCs w:val="21"/>
          <w:lang w:val="en-GB"/>
        </w:rPr>
        <w:t xml:space="preserve"> 秒，满足临床诊疗和患者服务的实时性需求。</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硬件配置合理性：需结合医院现有设备资源与未来发展需求，规划硬件配置方案，明确硬件类型、参数性能、数量及配备理由，并考虑数据备份、迁移的可行性。</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基础设施可靠性：网络基础设施需保障有线与无线网络全覆盖、稳定且高速，支持医疗数据的快速传输；服务器和存储设备需具备冗余设计，避免单点故障导致系统中断。</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数据规范性：遵循国家医疗数据标准，实现数据标准化存储与交换（如电子病历采用统一模板），同时建立数据质量管理体系，确保数据准确、完整，为临床决策和服务优化提供可靠数据基础。</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等级保护合规：系统需满足网络安全等级保护三级要求，具备数据库安全、访问控制、入侵防范等措施，重点保护患者隐私数据，采用加密技术（如端到端加密）保障数据传输与存储安全。</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安全管理体系：建立完善的信息安全管理体系，定期开展安全风险评估和漏洞扫描，实施严格的访问控制策略，防止数据泄露、篡改或非法访问。</w:t>
      </w:r>
    </w:p>
    <w:p>
      <w:pPr>
        <w:pStyle w:val="23"/>
        <w:numPr>
          <w:ilvl w:val="0"/>
          <w:numId w:val="6"/>
        </w:numPr>
        <w:spacing w:before="156" w:after="156"/>
        <w:rPr>
          <w:rFonts w:asciiTheme="minorEastAsia" w:hAnsiTheme="minorEastAsia" w:eastAsiaTheme="minorEastAsia"/>
          <w:sz w:val="28"/>
        </w:rPr>
      </w:pPr>
      <w:r>
        <w:rPr>
          <w:rFonts w:hint="eastAsia" w:asciiTheme="minorEastAsia" w:hAnsiTheme="minorEastAsia" w:eastAsiaTheme="minorEastAsia"/>
          <w:sz w:val="28"/>
        </w:rPr>
        <w:t>数量要求，包括套数(含License数、介质数)用户数、版本等</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智慧服务系统：1</w:t>
      </w:r>
      <w:r>
        <w:rPr>
          <w:rFonts w:asciiTheme="minorEastAsia" w:hAnsiTheme="minorEastAsia" w:eastAsiaTheme="minorEastAsia"/>
          <w:kern w:val="1"/>
          <w:sz w:val="21"/>
          <w:szCs w:val="21"/>
          <w:lang w:val="en-GB"/>
        </w:rPr>
        <w:t>套。满足全院医生、患者群体的移动端业务应用。</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License 数：匹配全院医护人员数量，覆盖所有有权限访问的医护人员，可正常登录智慧服务系统。</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介质数：提供 1套正式软件、1套备份软件发热安装光盘/U 盘，便于系统重装或故障恢复。</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院内用户：需覆盖所有医护人员。系统支持用户同时在线操作，且保证响应速度。</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院外用户：主要为患者及家属，用户数无固定上限，支持全院门诊、住院患者的注册使用，同时满足高峰时段大量用户并发访问，避免系统卡顿或崩溃。</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功能适配版本：需满足医院智慧服务等级要求，支持预约挂号、报告查询、在线缴费等功能的线上线下一体化服务，且具备数据互联互通能力。</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升级迭代版本：系统需具备可升级性，支持后续版本更新，例如随着智慧服务等级提升或新政策出台，系统能通过版本升级新增功能，且升级过程不影响现有业务运行。</w:t>
      </w:r>
    </w:p>
    <w:p>
      <w:pPr>
        <w:pStyle w:val="23"/>
        <w:numPr>
          <w:ilvl w:val="0"/>
          <w:numId w:val="6"/>
        </w:numPr>
        <w:spacing w:before="156" w:after="156"/>
        <w:rPr>
          <w:rFonts w:asciiTheme="minorEastAsia" w:hAnsiTheme="minorEastAsia" w:eastAsiaTheme="minorEastAsia"/>
          <w:sz w:val="28"/>
        </w:rPr>
      </w:pPr>
      <w:r>
        <w:rPr>
          <w:rFonts w:hint="eastAsia" w:asciiTheme="minorEastAsia" w:hAnsiTheme="minorEastAsia" w:eastAsiaTheme="minorEastAsia"/>
          <w:sz w:val="28"/>
        </w:rPr>
        <w:t>到货日期及验收标准等</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1.服务期限：自合同签订之日起</w:t>
      </w:r>
      <w:r>
        <w:rPr>
          <w:rFonts w:asciiTheme="minorEastAsia" w:hAnsiTheme="minorEastAsia" w:eastAsiaTheme="minorEastAsia"/>
          <w:kern w:val="1"/>
          <w:sz w:val="21"/>
          <w:szCs w:val="21"/>
          <w:lang w:val="en-GB"/>
        </w:rPr>
        <w:t>6</w:t>
      </w:r>
      <w:r>
        <w:rPr>
          <w:rFonts w:hint="eastAsia" w:asciiTheme="minorEastAsia" w:hAnsiTheme="minorEastAsia" w:eastAsiaTheme="minorEastAsia"/>
          <w:kern w:val="1"/>
          <w:sz w:val="21"/>
          <w:szCs w:val="21"/>
          <w:lang w:val="en-GB"/>
        </w:rPr>
        <w:t>0个工作日内完成全部软件开发工作并验收合格交付使用。（特殊情况以合同为准）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2.验收标准：按照采购合同的约定对每一服务环节、安全标准的履约情况进行考核与验收。验收结束后，应当出具验收书，列明各项服务的考核验收情况及项目总体评价，由验收方签署。</w:t>
      </w:r>
    </w:p>
    <w:p>
      <w:pPr>
        <w:pStyle w:val="23"/>
        <w:numPr>
          <w:ilvl w:val="0"/>
          <w:numId w:val="6"/>
        </w:numPr>
        <w:spacing w:before="156" w:after="156"/>
        <w:rPr>
          <w:rFonts w:asciiTheme="minorEastAsia" w:hAnsiTheme="minorEastAsia" w:eastAsiaTheme="minorEastAsia"/>
          <w:sz w:val="28"/>
        </w:rPr>
      </w:pPr>
      <w:r>
        <w:rPr>
          <w:rFonts w:hint="eastAsia" w:asciiTheme="minorEastAsia" w:hAnsiTheme="minorEastAsia" w:eastAsiaTheme="minorEastAsia"/>
          <w:sz w:val="28"/>
        </w:rPr>
        <w:t>后续服务要求</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1)所有产品供货对象为“天津市肿瘤医院空港医院”，以下简称“院方”。</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2)项目涉及软件产品必须符合国家相关规范要求，并提供ISO9000/9001体系标准、软件著作权等资质证明。</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3)项目涉及软件产品需为服务提供商生产的最新成熟产品，在实施过程中如遇版本升级，需免费升级至最新版本。</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4)项目实施采用“项目经理负责制”，须配置项目经理1名。具备三年及以上项目管理相关专业经验。院方有权对服务方项目经理进行更换。提供项目经理任命书。</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5)项目包含的软件等实施需要提供至少1名中级及以上技术人员进行现场保障。</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6)项目为“交钥匙”工程，实施过程中未尽事宜均由服务商来完成，并不再向招标人或院方收取任何费用。</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7)项目实施中产生的第三方接口费由乙方承担。项目实施过程中乙方需免费开放所有接口。</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8)合同有效期内需免费为院方提供不少于一次的数据迁移服务。</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9)项目实施需要遵从信息项目管理要求，如实及时整理并归档项目文档，并提交信息中心存档。文档包括不限于需求说明书（SRS）、概要设计、详细设计、实施方案（核心步骤、人员分工、工期等）、测试方案及报告、验收文档、运维周报月报等。</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10)项目所包含所有软件模块以及涉及的功能改造的相关验收，必须以院方需求为准。</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11)技术巡查服务保障，每年4次对软件关键部位进行周期性检查，出具检测报告，如有问题或隐患立即处理，确保产品正常运行。</w:t>
      </w:r>
    </w:p>
    <w:p>
      <w:pPr>
        <w:pStyle w:val="46"/>
        <w:spacing w:line="440" w:lineRule="exact"/>
        <w:ind w:firstLine="420" w:firstLineChars="200"/>
        <w:rPr>
          <w:rFonts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12)提供7*24小时技术服务，10分钟电话响应，2小时内到场解决问题，4小时备件上门更换响应，工程师上门实施服务。</w:t>
      </w:r>
    </w:p>
    <w:p>
      <w:pPr>
        <w:pStyle w:val="46"/>
        <w:spacing w:line="440" w:lineRule="exact"/>
        <w:ind w:firstLine="420" w:firstLineChars="200"/>
        <w:rPr>
          <w:rFonts w:hint="eastAsia" w:cs="Times New Roman" w:asciiTheme="minorEastAsia" w:hAnsiTheme="minorEastAsia" w:eastAsiaTheme="minorEastAsia"/>
          <w:kern w:val="1"/>
          <w:sz w:val="21"/>
          <w:szCs w:val="21"/>
          <w:lang w:val="en-GB"/>
        </w:rPr>
      </w:pPr>
      <w:r>
        <w:rPr>
          <w:rFonts w:hint="eastAsia" w:asciiTheme="minorEastAsia" w:hAnsiTheme="minorEastAsia" w:eastAsiaTheme="minorEastAsia"/>
          <w:kern w:val="1"/>
          <w:sz w:val="21"/>
          <w:szCs w:val="21"/>
          <w:lang w:val="en-GB"/>
        </w:rPr>
        <w:t>13)项目涉及软件提供免费3年运维，免费维保期后，如需续约，续约合同金额不超过原合同总额</w:t>
      </w:r>
      <w:r>
        <w:rPr>
          <w:rFonts w:hint="eastAsia" w:cs="Times New Roman" w:asciiTheme="minorEastAsia" w:hAnsiTheme="minorEastAsia" w:eastAsiaTheme="minorEastAsia"/>
          <w:kern w:val="1"/>
          <w:sz w:val="21"/>
          <w:szCs w:val="21"/>
          <w:lang w:val="en-GB"/>
        </w:rPr>
        <w:t>的6%-8%。</w:t>
      </w:r>
    </w:p>
    <w:p>
      <w:pPr>
        <w:pStyle w:val="46"/>
        <w:spacing w:line="440" w:lineRule="exact"/>
        <w:ind w:firstLine="420" w:firstLineChars="200"/>
        <w:rPr>
          <w:rFonts w:hint="eastAsia" w:cs="Times New Roman" w:asciiTheme="minorEastAsia" w:hAnsiTheme="minorEastAsia" w:eastAsiaTheme="minorEastAsia"/>
          <w:kern w:val="1"/>
          <w:sz w:val="21"/>
          <w:szCs w:val="21"/>
          <w:lang w:val="en-GB"/>
        </w:rPr>
      </w:pPr>
      <w:r>
        <w:rPr>
          <w:rFonts w:hint="eastAsia" w:cs="Times New Roman" w:asciiTheme="minorEastAsia" w:hAnsiTheme="minorEastAsia" w:eastAsiaTheme="minorEastAsia"/>
          <w:kern w:val="1"/>
          <w:sz w:val="21"/>
          <w:szCs w:val="21"/>
          <w:lang w:val="en-GB"/>
        </w:rPr>
        <w:t>14)服务商需每年定期对信息中心员工开展不定次数专业技术培训。</w:t>
      </w:r>
    </w:p>
    <w:p>
      <w:pPr>
        <w:pStyle w:val="23"/>
        <w:numPr>
          <w:ilvl w:val="0"/>
          <w:numId w:val="6"/>
        </w:numPr>
        <w:spacing w:before="156" w:after="156"/>
        <w:jc w:val="both"/>
        <w:rPr>
          <w:rFonts w:asciiTheme="minorEastAsia" w:hAnsiTheme="minorEastAsia" w:eastAsiaTheme="minorEastAsia"/>
          <w:sz w:val="28"/>
        </w:rPr>
      </w:pPr>
      <w:r>
        <w:rPr>
          <w:rFonts w:hint="eastAsia" w:asciiTheme="minorEastAsia" w:hAnsiTheme="minorEastAsia" w:eastAsiaTheme="minorEastAsia"/>
          <w:sz w:val="28"/>
        </w:rPr>
        <w:t>报价要求</w:t>
      </w:r>
    </w:p>
    <w:p>
      <w:pPr>
        <w:pStyle w:val="46"/>
        <w:spacing w:line="440" w:lineRule="exact"/>
        <w:ind w:firstLine="420" w:firstLineChars="200"/>
        <w:rPr>
          <w:rFonts w:hint="eastAsia" w:cs="Times New Roman" w:asciiTheme="minorEastAsia" w:hAnsiTheme="minorEastAsia" w:eastAsiaTheme="minorEastAsia"/>
          <w:kern w:val="1"/>
          <w:sz w:val="21"/>
          <w:szCs w:val="21"/>
          <w:lang w:val="en-GB"/>
        </w:rPr>
      </w:pPr>
      <w:r>
        <w:rPr>
          <w:rFonts w:hint="eastAsia" w:cs="Times New Roman" w:asciiTheme="minorEastAsia" w:hAnsiTheme="minorEastAsia" w:eastAsiaTheme="minorEastAsia"/>
          <w:kern w:val="1"/>
          <w:sz w:val="21"/>
          <w:szCs w:val="21"/>
          <w:lang w:val="en-GB"/>
        </w:rPr>
        <w:t>报含税单价及总价。供应商的报价应包括：人员费用、服务费、管理费、培训费、税费等为完成磋商文件规定的一切工作所需的全部费用。供应商所报价格为服务期内确保正常运行的的最终优惠价格。</w:t>
      </w:r>
    </w:p>
    <w:p>
      <w:pPr>
        <w:pStyle w:val="5"/>
      </w:pPr>
    </w:p>
    <w:p>
      <w:pPr>
        <w:pStyle w:val="23"/>
        <w:numPr>
          <w:ilvl w:val="0"/>
          <w:numId w:val="6"/>
        </w:numPr>
        <w:spacing w:before="156" w:after="156"/>
        <w:rPr>
          <w:rFonts w:asciiTheme="minorEastAsia" w:hAnsiTheme="minorEastAsia" w:eastAsiaTheme="minorEastAsia"/>
          <w:sz w:val="28"/>
          <w:lang w:val="en-GB"/>
        </w:rPr>
      </w:pPr>
      <w:r>
        <w:rPr>
          <w:rFonts w:hint="eastAsia" w:asciiTheme="minorEastAsia" w:hAnsiTheme="minorEastAsia" w:eastAsiaTheme="minorEastAsia"/>
          <w:sz w:val="28"/>
        </w:rPr>
        <w:t>款项支付要求</w:t>
      </w:r>
    </w:p>
    <w:p>
      <w:pPr>
        <w:pStyle w:val="23"/>
        <w:numPr>
          <w:numId w:val="0"/>
        </w:numPr>
        <w:spacing w:before="156" w:after="156"/>
        <w:ind w:leftChars="0" w:firstLine="420" w:firstLineChars="200"/>
        <w:rPr>
          <w:rFonts w:hint="eastAsia" w:cs="Times New Roman" w:asciiTheme="minorEastAsia" w:hAnsiTheme="minorEastAsia" w:eastAsiaTheme="minorEastAsia"/>
          <w:b w:val="0"/>
          <w:kern w:val="1"/>
          <w:sz w:val="21"/>
          <w:szCs w:val="21"/>
          <w:lang w:val="en-GB" w:eastAsia="zh-CN" w:bidi="ar-SA"/>
        </w:rPr>
      </w:pPr>
      <w:r>
        <w:rPr>
          <w:rFonts w:hint="eastAsia" w:cs="Times New Roman" w:asciiTheme="minorEastAsia" w:hAnsiTheme="minorEastAsia" w:eastAsiaTheme="minorEastAsia"/>
          <w:b w:val="0"/>
          <w:kern w:val="1"/>
          <w:sz w:val="21"/>
          <w:szCs w:val="21"/>
          <w:lang w:val="en-GB" w:eastAsia="zh-CN" w:bidi="ar-SA"/>
        </w:rPr>
        <w:t>自合同签订30个工作日内支付合同金额的30%，系统最终验收合格后30个工作日内支付合同金额的6</w:t>
      </w:r>
      <w:r>
        <w:rPr>
          <w:rFonts w:hint="eastAsia" w:cs="Times New Roman" w:asciiTheme="minorEastAsia" w:hAnsiTheme="minorEastAsia" w:eastAsiaTheme="minorEastAsia"/>
          <w:b w:val="0"/>
          <w:kern w:val="1"/>
          <w:sz w:val="21"/>
          <w:szCs w:val="21"/>
          <w:lang w:val="en-US" w:eastAsia="zh-CN" w:bidi="ar-SA"/>
        </w:rPr>
        <w:t>5</w:t>
      </w:r>
      <w:r>
        <w:rPr>
          <w:rFonts w:hint="eastAsia" w:cs="Times New Roman" w:asciiTheme="minorEastAsia" w:hAnsiTheme="minorEastAsia" w:eastAsiaTheme="minorEastAsia"/>
          <w:b w:val="0"/>
          <w:kern w:val="1"/>
          <w:sz w:val="21"/>
          <w:szCs w:val="21"/>
          <w:lang w:val="en-GB" w:eastAsia="zh-CN" w:bidi="ar-SA"/>
        </w:rPr>
        <w:t>%；系统验收合格之日起五年后30个工作日内支付合同金额的</w:t>
      </w:r>
      <w:r>
        <w:rPr>
          <w:rFonts w:hint="eastAsia" w:cs="Times New Roman" w:asciiTheme="minorEastAsia" w:hAnsiTheme="minorEastAsia" w:eastAsiaTheme="minorEastAsia"/>
          <w:b w:val="0"/>
          <w:kern w:val="1"/>
          <w:sz w:val="21"/>
          <w:szCs w:val="21"/>
          <w:lang w:val="en-US" w:eastAsia="zh-CN" w:bidi="ar-SA"/>
        </w:rPr>
        <w:t>5</w:t>
      </w:r>
      <w:r>
        <w:rPr>
          <w:rFonts w:hint="eastAsia" w:cs="Times New Roman" w:asciiTheme="minorEastAsia" w:hAnsiTheme="minorEastAsia" w:eastAsiaTheme="minorEastAsia"/>
          <w:b w:val="0"/>
          <w:kern w:val="1"/>
          <w:sz w:val="21"/>
          <w:szCs w:val="21"/>
          <w:lang w:val="en-GB" w:eastAsia="zh-CN" w:bidi="ar-SA"/>
        </w:rPr>
        <w:t>%（特殊情况以合同为准）。</w:t>
      </w:r>
    </w:p>
    <w:p>
      <w:pPr>
        <w:pStyle w:val="23"/>
        <w:numPr>
          <w:ilvl w:val="0"/>
          <w:numId w:val="6"/>
        </w:numPr>
        <w:spacing w:before="156" w:after="156"/>
        <w:rPr>
          <w:rFonts w:hint="eastAsia" w:asciiTheme="minorEastAsia" w:hAnsiTheme="minorEastAsia" w:eastAsiaTheme="minorEastAsia"/>
          <w:sz w:val="28"/>
          <w:lang w:val="en-GB" w:eastAsia="zh-CN"/>
        </w:rPr>
      </w:pPr>
      <w:r>
        <w:rPr>
          <w:rFonts w:hint="eastAsia" w:asciiTheme="minorEastAsia" w:hAnsiTheme="minorEastAsia" w:eastAsiaTheme="minorEastAsia"/>
          <w:sz w:val="28"/>
          <w:lang w:val="en-GB" w:eastAsia="zh-CN"/>
        </w:rPr>
        <w:t>其他要求</w:t>
      </w:r>
    </w:p>
    <w:p>
      <w:pPr>
        <w:pStyle w:val="23"/>
        <w:numPr>
          <w:numId w:val="0"/>
        </w:numPr>
        <w:spacing w:before="156" w:after="156"/>
        <w:ind w:leftChars="0" w:firstLine="420" w:firstLineChars="200"/>
        <w:rPr>
          <w:rFonts w:hint="eastAsia" w:cs="Times New Roman" w:asciiTheme="minorEastAsia" w:hAnsiTheme="minorEastAsia" w:eastAsiaTheme="minorEastAsia"/>
          <w:b w:val="0"/>
          <w:kern w:val="1"/>
          <w:sz w:val="21"/>
          <w:szCs w:val="21"/>
          <w:lang w:val="en-GB" w:eastAsia="zh-CN" w:bidi="ar-SA"/>
        </w:rPr>
      </w:pPr>
      <w:r>
        <w:rPr>
          <w:rFonts w:hint="eastAsia" w:cs="Times New Roman" w:asciiTheme="minorEastAsia" w:hAnsiTheme="minorEastAsia" w:eastAsiaTheme="minorEastAsia"/>
          <w:b w:val="0"/>
          <w:kern w:val="1"/>
          <w:sz w:val="21"/>
          <w:szCs w:val="21"/>
          <w:lang w:val="en-GB" w:eastAsia="zh-CN" w:bidi="ar-SA"/>
        </w:rPr>
        <w:t>1.院方要求集成服务商需确保系统符合国家信息安全标准，采取有效措施保护患者和医院数据的安全，防止信息泄露。若因供应商原因导致数据泄露，需承担全部法律及经济赔偿责任。</w:t>
      </w:r>
    </w:p>
    <w:p>
      <w:pPr>
        <w:pStyle w:val="23"/>
        <w:numPr>
          <w:numId w:val="0"/>
        </w:numPr>
        <w:spacing w:before="156" w:after="156"/>
        <w:ind w:leftChars="0" w:firstLine="420" w:firstLineChars="200"/>
        <w:rPr>
          <w:rFonts w:hint="eastAsia" w:cs="Times New Roman" w:asciiTheme="minorEastAsia" w:hAnsiTheme="minorEastAsia" w:eastAsiaTheme="minorEastAsia"/>
          <w:b w:val="0"/>
          <w:kern w:val="1"/>
          <w:sz w:val="21"/>
          <w:szCs w:val="21"/>
          <w:lang w:val="en-GB" w:eastAsia="zh-CN" w:bidi="ar-SA"/>
        </w:rPr>
      </w:pPr>
      <w:r>
        <w:rPr>
          <w:rFonts w:hint="eastAsia" w:cs="Times New Roman" w:asciiTheme="minorEastAsia" w:hAnsiTheme="minorEastAsia" w:eastAsiaTheme="minorEastAsia"/>
          <w:b w:val="0"/>
          <w:kern w:val="1"/>
          <w:sz w:val="21"/>
          <w:szCs w:val="21"/>
          <w:lang w:val="en-GB" w:eastAsia="zh-CN" w:bidi="ar-SA"/>
        </w:rPr>
        <w:t>2.中标供应商须在建行开立结算账户，以便结算付款，且须在龙集采系统内下载或激活数字化证书，以便签署电子合同使用。</w:t>
      </w:r>
    </w:p>
    <w:p>
      <w:pPr>
        <w:pStyle w:val="23"/>
        <w:numPr>
          <w:numId w:val="0"/>
        </w:numPr>
        <w:spacing w:before="156" w:after="156"/>
        <w:ind w:leftChars="0" w:firstLine="420" w:firstLineChars="200"/>
        <w:rPr>
          <w:rFonts w:hint="eastAsia" w:cs="Times New Roman" w:asciiTheme="minorEastAsia" w:hAnsiTheme="minorEastAsia" w:eastAsiaTheme="minorEastAsia"/>
          <w:b w:val="0"/>
          <w:kern w:val="1"/>
          <w:sz w:val="21"/>
          <w:szCs w:val="21"/>
          <w:lang w:val="en-GB" w:eastAsia="zh-CN" w:bidi="ar-SA"/>
        </w:rPr>
      </w:pP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9" w:usb3="00000000" w:csb0="000001FF" w:csb1="00000000"/>
  </w:font>
  <w:font w:name="仿宋">
    <w:altName w:val="宋体"/>
    <w:panose1 w:val="02010609060101010101"/>
    <w:charset w:val="86"/>
    <w:family w:val="modern"/>
    <w:pitch w:val="default"/>
    <w:sig w:usb0="00000000" w:usb1="00000000" w:usb2="00000016" w:usb3="00000000" w:csb0="00040001" w:csb1="00000000"/>
  </w:font>
  <w:font w:name="Arial">
    <w:altName w:val="DejaVu Sans"/>
    <w:panose1 w:val="020B0604020202020204"/>
    <w:charset w:val="00"/>
    <w:family w:val="swiss"/>
    <w:pitch w:val="default"/>
    <w:sig w:usb0="00000000" w:usb1="00000000" w:usb2="00000009" w:usb3="00000000" w:csb0="000001FF" w:csb1="00000000"/>
  </w:font>
  <w:font w:name="Arial Unicode MS">
    <w:altName w:val="DejaVu Sans"/>
    <w:panose1 w:val="020B0604020202020204"/>
    <w:charset w:val="00"/>
    <w:family w:val="roman"/>
    <w:pitch w:val="default"/>
    <w:sig w:usb0="00000000" w:usb1="00000000" w:usb2="00000000" w:usb3="00000000" w:csb0="00000001" w:csb1="00000000"/>
  </w:font>
  <w:font w:name="微软雅黑">
    <w:altName w:val="黑体"/>
    <w:panose1 w:val="020B0503020204020204"/>
    <w:charset w:val="86"/>
    <w:family w:val="swiss"/>
    <w:pitch w:val="default"/>
    <w:sig w:usb0="00000000" w:usb1="00000000" w:usb2="00000016" w:usb3="00000000" w:csb0="0004001F" w:csb1="00000000"/>
  </w:font>
  <w:font w:name="Helvetica Neue">
    <w:altName w:val="URW Bookman"/>
    <w:panose1 w:val="00000000000000000000"/>
    <w:charset w:val="00"/>
    <w:family w:val="auto"/>
    <w:pitch w:val="default"/>
    <w:sig w:usb0="00000000" w:usb1="00000000" w:usb2="00000010" w:usb3="00000000" w:csb0="0000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URW Bookman">
    <w:panose1 w:val="00000400000000000000"/>
    <w:charset w:val="00"/>
    <w:family w:val="auto"/>
    <w:pitch w:val="default"/>
    <w:sig w:usb0="00000287" w:usb1="00000800" w:usb2="00000000" w:usb3="00000000" w:csb0="6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8018A6"/>
    <w:multiLevelType w:val="multilevel"/>
    <w:tmpl w:val="1F8018A6"/>
    <w:lvl w:ilvl="0" w:tentative="0">
      <w:start w:val="1"/>
      <w:numFmt w:val="chineseCountingThousand"/>
      <w:lvlText w:val="%1、"/>
      <w:lvlJc w:val="left"/>
      <w:pPr>
        <w:ind w:left="0" w:firstLine="0"/>
      </w:pPr>
      <w:rPr>
        <w:rFonts w:hint="eastAsia"/>
      </w:rPr>
    </w:lvl>
    <w:lvl w:ilvl="1" w:tentative="0">
      <w:start w:val="1"/>
      <w:numFmt w:val="decimal"/>
      <w:lvlText w:val="%2."/>
      <w:lvlJc w:val="left"/>
      <w:pPr>
        <w:ind w:left="0" w:firstLine="0"/>
      </w:pPr>
      <w:rPr>
        <w:rFonts w:hint="eastAsia"/>
        <w:sz w:val="21"/>
      </w:rPr>
    </w:lvl>
    <w:lvl w:ilvl="2" w:tentative="0">
      <w:start w:val="1"/>
      <w:numFmt w:val="decimal"/>
      <w:lvlText w:val="%3."/>
      <w:lvlJc w:val="left"/>
      <w:pPr>
        <w:ind w:left="0" w:firstLine="0"/>
      </w:pPr>
      <w:rPr>
        <w:rFonts w:hint="eastAsia"/>
      </w:rPr>
    </w:lvl>
    <w:lvl w:ilvl="3" w:tentative="0">
      <w:start w:val="1"/>
      <w:numFmt w:val="decimal"/>
      <w:lvlText w:val="%3.%4."/>
      <w:lvlJc w:val="left"/>
      <w:pPr>
        <w:ind w:left="0" w:firstLine="0"/>
      </w:pPr>
      <w:rPr>
        <w:rFonts w:hint="eastAsia"/>
      </w:rPr>
    </w:lvl>
    <w:lvl w:ilvl="4" w:tentative="0">
      <w:start w:val="1"/>
      <w:numFmt w:val="decimal"/>
      <w:lvlText w:val="%3.%4.%5."/>
      <w:lvlJc w:val="left"/>
      <w:pPr>
        <w:ind w:left="0" w:firstLine="0"/>
      </w:pPr>
      <w:rPr>
        <w:rFonts w:hint="eastAsia"/>
      </w:rPr>
    </w:lvl>
    <w:lvl w:ilvl="5" w:tentative="0">
      <w:start w:val="1"/>
      <w:numFmt w:val="decimal"/>
      <w:lvlText w:val="%3.%4.%5.%6."/>
      <w:lvlJc w:val="left"/>
      <w:pPr>
        <w:ind w:left="0" w:firstLine="0"/>
      </w:pPr>
      <w:rPr>
        <w:rFonts w:hint="eastAsia"/>
      </w:rPr>
    </w:lvl>
    <w:lvl w:ilvl="6" w:tentative="0">
      <w:start w:val="1"/>
      <w:numFmt w:val="upperLetter"/>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
    <w:nsid w:val="2A3E3AB1"/>
    <w:multiLevelType w:val="multilevel"/>
    <w:tmpl w:val="2A3E3AB1"/>
    <w:lvl w:ilvl="0" w:tentative="0">
      <w:start w:val="1"/>
      <w:numFmt w:val="chineseCountingThousand"/>
      <w:lvlText w:val="%1、"/>
      <w:lvlJc w:val="left"/>
      <w:pPr>
        <w:ind w:left="0" w:firstLine="0"/>
      </w:pPr>
      <w:rPr>
        <w:rFonts w:hint="eastAsia"/>
      </w:rPr>
    </w:lvl>
    <w:lvl w:ilvl="1" w:tentative="0">
      <w:start w:val="1"/>
      <w:numFmt w:val="decimal"/>
      <w:lvlText w:val="%2."/>
      <w:lvlJc w:val="left"/>
      <w:pPr>
        <w:ind w:left="0" w:firstLine="0"/>
      </w:pPr>
      <w:rPr>
        <w:rFonts w:hint="eastAsia"/>
        <w:sz w:val="21"/>
      </w:rPr>
    </w:lvl>
    <w:lvl w:ilvl="2" w:tentative="0">
      <w:start w:val="1"/>
      <w:numFmt w:val="decimal"/>
      <w:lvlText w:val="%3."/>
      <w:lvlJc w:val="left"/>
      <w:pPr>
        <w:ind w:left="0" w:firstLine="0"/>
      </w:pPr>
      <w:rPr>
        <w:rFonts w:hint="eastAsia"/>
      </w:rPr>
    </w:lvl>
    <w:lvl w:ilvl="3" w:tentative="0">
      <w:start w:val="1"/>
      <w:numFmt w:val="decimal"/>
      <w:lvlText w:val="%3.%4."/>
      <w:lvlJc w:val="left"/>
      <w:pPr>
        <w:ind w:left="0" w:firstLine="0"/>
      </w:pPr>
      <w:rPr>
        <w:rFonts w:hint="eastAsia"/>
      </w:rPr>
    </w:lvl>
    <w:lvl w:ilvl="4" w:tentative="0">
      <w:start w:val="1"/>
      <w:numFmt w:val="decimal"/>
      <w:lvlText w:val="%3.%4.%5."/>
      <w:lvlJc w:val="left"/>
      <w:pPr>
        <w:ind w:left="0" w:firstLine="0"/>
      </w:pPr>
      <w:rPr>
        <w:rFonts w:hint="eastAsia"/>
      </w:rPr>
    </w:lvl>
    <w:lvl w:ilvl="5" w:tentative="0">
      <w:start w:val="1"/>
      <w:numFmt w:val="decimal"/>
      <w:lvlText w:val="%3.%4.%5.%6."/>
      <w:lvlJc w:val="left"/>
      <w:pPr>
        <w:ind w:left="0" w:firstLine="0"/>
      </w:pPr>
      <w:rPr>
        <w:rFonts w:hint="eastAsia"/>
      </w:rPr>
    </w:lvl>
    <w:lvl w:ilvl="6" w:tentative="0">
      <w:start w:val="1"/>
      <w:numFmt w:val="upperLetter"/>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2">
    <w:nsid w:val="3D953F9E"/>
    <w:multiLevelType w:val="multilevel"/>
    <w:tmpl w:val="3D953F9E"/>
    <w:lvl w:ilvl="0" w:tentative="0">
      <w:start w:val="1"/>
      <w:numFmt w:val="chineseCountingThousand"/>
      <w:pStyle w:val="23"/>
      <w:lvlText w:val="%1."/>
      <w:lvlJc w:val="left"/>
      <w:pPr>
        <w:ind w:left="0" w:firstLine="0"/>
      </w:pPr>
      <w:rPr>
        <w:rFonts w:hint="eastAsia"/>
      </w:rPr>
    </w:lvl>
    <w:lvl w:ilvl="1" w:tentative="0">
      <w:start w:val="1"/>
      <w:numFmt w:val="chineseCountingThousand"/>
      <w:pStyle w:val="24"/>
      <w:lvlText w:val="(%2)"/>
      <w:lvlJc w:val="left"/>
      <w:pPr>
        <w:ind w:left="0" w:firstLine="0"/>
      </w:pPr>
      <w:rPr>
        <w:rFonts w:hint="eastAsia"/>
      </w:rPr>
    </w:lvl>
    <w:lvl w:ilvl="2" w:tentative="0">
      <w:start w:val="1"/>
      <w:numFmt w:val="decimal"/>
      <w:pStyle w:val="25"/>
      <w:lvlText w:val="%3."/>
      <w:lvlJc w:val="left"/>
      <w:pPr>
        <w:ind w:left="0" w:firstLine="0"/>
      </w:pPr>
      <w:rPr>
        <w:rFonts w:hint="eastAsia"/>
      </w:rPr>
    </w:lvl>
    <w:lvl w:ilvl="3" w:tentative="0">
      <w:start w:val="1"/>
      <w:numFmt w:val="decimal"/>
      <w:pStyle w:val="26"/>
      <w:lvlText w:val="%3.%4."/>
      <w:lvlJc w:val="left"/>
      <w:pPr>
        <w:ind w:left="0" w:firstLine="0"/>
      </w:pPr>
      <w:rPr>
        <w:rFonts w:hint="eastAsia"/>
      </w:rPr>
    </w:lvl>
    <w:lvl w:ilvl="4" w:tentative="0">
      <w:start w:val="1"/>
      <w:numFmt w:val="decimal"/>
      <w:pStyle w:val="27"/>
      <w:lvlText w:val="%3.%4.%5."/>
      <w:lvlJc w:val="left"/>
      <w:pPr>
        <w:ind w:left="0" w:firstLine="0"/>
      </w:pPr>
      <w:rPr>
        <w:rFonts w:hint="eastAsia"/>
      </w:rPr>
    </w:lvl>
    <w:lvl w:ilvl="5" w:tentative="0">
      <w:start w:val="1"/>
      <w:numFmt w:val="decimal"/>
      <w:pStyle w:val="28"/>
      <w:lvlText w:val="%3.%4.%5.%6."/>
      <w:lvlJc w:val="left"/>
      <w:pPr>
        <w:ind w:left="0" w:firstLine="0"/>
      </w:pPr>
      <w:rPr>
        <w:rFonts w:hint="eastAsia"/>
      </w:rPr>
    </w:lvl>
    <w:lvl w:ilvl="6" w:tentative="0">
      <w:start w:val="1"/>
      <w:numFmt w:val="upperLetter"/>
      <w:pStyle w:val="29"/>
      <w:lvlText w:val="%7."/>
      <w:lvlJc w:val="left"/>
      <w:pPr>
        <w:ind w:left="0" w:firstLine="0"/>
      </w:pPr>
      <w:rPr>
        <w:rFonts w:hint="eastAsia"/>
      </w:rPr>
    </w:lvl>
    <w:lvl w:ilvl="7" w:tentative="0">
      <w:start w:val="1"/>
      <w:numFmt w:val="lowerLetter"/>
      <w:pStyle w:val="30"/>
      <w:lvlText w:val="%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3">
    <w:nsid w:val="56ABD0F6"/>
    <w:multiLevelType w:val="multilevel"/>
    <w:tmpl w:val="56ABD0F6"/>
    <w:lvl w:ilvl="0" w:tentative="0">
      <w:start w:val="1"/>
      <w:numFmt w:val="decimal"/>
      <w:lvlText w:val="%1."/>
      <w:lvlJc w:val="left"/>
      <w:pPr>
        <w:ind w:left="0" w:firstLine="0"/>
      </w:pPr>
      <w:rPr>
        <w:rFonts w:hint="default"/>
        <w:sz w:val="44"/>
        <w:szCs w:val="44"/>
      </w:rPr>
    </w:lvl>
    <w:lvl w:ilvl="1" w:tentative="0">
      <w:start w:val="1"/>
      <w:numFmt w:val="decimal"/>
      <w:suff w:val="nothing"/>
      <w:lvlText w:val="%1.%2."/>
      <w:lvlJc w:val="left"/>
      <w:pPr>
        <w:ind w:left="0" w:firstLine="0"/>
      </w:pPr>
      <w:rPr>
        <w:rFonts w:hint="default" w:ascii="仿宋" w:hAnsi="仿宋" w:eastAsia="仿宋"/>
      </w:rPr>
    </w:lvl>
    <w:lvl w:ilvl="2" w:tentative="0">
      <w:start w:val="1"/>
      <w:numFmt w:val="decimal"/>
      <w:lvlText w:val="%1.%2.%3."/>
      <w:lvlJc w:val="left"/>
      <w:pPr>
        <w:ind w:left="0" w:firstLine="0"/>
      </w:pPr>
      <w:rPr>
        <w:rFonts w:hint="default" w:ascii="宋体" w:hAnsi="宋体" w:eastAsia="宋体"/>
      </w:rPr>
    </w:lvl>
    <w:lvl w:ilvl="3" w:tentative="0">
      <w:start w:val="1"/>
      <w:numFmt w:val="decimal"/>
      <w:pStyle w:val="6"/>
      <w:lvlText w:val="%1.%2.%3.%4."/>
      <w:lvlJc w:val="left"/>
      <w:pPr>
        <w:ind w:left="6090" w:firstLine="0"/>
      </w:pPr>
      <w:rPr>
        <w:rFonts w:hint="default"/>
      </w:rPr>
    </w:lvl>
    <w:lvl w:ilvl="4" w:tentative="0">
      <w:start w:val="1"/>
      <w:numFmt w:val="decimal"/>
      <w:pStyle w:val="7"/>
      <w:lvlText w:val="%1.%2.%3.%4.%5."/>
      <w:lvlJc w:val="left"/>
      <w:pPr>
        <w:ind w:left="0" w:firstLine="0"/>
      </w:pPr>
      <w:rPr>
        <w:rFonts w:hint="default" w:ascii="仿宋" w:hAnsi="仿宋" w:eastAsia="仿宋"/>
        <w:b/>
        <w:bCs/>
      </w:rPr>
    </w:lvl>
    <w:lvl w:ilvl="5" w:tentative="0">
      <w:start w:val="1"/>
      <w:numFmt w:val="decimal"/>
      <w:pStyle w:val="8"/>
      <w:lvlText w:val="%1.%2.%3.%4.%5.%6."/>
      <w:lvlJc w:val="left"/>
      <w:pPr>
        <w:ind w:left="5040" w:firstLine="0"/>
      </w:pPr>
      <w:rPr>
        <w:rFonts w:hint="default"/>
        <w:b/>
        <w:bCs w:val="0"/>
      </w:rPr>
    </w:lvl>
    <w:lvl w:ilvl="6" w:tentative="0">
      <w:start w:val="1"/>
      <w:numFmt w:val="decimal"/>
      <w:pStyle w:val="9"/>
      <w:lvlText w:val="%1.%2.%3.%4.%5.%6.%7."/>
      <w:lvlJc w:val="left"/>
      <w:pPr>
        <w:ind w:left="0" w:firstLine="0"/>
      </w:pPr>
      <w:rPr>
        <w:rFonts w:hint="default"/>
      </w:rPr>
    </w:lvl>
    <w:lvl w:ilvl="7" w:tentative="0">
      <w:start w:val="1"/>
      <w:numFmt w:val="decimal"/>
      <w:lvlText w:val="%1.%2.%3.%4.%5.%6.%7.%8."/>
      <w:lvlJc w:val="left"/>
      <w:pPr>
        <w:ind w:left="0" w:firstLine="0"/>
      </w:pPr>
      <w:rPr>
        <w:rFonts w:hint="default"/>
      </w:rPr>
    </w:lvl>
    <w:lvl w:ilvl="8" w:tentative="0">
      <w:start w:val="1"/>
      <w:numFmt w:val="decimal"/>
      <w:lvlText w:val="%1.%2.%3.%4.%5.%6.%7.%8.%9."/>
      <w:lvlJc w:val="left"/>
      <w:pPr>
        <w:ind w:left="0" w:firstLine="0"/>
      </w:pPr>
      <w:rPr>
        <w:rFonts w:hint="default"/>
      </w:rPr>
    </w:lvl>
  </w:abstractNum>
  <w:abstractNum w:abstractNumId="4">
    <w:nsid w:val="5CEE65CD"/>
    <w:multiLevelType w:val="multilevel"/>
    <w:tmpl w:val="5CEE65CD"/>
    <w:lvl w:ilvl="0" w:tentative="0">
      <w:start w:val="1"/>
      <w:numFmt w:val="japaneseCounting"/>
      <w:pStyle w:val="45"/>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DF84742"/>
    <w:multiLevelType w:val="multilevel"/>
    <w:tmpl w:val="5DF84742"/>
    <w:lvl w:ilvl="0" w:tentative="0">
      <w:start w:val="1"/>
      <w:numFmt w:val="chineseCountingThousand"/>
      <w:lvlText w:val="%1、"/>
      <w:lvlJc w:val="left"/>
      <w:pPr>
        <w:ind w:left="0" w:firstLine="0"/>
      </w:pPr>
      <w:rPr>
        <w:rFonts w:hint="eastAsia"/>
      </w:rPr>
    </w:lvl>
    <w:lvl w:ilvl="1" w:tentative="0">
      <w:start w:val="1"/>
      <w:numFmt w:val="chineseCountingThousand"/>
      <w:lvlText w:val="(%2)"/>
      <w:lvlJc w:val="left"/>
      <w:pPr>
        <w:ind w:left="0" w:firstLine="0"/>
      </w:pPr>
      <w:rPr>
        <w:rFonts w:hint="eastAsia"/>
      </w:rPr>
    </w:lvl>
    <w:lvl w:ilvl="2" w:tentative="0">
      <w:start w:val="1"/>
      <w:numFmt w:val="decimal"/>
      <w:lvlText w:val="%3."/>
      <w:lvlJc w:val="left"/>
      <w:pPr>
        <w:ind w:left="0" w:firstLine="0"/>
      </w:pPr>
      <w:rPr>
        <w:rFonts w:hint="eastAsia"/>
      </w:rPr>
    </w:lvl>
    <w:lvl w:ilvl="3" w:tentative="0">
      <w:start w:val="1"/>
      <w:numFmt w:val="decimal"/>
      <w:lvlText w:val="%3.%4."/>
      <w:lvlJc w:val="left"/>
      <w:pPr>
        <w:ind w:left="0" w:firstLine="0"/>
      </w:pPr>
      <w:rPr>
        <w:rFonts w:hint="eastAsia"/>
      </w:rPr>
    </w:lvl>
    <w:lvl w:ilvl="4" w:tentative="0">
      <w:start w:val="1"/>
      <w:numFmt w:val="decimal"/>
      <w:lvlText w:val="%3.%4.%5."/>
      <w:lvlJc w:val="left"/>
      <w:pPr>
        <w:ind w:left="0" w:firstLine="0"/>
      </w:pPr>
      <w:rPr>
        <w:rFonts w:hint="eastAsia"/>
      </w:rPr>
    </w:lvl>
    <w:lvl w:ilvl="5" w:tentative="0">
      <w:start w:val="1"/>
      <w:numFmt w:val="decimal"/>
      <w:lvlText w:val="%3.%4.%5.%6."/>
      <w:lvlJc w:val="left"/>
      <w:pPr>
        <w:ind w:left="0" w:firstLine="0"/>
      </w:pPr>
      <w:rPr>
        <w:rFonts w:hint="eastAsia"/>
      </w:rPr>
    </w:lvl>
    <w:lvl w:ilvl="6" w:tentative="0">
      <w:start w:val="1"/>
      <w:numFmt w:val="upperLetter"/>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6">
    <w:nsid w:val="64E97BDF"/>
    <w:multiLevelType w:val="multilevel"/>
    <w:tmpl w:val="64E97BDF"/>
    <w:lvl w:ilvl="0" w:tentative="0">
      <w:start w:val="1"/>
      <w:numFmt w:val="chineseCountingThousand"/>
      <w:pStyle w:val="38"/>
      <w:lvlText w:val="%1、"/>
      <w:lvlJc w:val="left"/>
      <w:pPr>
        <w:ind w:left="562" w:hanging="420"/>
      </w:p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7">
    <w:nsid w:val="67934406"/>
    <w:multiLevelType w:val="multilevel"/>
    <w:tmpl w:val="67934406"/>
    <w:lvl w:ilvl="0" w:tentative="0">
      <w:start w:val="1"/>
      <w:numFmt w:val="chineseCountingThousand"/>
      <w:lvlText w:val="%1、"/>
      <w:lvlJc w:val="left"/>
      <w:pPr>
        <w:ind w:left="0" w:firstLine="0"/>
      </w:pPr>
      <w:rPr>
        <w:rFonts w:hint="eastAsia"/>
      </w:rPr>
    </w:lvl>
    <w:lvl w:ilvl="1" w:tentative="0">
      <w:start w:val="1"/>
      <w:numFmt w:val="decimal"/>
      <w:lvlText w:val="%2."/>
      <w:lvlJc w:val="left"/>
      <w:pPr>
        <w:ind w:left="0" w:firstLine="0"/>
      </w:pPr>
      <w:rPr>
        <w:rFonts w:hint="eastAsia"/>
        <w:sz w:val="21"/>
      </w:rPr>
    </w:lvl>
    <w:lvl w:ilvl="2" w:tentative="0">
      <w:start w:val="1"/>
      <w:numFmt w:val="decimal"/>
      <w:lvlText w:val="%3."/>
      <w:lvlJc w:val="left"/>
      <w:pPr>
        <w:ind w:left="0" w:firstLine="0"/>
      </w:pPr>
      <w:rPr>
        <w:rFonts w:hint="eastAsia"/>
      </w:rPr>
    </w:lvl>
    <w:lvl w:ilvl="3" w:tentative="0">
      <w:start w:val="1"/>
      <w:numFmt w:val="decimal"/>
      <w:lvlText w:val="%3.%4."/>
      <w:lvlJc w:val="left"/>
      <w:pPr>
        <w:ind w:left="0" w:firstLine="0"/>
      </w:pPr>
      <w:rPr>
        <w:rFonts w:hint="eastAsia"/>
      </w:rPr>
    </w:lvl>
    <w:lvl w:ilvl="4" w:tentative="0">
      <w:start w:val="1"/>
      <w:numFmt w:val="decimal"/>
      <w:lvlText w:val="%3.%4.%5."/>
      <w:lvlJc w:val="left"/>
      <w:pPr>
        <w:ind w:left="0" w:firstLine="0"/>
      </w:pPr>
      <w:rPr>
        <w:rFonts w:hint="eastAsia"/>
      </w:rPr>
    </w:lvl>
    <w:lvl w:ilvl="5" w:tentative="0">
      <w:start w:val="1"/>
      <w:numFmt w:val="decimal"/>
      <w:lvlText w:val="%3.%4.%5.%6."/>
      <w:lvlJc w:val="left"/>
      <w:pPr>
        <w:ind w:left="0" w:firstLine="0"/>
      </w:pPr>
      <w:rPr>
        <w:rFonts w:hint="eastAsia"/>
      </w:rPr>
    </w:lvl>
    <w:lvl w:ilvl="6" w:tentative="0">
      <w:start w:val="1"/>
      <w:numFmt w:val="upperLetter"/>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3"/>
    <w:lvlOverride w:ilvl="0">
      <w:lvl w:ilvl="0" w:tentative="1">
        <w:start w:val="1"/>
        <w:numFmt w:val="decimal"/>
        <w:lvlText w:val="%1."/>
        <w:lvlJc w:val="left"/>
        <w:pPr>
          <w:ind w:left="0" w:firstLine="0"/>
        </w:pPr>
        <w:rPr>
          <w:rFonts w:hint="default"/>
          <w:sz w:val="44"/>
          <w:szCs w:val="44"/>
        </w:rPr>
      </w:lvl>
    </w:lvlOverride>
    <w:lvlOverride w:ilvl="1">
      <w:lvl w:ilvl="1" w:tentative="1">
        <w:start w:val="1"/>
        <w:numFmt w:val="decimal"/>
        <w:suff w:val="nothing"/>
        <w:lvlText w:val="%1.%2."/>
        <w:lvlJc w:val="left"/>
        <w:pPr>
          <w:ind w:left="0" w:firstLine="0"/>
        </w:pPr>
        <w:rPr>
          <w:rFonts w:hint="default" w:ascii="仿宋" w:hAnsi="仿宋" w:eastAsia="仿宋"/>
        </w:rPr>
      </w:lvl>
    </w:lvlOverride>
    <w:lvlOverride w:ilvl="2">
      <w:lvl w:ilvl="2" w:tentative="1">
        <w:start w:val="1"/>
        <w:numFmt w:val="decimal"/>
        <w:pStyle w:val="4"/>
        <w:suff w:val="nothing"/>
        <w:lvlText w:val="%1.%2.%3."/>
        <w:lvlJc w:val="left"/>
        <w:pPr>
          <w:ind w:left="840" w:firstLine="0"/>
        </w:pPr>
        <w:rPr>
          <w:rFonts w:hint="default" w:ascii="宋体" w:hAnsi="宋体" w:eastAsia="宋体"/>
        </w:rPr>
      </w:lvl>
    </w:lvlOverride>
    <w:lvlOverride w:ilvl="3">
      <w:lvl w:ilvl="3" w:tentative="1">
        <w:start w:val="1"/>
        <w:numFmt w:val="decimal"/>
        <w:lvlText w:val="%1.%2.%3.%4."/>
        <w:lvlJc w:val="left"/>
        <w:pPr>
          <w:ind w:left="0" w:firstLine="0"/>
        </w:pPr>
        <w:rPr>
          <w:rFonts w:hint="default"/>
        </w:rPr>
      </w:lvl>
    </w:lvlOverride>
    <w:lvlOverride w:ilvl="4">
      <w:lvl w:ilvl="4" w:tentative="1">
        <w:start w:val="1"/>
        <w:numFmt w:val="decimal"/>
        <w:lvlText w:val="%1.%2.%3.%4.%5."/>
        <w:lvlJc w:val="left"/>
        <w:pPr>
          <w:ind w:left="0" w:firstLine="0"/>
        </w:pPr>
        <w:rPr>
          <w:rFonts w:hint="default" w:ascii="仿宋" w:hAnsi="仿宋" w:eastAsia="仿宋"/>
          <w:b/>
          <w:bCs/>
        </w:rPr>
      </w:lvl>
    </w:lvlOverride>
    <w:lvlOverride w:ilvl="5">
      <w:lvl w:ilvl="5" w:tentative="1">
        <w:start w:val="1"/>
        <w:numFmt w:val="decimal"/>
        <w:lvlText w:val="%1.%2.%3.%4.%5.%6."/>
        <w:lvlJc w:val="left"/>
        <w:pPr>
          <w:ind w:left="0" w:firstLine="0"/>
        </w:pPr>
        <w:rPr>
          <w:rFonts w:hint="default"/>
          <w:b/>
          <w:bCs w:val="0"/>
        </w:rPr>
      </w:lvl>
    </w:lvlOverride>
    <w:lvlOverride w:ilvl="6">
      <w:lvl w:ilvl="6" w:tentative="1">
        <w:start w:val="1"/>
        <w:numFmt w:val="decimal"/>
        <w:lvlText w:val="%1.%2.%3.%4.%5.%6.%7."/>
        <w:lvlJc w:val="left"/>
        <w:pPr>
          <w:ind w:left="0" w:firstLine="0"/>
        </w:pPr>
        <w:rPr>
          <w:rFonts w:hint="default"/>
        </w:rPr>
      </w:lvl>
    </w:lvlOverride>
    <w:lvlOverride w:ilvl="7">
      <w:lvl w:ilvl="7" w:tentative="1">
        <w:start w:val="1"/>
        <w:numFmt w:val="decimal"/>
        <w:lvlText w:val="%1.%2.%3.%4.%5.%6.%7.%8."/>
        <w:lvlJc w:val="left"/>
        <w:pPr>
          <w:ind w:left="0" w:firstLine="0"/>
        </w:pPr>
        <w:rPr>
          <w:rFonts w:hint="default"/>
        </w:rPr>
      </w:lvl>
    </w:lvlOverride>
    <w:lvlOverride w:ilvl="8">
      <w:lvl w:ilvl="8" w:tentative="1">
        <w:start w:val="1"/>
        <w:numFmt w:val="decimal"/>
        <w:lvlText w:val="%1.%2.%3.%4.%5.%6.%7.%8.%9."/>
        <w:lvlJc w:val="left"/>
        <w:pPr>
          <w:ind w:left="0" w:firstLine="0"/>
        </w:pPr>
        <w:rPr>
          <w:rFonts w:hint="default"/>
        </w:rPr>
      </w:lvl>
    </w:lvlOverride>
  </w:num>
  <w:num w:numId="2">
    <w:abstractNumId w:val="3"/>
  </w:num>
  <w:num w:numId="3">
    <w:abstractNumId w:val="2"/>
  </w:num>
  <w:num w:numId="4">
    <w:abstractNumId w:val="6"/>
  </w:num>
  <w:num w:numId="5">
    <w:abstractNumId w:val="4"/>
  </w:num>
  <w:num w:numId="6">
    <w:abstractNumId w:val="5"/>
  </w:num>
  <w:num w:numId="7">
    <w:abstractNumId w:val="0"/>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revisionView w:markup="0"/>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M2ZjU0NGYxY2U5YTZlZjg4ODI0YzNlYjIxMjQ1ZDIifQ=="/>
  </w:docVars>
  <w:rsids>
    <w:rsidRoot w:val="00656E65"/>
    <w:rsid w:val="00024F42"/>
    <w:rsid w:val="00057263"/>
    <w:rsid w:val="000710B0"/>
    <w:rsid w:val="000A1C9B"/>
    <w:rsid w:val="0012661B"/>
    <w:rsid w:val="00141DC0"/>
    <w:rsid w:val="00181A67"/>
    <w:rsid w:val="00193F32"/>
    <w:rsid w:val="0019505F"/>
    <w:rsid w:val="001A5379"/>
    <w:rsid w:val="001B28AE"/>
    <w:rsid w:val="001C679E"/>
    <w:rsid w:val="001D0C25"/>
    <w:rsid w:val="001F0E74"/>
    <w:rsid w:val="00201E0A"/>
    <w:rsid w:val="00202FC0"/>
    <w:rsid w:val="002C0938"/>
    <w:rsid w:val="002F7217"/>
    <w:rsid w:val="003416A4"/>
    <w:rsid w:val="00387C81"/>
    <w:rsid w:val="003A7E35"/>
    <w:rsid w:val="003B271E"/>
    <w:rsid w:val="003B3556"/>
    <w:rsid w:val="004120DA"/>
    <w:rsid w:val="00421454"/>
    <w:rsid w:val="004A33C3"/>
    <w:rsid w:val="004D09C3"/>
    <w:rsid w:val="004D52FA"/>
    <w:rsid w:val="004E0A21"/>
    <w:rsid w:val="004F0BC3"/>
    <w:rsid w:val="00551127"/>
    <w:rsid w:val="0057328A"/>
    <w:rsid w:val="00590C04"/>
    <w:rsid w:val="005C20DB"/>
    <w:rsid w:val="005D0878"/>
    <w:rsid w:val="00656E65"/>
    <w:rsid w:val="006676B5"/>
    <w:rsid w:val="0067229D"/>
    <w:rsid w:val="006F32DC"/>
    <w:rsid w:val="00700D49"/>
    <w:rsid w:val="00707EEB"/>
    <w:rsid w:val="00732080"/>
    <w:rsid w:val="007348E2"/>
    <w:rsid w:val="007532B0"/>
    <w:rsid w:val="00785307"/>
    <w:rsid w:val="007C7750"/>
    <w:rsid w:val="008508C6"/>
    <w:rsid w:val="00852052"/>
    <w:rsid w:val="00852D7A"/>
    <w:rsid w:val="00867423"/>
    <w:rsid w:val="00874710"/>
    <w:rsid w:val="00877C6F"/>
    <w:rsid w:val="008B70B1"/>
    <w:rsid w:val="00920CC2"/>
    <w:rsid w:val="00940480"/>
    <w:rsid w:val="009413B3"/>
    <w:rsid w:val="009511EB"/>
    <w:rsid w:val="009A7B97"/>
    <w:rsid w:val="00A07381"/>
    <w:rsid w:val="00A65604"/>
    <w:rsid w:val="00A9717C"/>
    <w:rsid w:val="00AA2CB4"/>
    <w:rsid w:val="00AB33C5"/>
    <w:rsid w:val="00B02EFD"/>
    <w:rsid w:val="00B5237A"/>
    <w:rsid w:val="00B71DE5"/>
    <w:rsid w:val="00C23819"/>
    <w:rsid w:val="00C3707B"/>
    <w:rsid w:val="00CB1B30"/>
    <w:rsid w:val="00CC7134"/>
    <w:rsid w:val="00CF411D"/>
    <w:rsid w:val="00D040E9"/>
    <w:rsid w:val="00D27907"/>
    <w:rsid w:val="00D41C6A"/>
    <w:rsid w:val="00D5648C"/>
    <w:rsid w:val="00D64F16"/>
    <w:rsid w:val="00D70729"/>
    <w:rsid w:val="00D76845"/>
    <w:rsid w:val="00DD3928"/>
    <w:rsid w:val="00DE675D"/>
    <w:rsid w:val="00E006E6"/>
    <w:rsid w:val="00E012E5"/>
    <w:rsid w:val="00E327C6"/>
    <w:rsid w:val="00E5060B"/>
    <w:rsid w:val="00E5735B"/>
    <w:rsid w:val="00E6008E"/>
    <w:rsid w:val="00E919F8"/>
    <w:rsid w:val="00E93502"/>
    <w:rsid w:val="00F05AE7"/>
    <w:rsid w:val="00F11AC3"/>
    <w:rsid w:val="00F20889"/>
    <w:rsid w:val="00F94119"/>
    <w:rsid w:val="00FE0C23"/>
    <w:rsid w:val="00FE557C"/>
    <w:rsid w:val="0F953098"/>
    <w:rsid w:val="15D41BDB"/>
    <w:rsid w:val="50304FE2"/>
    <w:rsid w:val="543610D7"/>
    <w:rsid w:val="5C844408"/>
    <w:rsid w:val="5CFF3558"/>
    <w:rsid w:val="5E850C64"/>
    <w:rsid w:val="5F002690"/>
    <w:rsid w:val="777F0C9D"/>
    <w:rsid w:val="7B243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next w:val="5"/>
    <w:unhideWhenUsed/>
    <w:qFormat/>
    <w:uiPriority w:val="9"/>
    <w:pPr>
      <w:keepNext/>
      <w:keepLines/>
      <w:numPr>
        <w:ilvl w:val="2"/>
        <w:numId w:val="1"/>
      </w:numPr>
      <w:spacing w:before="140" w:after="140" w:line="416" w:lineRule="auto"/>
      <w:outlineLvl w:val="2"/>
    </w:pPr>
    <w:rPr>
      <w:rFonts w:eastAsia="宋体" w:asciiTheme="minorHAnsi" w:hAnsiTheme="minorHAnsi" w:cstheme="minorBidi"/>
      <w:b/>
      <w:bCs/>
      <w:kern w:val="2"/>
      <w:sz w:val="32"/>
      <w:szCs w:val="32"/>
      <w:lang w:val="en-US" w:eastAsia="zh-CN" w:bidi="ar-SA"/>
    </w:rPr>
  </w:style>
  <w:style w:type="paragraph" w:styleId="6">
    <w:name w:val="heading 4"/>
    <w:next w:val="5"/>
    <w:unhideWhenUsed/>
    <w:qFormat/>
    <w:uiPriority w:val="9"/>
    <w:pPr>
      <w:keepNext/>
      <w:keepLines/>
      <w:numPr>
        <w:ilvl w:val="3"/>
        <w:numId w:val="2"/>
      </w:numPr>
      <w:spacing w:before="160" w:after="170" w:line="376" w:lineRule="auto"/>
      <w:outlineLvl w:val="3"/>
    </w:pPr>
    <w:rPr>
      <w:rFonts w:eastAsia="宋体" w:asciiTheme="majorHAnsi" w:hAnsiTheme="majorHAnsi" w:cstheme="majorBidi"/>
      <w:b/>
      <w:bCs/>
      <w:kern w:val="2"/>
      <w:sz w:val="28"/>
      <w:szCs w:val="28"/>
      <w:lang w:val="en-US" w:eastAsia="zh-CN" w:bidi="ar-SA"/>
    </w:rPr>
  </w:style>
  <w:style w:type="paragraph" w:styleId="7">
    <w:name w:val="heading 5"/>
    <w:next w:val="5"/>
    <w:unhideWhenUsed/>
    <w:qFormat/>
    <w:uiPriority w:val="9"/>
    <w:pPr>
      <w:keepNext/>
      <w:keepLines/>
      <w:numPr>
        <w:ilvl w:val="4"/>
        <w:numId w:val="2"/>
      </w:numPr>
      <w:spacing w:before="160" w:after="170" w:line="376" w:lineRule="auto"/>
      <w:outlineLvl w:val="4"/>
    </w:pPr>
    <w:rPr>
      <w:rFonts w:eastAsia="宋体" w:asciiTheme="minorHAnsi" w:hAnsiTheme="minorHAnsi" w:cstheme="minorBidi"/>
      <w:b/>
      <w:bCs/>
      <w:kern w:val="2"/>
      <w:sz w:val="28"/>
      <w:szCs w:val="28"/>
      <w:lang w:val="en-US" w:eastAsia="zh-CN" w:bidi="ar-SA"/>
    </w:rPr>
  </w:style>
  <w:style w:type="paragraph" w:styleId="8">
    <w:name w:val="heading 6"/>
    <w:next w:val="5"/>
    <w:unhideWhenUsed/>
    <w:qFormat/>
    <w:uiPriority w:val="9"/>
    <w:pPr>
      <w:keepNext/>
      <w:keepLines/>
      <w:numPr>
        <w:ilvl w:val="5"/>
        <w:numId w:val="2"/>
      </w:numPr>
      <w:spacing w:before="120" w:line="320" w:lineRule="auto"/>
      <w:outlineLvl w:val="5"/>
    </w:pPr>
    <w:rPr>
      <w:rFonts w:eastAsia="宋体" w:asciiTheme="majorHAnsi" w:hAnsiTheme="majorHAnsi" w:cstheme="majorBidi"/>
      <w:b/>
      <w:bCs/>
      <w:kern w:val="2"/>
      <w:sz w:val="28"/>
      <w:szCs w:val="24"/>
      <w:lang w:val="en-US" w:eastAsia="zh-CN" w:bidi="ar-SA"/>
    </w:rPr>
  </w:style>
  <w:style w:type="paragraph" w:styleId="9">
    <w:name w:val="heading 7"/>
    <w:next w:val="5"/>
    <w:unhideWhenUsed/>
    <w:qFormat/>
    <w:uiPriority w:val="9"/>
    <w:pPr>
      <w:keepNext/>
      <w:keepLines/>
      <w:numPr>
        <w:ilvl w:val="6"/>
        <w:numId w:val="2"/>
      </w:numPr>
      <w:spacing w:before="120" w:line="320" w:lineRule="auto"/>
      <w:outlineLvl w:val="6"/>
    </w:pPr>
    <w:rPr>
      <w:rFonts w:eastAsia="宋体" w:asciiTheme="minorHAnsi" w:hAnsiTheme="minorHAnsi" w:cstheme="minorBidi"/>
      <w:b/>
      <w:bCs/>
      <w:kern w:val="2"/>
      <w:sz w:val="28"/>
      <w:szCs w:val="24"/>
      <w:lang w:val="en-US" w:eastAsia="zh-CN" w:bidi="ar-SA"/>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5">
    <w:name w:val="标书正文"/>
    <w:basedOn w:val="1"/>
    <w:qFormat/>
    <w:uiPriority w:val="0"/>
    <w:pPr>
      <w:widowControl/>
      <w:ind w:firstLine="480"/>
      <w:jc w:val="left"/>
    </w:pPr>
    <w:rPr>
      <w:rFonts w:ascii="宋体" w:hAnsi="宋体" w:eastAsia="宋体" w:cs="宋体"/>
      <w:kern w:val="0"/>
      <w:sz w:val="24"/>
      <w:szCs w:val="24"/>
    </w:rPr>
  </w:style>
  <w:style w:type="paragraph" w:styleId="10">
    <w:name w:val="caption"/>
    <w:basedOn w:val="1"/>
    <w:next w:val="1"/>
    <w:qFormat/>
    <w:uiPriority w:val="99"/>
    <w:pPr>
      <w:widowControl/>
      <w:jc w:val="left"/>
    </w:pPr>
    <w:rPr>
      <w:rFonts w:ascii="Arial" w:hAnsi="Arial" w:eastAsia="黑体" w:cs="Arial"/>
      <w:kern w:val="0"/>
      <w:sz w:val="20"/>
      <w:szCs w:val="20"/>
    </w:rPr>
  </w:style>
  <w:style w:type="paragraph" w:styleId="11">
    <w:name w:val="annotation text"/>
    <w:basedOn w:val="1"/>
    <w:link w:val="35"/>
    <w:unhideWhenUsed/>
    <w:qFormat/>
    <w:uiPriority w:val="99"/>
    <w:pPr>
      <w:jc w:val="left"/>
    </w:pPr>
    <w:rPr>
      <w:rFonts w:ascii="Calibri" w:hAnsi="Calibri" w:eastAsia="宋体" w:cs="Times New Roman"/>
    </w:rPr>
  </w:style>
  <w:style w:type="paragraph" w:styleId="12">
    <w:name w:val="Body Text"/>
    <w:basedOn w:val="1"/>
    <w:next w:val="1"/>
    <w:qFormat/>
    <w:uiPriority w:val="99"/>
    <w:pPr>
      <w:widowControl/>
      <w:ind w:firstLine="480"/>
      <w:jc w:val="left"/>
    </w:pPr>
    <w:rPr>
      <w:rFonts w:ascii="宋体" w:hAnsi="宋体" w:eastAsia="宋体" w:cs="宋体"/>
      <w:kern w:val="0"/>
      <w:sz w:val="24"/>
      <w:szCs w:val="24"/>
    </w:rPr>
  </w:style>
  <w:style w:type="paragraph" w:styleId="13">
    <w:name w:val="footer"/>
    <w:basedOn w:val="1"/>
    <w:link w:val="34"/>
    <w:unhideWhenUsed/>
    <w:qFormat/>
    <w:uiPriority w:val="99"/>
    <w:pPr>
      <w:tabs>
        <w:tab w:val="center" w:pos="4153"/>
        <w:tab w:val="right" w:pos="8306"/>
      </w:tabs>
      <w:snapToGrid w:val="0"/>
      <w:jc w:val="left"/>
    </w:pPr>
    <w:rPr>
      <w:sz w:val="18"/>
      <w:szCs w:val="18"/>
    </w:rPr>
  </w:style>
  <w:style w:type="paragraph" w:styleId="14">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rPr>
      <w:rFonts w:ascii="Calibri" w:hAnsi="Calibri" w:eastAsia="宋体" w:cs="Times New Roman"/>
    </w:rPr>
  </w:style>
  <w:style w:type="paragraph" w:styleId="16">
    <w:name w:val="Normal (Web)"/>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line="408" w:lineRule="auto"/>
    </w:pPr>
    <w:rPr>
      <w:rFonts w:ascii="Arial Unicode MS" w:hAnsi="Arial Unicode MS" w:eastAsia="Arial Unicode MS" w:cs="Times New Roman"/>
      <w:kern w:val="1"/>
      <w:sz w:val="18"/>
      <w:szCs w:val="18"/>
      <w:lang w:val="en-US" w:eastAsia="zh-CN" w:bidi="ar-SA"/>
    </w:rPr>
  </w:style>
  <w:style w:type="table" w:styleId="18">
    <w:name w:val="Table Grid"/>
    <w:basedOn w:val="17"/>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unhideWhenUsed/>
    <w:qFormat/>
    <w:uiPriority w:val="99"/>
    <w:rPr>
      <w:color w:val="0563C1"/>
      <w:u w:val="single"/>
    </w:rPr>
  </w:style>
  <w:style w:type="character" w:styleId="21">
    <w:name w:val="annotation reference"/>
    <w:basedOn w:val="19"/>
    <w:semiHidden/>
    <w:unhideWhenUsed/>
    <w:qFormat/>
    <w:uiPriority w:val="99"/>
    <w:rPr>
      <w:sz w:val="21"/>
      <w:szCs w:val="21"/>
    </w:rPr>
  </w:style>
  <w:style w:type="paragraph" w:styleId="22">
    <w:name w:val="List Paragraph"/>
    <w:basedOn w:val="1"/>
    <w:qFormat/>
    <w:uiPriority w:val="34"/>
    <w:pPr>
      <w:ind w:firstLine="420" w:firstLineChars="200"/>
    </w:pPr>
  </w:style>
  <w:style w:type="paragraph" w:customStyle="1" w:styleId="23">
    <w:name w:val="~h1"/>
    <w:basedOn w:val="22"/>
    <w:qFormat/>
    <w:uiPriority w:val="0"/>
    <w:pPr>
      <w:numPr>
        <w:ilvl w:val="0"/>
        <w:numId w:val="3"/>
      </w:numPr>
      <w:spacing w:before="50" w:beforeLines="50" w:after="50" w:afterLines="50"/>
      <w:ind w:firstLineChars="0"/>
      <w:outlineLvl w:val="0"/>
    </w:pPr>
    <w:rPr>
      <w:rFonts w:ascii="微软雅黑" w:hAnsi="微软雅黑" w:eastAsia="微软雅黑"/>
      <w:b/>
      <w:sz w:val="32"/>
    </w:rPr>
  </w:style>
  <w:style w:type="paragraph" w:customStyle="1" w:styleId="24">
    <w:name w:val="~h2"/>
    <w:basedOn w:val="22"/>
    <w:qFormat/>
    <w:uiPriority w:val="0"/>
    <w:pPr>
      <w:numPr>
        <w:ilvl w:val="1"/>
        <w:numId w:val="3"/>
      </w:numPr>
      <w:spacing w:before="50" w:beforeLines="50" w:after="50" w:afterLines="50"/>
      <w:ind w:firstLineChars="0"/>
      <w:outlineLvl w:val="1"/>
    </w:pPr>
    <w:rPr>
      <w:rFonts w:ascii="微软雅黑" w:hAnsi="微软雅黑" w:eastAsia="微软雅黑"/>
      <w:b/>
      <w:sz w:val="30"/>
    </w:rPr>
  </w:style>
  <w:style w:type="paragraph" w:customStyle="1" w:styleId="25">
    <w:name w:val="~h3"/>
    <w:basedOn w:val="22"/>
    <w:qFormat/>
    <w:uiPriority w:val="0"/>
    <w:pPr>
      <w:numPr>
        <w:ilvl w:val="2"/>
        <w:numId w:val="3"/>
      </w:numPr>
      <w:spacing w:before="50" w:beforeLines="50" w:after="50" w:afterLines="50"/>
      <w:ind w:firstLineChars="0"/>
      <w:outlineLvl w:val="2"/>
    </w:pPr>
    <w:rPr>
      <w:rFonts w:ascii="微软雅黑" w:hAnsi="微软雅黑" w:eastAsia="微软雅黑"/>
      <w:b/>
      <w:sz w:val="28"/>
    </w:rPr>
  </w:style>
  <w:style w:type="paragraph" w:customStyle="1" w:styleId="26">
    <w:name w:val="~h4"/>
    <w:basedOn w:val="22"/>
    <w:qFormat/>
    <w:uiPriority w:val="0"/>
    <w:pPr>
      <w:numPr>
        <w:ilvl w:val="3"/>
        <w:numId w:val="3"/>
      </w:numPr>
      <w:spacing w:before="50" w:beforeLines="50" w:after="50" w:afterLines="50"/>
      <w:ind w:firstLineChars="0"/>
      <w:outlineLvl w:val="3"/>
    </w:pPr>
    <w:rPr>
      <w:rFonts w:ascii="微软雅黑" w:hAnsi="微软雅黑" w:eastAsia="微软雅黑"/>
      <w:b/>
      <w:sz w:val="24"/>
    </w:rPr>
  </w:style>
  <w:style w:type="paragraph" w:customStyle="1" w:styleId="27">
    <w:name w:val="~h5"/>
    <w:basedOn w:val="22"/>
    <w:qFormat/>
    <w:uiPriority w:val="0"/>
    <w:pPr>
      <w:numPr>
        <w:ilvl w:val="4"/>
        <w:numId w:val="3"/>
      </w:numPr>
      <w:spacing w:before="50" w:beforeLines="50" w:after="50" w:afterLines="50"/>
      <w:ind w:firstLineChars="0"/>
      <w:outlineLvl w:val="4"/>
    </w:pPr>
    <w:rPr>
      <w:rFonts w:ascii="微软雅黑" w:hAnsi="微软雅黑" w:eastAsia="微软雅黑"/>
      <w:b/>
      <w:sz w:val="24"/>
    </w:rPr>
  </w:style>
  <w:style w:type="paragraph" w:customStyle="1" w:styleId="28">
    <w:name w:val="~h6"/>
    <w:basedOn w:val="22"/>
    <w:qFormat/>
    <w:uiPriority w:val="0"/>
    <w:pPr>
      <w:numPr>
        <w:ilvl w:val="5"/>
        <w:numId w:val="3"/>
      </w:numPr>
      <w:spacing w:before="50" w:beforeLines="50" w:after="50" w:afterLines="50"/>
      <w:ind w:firstLineChars="0"/>
      <w:outlineLvl w:val="5"/>
    </w:pPr>
    <w:rPr>
      <w:rFonts w:ascii="微软雅黑" w:hAnsi="微软雅黑" w:eastAsia="微软雅黑"/>
      <w:b/>
      <w:sz w:val="24"/>
    </w:rPr>
  </w:style>
  <w:style w:type="paragraph" w:customStyle="1" w:styleId="29">
    <w:name w:val="~h7"/>
    <w:basedOn w:val="22"/>
    <w:qFormat/>
    <w:uiPriority w:val="0"/>
    <w:pPr>
      <w:numPr>
        <w:ilvl w:val="6"/>
        <w:numId w:val="3"/>
      </w:numPr>
      <w:spacing w:before="50" w:beforeLines="50" w:after="50" w:afterLines="50"/>
      <w:ind w:firstLineChars="0"/>
      <w:outlineLvl w:val="6"/>
    </w:pPr>
    <w:rPr>
      <w:rFonts w:ascii="微软雅黑" w:hAnsi="微软雅黑" w:eastAsia="微软雅黑"/>
      <w:b/>
      <w:sz w:val="24"/>
    </w:rPr>
  </w:style>
  <w:style w:type="paragraph" w:customStyle="1" w:styleId="30">
    <w:name w:val="~h8"/>
    <w:basedOn w:val="22"/>
    <w:qFormat/>
    <w:uiPriority w:val="0"/>
    <w:pPr>
      <w:numPr>
        <w:ilvl w:val="7"/>
        <w:numId w:val="3"/>
      </w:numPr>
      <w:spacing w:before="50" w:beforeLines="50" w:after="50" w:afterLines="50"/>
      <w:ind w:firstLineChars="0"/>
      <w:outlineLvl w:val="7"/>
    </w:pPr>
    <w:rPr>
      <w:rFonts w:ascii="微软雅黑" w:hAnsi="微软雅黑" w:eastAsia="微软雅黑"/>
      <w:b/>
      <w:sz w:val="24"/>
    </w:rPr>
  </w:style>
  <w:style w:type="paragraph" w:customStyle="1" w:styleId="31">
    <w:name w:val="~Content"/>
    <w:basedOn w:val="1"/>
    <w:qFormat/>
    <w:uiPriority w:val="0"/>
    <w:pPr>
      <w:ind w:firstLine="420" w:firstLineChars="200"/>
    </w:pPr>
    <w:rPr>
      <w:rFonts w:ascii="微软雅黑" w:hAnsi="微软雅黑" w:eastAsia="微软雅黑"/>
      <w:sz w:val="24"/>
    </w:rPr>
  </w:style>
  <w:style w:type="paragraph" w:customStyle="1" w:styleId="32">
    <w:name w:val="~tupian"/>
    <w:basedOn w:val="1"/>
    <w:qFormat/>
    <w:uiPriority w:val="0"/>
    <w:pPr>
      <w:jc w:val="center"/>
    </w:pPr>
  </w:style>
  <w:style w:type="character" w:customStyle="1" w:styleId="33">
    <w:name w:val="页眉 Char"/>
    <w:basedOn w:val="19"/>
    <w:link w:val="14"/>
    <w:qFormat/>
    <w:uiPriority w:val="99"/>
    <w:rPr>
      <w:sz w:val="18"/>
      <w:szCs w:val="18"/>
    </w:rPr>
  </w:style>
  <w:style w:type="character" w:customStyle="1" w:styleId="34">
    <w:name w:val="页脚 Char"/>
    <w:basedOn w:val="19"/>
    <w:link w:val="13"/>
    <w:qFormat/>
    <w:uiPriority w:val="99"/>
    <w:rPr>
      <w:sz w:val="18"/>
      <w:szCs w:val="18"/>
    </w:rPr>
  </w:style>
  <w:style w:type="character" w:customStyle="1" w:styleId="35">
    <w:name w:val="批注文字 Char"/>
    <w:basedOn w:val="19"/>
    <w:link w:val="11"/>
    <w:qFormat/>
    <w:uiPriority w:val="99"/>
    <w:rPr>
      <w:rFonts w:ascii="Calibri" w:hAnsi="Calibri" w:eastAsia="宋体" w:cs="Times New Roman"/>
    </w:rPr>
  </w:style>
  <w:style w:type="paragraph" w:customStyle="1" w:styleId="36">
    <w:name w:val="TOC 标题1"/>
    <w:basedOn w:val="2"/>
    <w:next w:val="1"/>
    <w:semiHidden/>
    <w:unhideWhenUsed/>
    <w:qFormat/>
    <w:uiPriority w:val="39"/>
    <w:pPr>
      <w:widowControl/>
      <w:spacing w:before="240" w:after="0" w:line="256" w:lineRule="auto"/>
      <w:jc w:val="left"/>
      <w:outlineLvl w:val="9"/>
    </w:pPr>
    <w:rPr>
      <w:rFonts w:ascii="Calibri Light" w:hAnsi="Calibri Light" w:eastAsia="宋体" w:cs="Times New Roman"/>
      <w:b w:val="0"/>
      <w:bCs w:val="0"/>
      <w:color w:val="2E74B5"/>
      <w:kern w:val="0"/>
      <w:sz w:val="32"/>
      <w:szCs w:val="32"/>
    </w:rPr>
  </w:style>
  <w:style w:type="character" w:customStyle="1" w:styleId="37">
    <w:name w:val="文档 Char"/>
    <w:link w:val="38"/>
    <w:qFormat/>
    <w:locked/>
    <w:uiPriority w:val="0"/>
    <w:rPr>
      <w:b/>
      <w:bCs/>
      <w:kern w:val="44"/>
      <w:sz w:val="36"/>
      <w:szCs w:val="36"/>
    </w:rPr>
  </w:style>
  <w:style w:type="paragraph" w:customStyle="1" w:styleId="38">
    <w:name w:val="文档"/>
    <w:basedOn w:val="3"/>
    <w:link w:val="37"/>
    <w:qFormat/>
    <w:uiPriority w:val="0"/>
    <w:pPr>
      <w:pageBreakBefore/>
      <w:numPr>
        <w:ilvl w:val="0"/>
        <w:numId w:val="4"/>
      </w:numPr>
      <w:spacing w:line="415" w:lineRule="auto"/>
      <w:jc w:val="left"/>
    </w:pPr>
    <w:rPr>
      <w:rFonts w:asciiTheme="minorHAnsi" w:hAnsiTheme="minorHAnsi" w:eastAsiaTheme="minorEastAsia" w:cstheme="minorBidi"/>
      <w:kern w:val="44"/>
      <w:sz w:val="36"/>
      <w:szCs w:val="36"/>
    </w:rPr>
  </w:style>
  <w:style w:type="character" w:customStyle="1" w:styleId="39">
    <w:name w:val="标题 1 Char"/>
    <w:basedOn w:val="19"/>
    <w:link w:val="2"/>
    <w:qFormat/>
    <w:uiPriority w:val="9"/>
    <w:rPr>
      <w:b/>
      <w:bCs/>
      <w:kern w:val="44"/>
      <w:sz w:val="44"/>
      <w:szCs w:val="44"/>
    </w:rPr>
  </w:style>
  <w:style w:type="character" w:customStyle="1" w:styleId="40">
    <w:name w:val="标题 2 Char"/>
    <w:basedOn w:val="19"/>
    <w:link w:val="3"/>
    <w:qFormat/>
    <w:uiPriority w:val="9"/>
    <w:rPr>
      <w:rFonts w:asciiTheme="majorHAnsi" w:hAnsiTheme="majorHAnsi" w:eastAsiaTheme="majorEastAsia" w:cstheme="majorBidi"/>
      <w:b/>
      <w:bCs/>
      <w:sz w:val="32"/>
      <w:szCs w:val="32"/>
    </w:rPr>
  </w:style>
  <w:style w:type="paragraph" w:customStyle="1" w:styleId="41">
    <w:name w:val="图片"/>
    <w:basedOn w:val="5"/>
    <w:qFormat/>
    <w:uiPriority w:val="0"/>
    <w:pPr>
      <w:ind w:firstLine="0"/>
      <w:jc w:val="center"/>
    </w:pPr>
  </w:style>
  <w:style w:type="paragraph" w:customStyle="1" w:styleId="42">
    <w:name w:val="表格下正文（小五）"/>
    <w:basedOn w:val="10"/>
    <w:qFormat/>
    <w:uiPriority w:val="0"/>
    <w:pPr>
      <w:spacing w:before="120" w:beforeLines="50" w:after="100" w:afterAutospacing="1"/>
      <w:jc w:val="center"/>
    </w:pPr>
    <w:rPr>
      <w:rFonts w:ascii="宋体" w:hAnsi="宋体" w:eastAsia="宋体"/>
      <w:sz w:val="18"/>
      <w:szCs w:val="18"/>
    </w:rPr>
  </w:style>
  <w:style w:type="paragraph" w:customStyle="1" w:styleId="43">
    <w:name w:val="表格居中"/>
    <w:basedOn w:val="44"/>
    <w:qFormat/>
    <w:uiPriority w:val="0"/>
    <w:rPr>
      <w:rFonts w:ascii="宋体" w:hAnsi="宋体" w:eastAsia="宋体"/>
    </w:rPr>
  </w:style>
  <w:style w:type="paragraph" w:customStyle="1" w:styleId="44">
    <w:name w:val="表格正文"/>
    <w:qFormat/>
    <w:uiPriority w:val="0"/>
    <w:pPr>
      <w:jc w:val="center"/>
    </w:pPr>
    <w:rPr>
      <w:rFonts w:eastAsia="仿宋" w:asciiTheme="minorHAnsi" w:hAnsiTheme="minorHAnsi" w:cstheme="minorBidi"/>
      <w:kern w:val="2"/>
      <w:sz w:val="24"/>
      <w:szCs w:val="21"/>
      <w:lang w:val="en-US" w:eastAsia="zh-CN" w:bidi="ar-SA"/>
    </w:rPr>
  </w:style>
  <w:style w:type="paragraph" w:customStyle="1" w:styleId="45">
    <w:name w:val="标题自定义"/>
    <w:basedOn w:val="1"/>
    <w:qFormat/>
    <w:uiPriority w:val="0"/>
    <w:pPr>
      <w:numPr>
        <w:ilvl w:val="0"/>
        <w:numId w:val="5"/>
      </w:numPr>
      <w:ind w:firstLine="0"/>
    </w:pPr>
    <w:rPr>
      <w:rFonts w:eastAsia="宋体" w:cs="Times New Roman" w:asciiTheme="minorEastAsia" w:hAnsiTheme="minorEastAsia"/>
      <w:b/>
      <w:bCs/>
      <w:sz w:val="24"/>
      <w:szCs w:val="24"/>
    </w:rPr>
  </w:style>
  <w:style w:type="paragraph" w:customStyle="1" w:styleId="46">
    <w:name w:val="_Style 1"/>
    <w:qFormat/>
    <w:uiPriority w:val="0"/>
    <w:pPr>
      <w:spacing w:line="360" w:lineRule="auto"/>
    </w:pPr>
    <w:rPr>
      <w:rFonts w:ascii="Calibri" w:hAnsi="Calibri" w:eastAsia="宋体" w:cs="Times New Roman"/>
      <w:kern w:val="2"/>
      <w:sz w:val="28"/>
      <w:szCs w:val="22"/>
      <w:lang w:val="en-US" w:eastAsia="zh-CN" w:bidi="ar-SA"/>
    </w:rPr>
  </w:style>
  <w:style w:type="character" w:customStyle="1" w:styleId="47">
    <w:name w:val="列表段落 字符"/>
    <w:link w:val="48"/>
    <w:qFormat/>
    <w:uiPriority w:val="0"/>
    <w:rPr>
      <w:kern w:val="1"/>
      <w:sz w:val="21"/>
    </w:rPr>
  </w:style>
  <w:style w:type="paragraph" w:customStyle="1" w:styleId="48">
    <w:name w:val="列表段落1"/>
    <w:basedOn w:val="1"/>
    <w:link w:val="47"/>
    <w:qFormat/>
    <w:uiPriority w:val="0"/>
    <w:pPr>
      <w:pBdr>
        <w:top w:val="none" w:color="000000" w:sz="0" w:space="0"/>
        <w:left w:val="none" w:color="000000" w:sz="0" w:space="0"/>
        <w:bottom w:val="none" w:color="000000" w:sz="0" w:space="0"/>
        <w:right w:val="none" w:color="000000" w:sz="0" w:space="0"/>
        <w:between w:val="none" w:color="000000" w:sz="0" w:space="0"/>
      </w:pBdr>
      <w:ind w:firstLine="420" w:firstLineChars="200"/>
    </w:pPr>
    <w:rPr>
      <w:kern w:val="1"/>
      <w:szCs w:val="20"/>
    </w:rPr>
  </w:style>
  <w:style w:type="paragraph" w:customStyle="1" w:styleId="49">
    <w:name w:val="正文缩进2字符"/>
    <w:basedOn w:val="1"/>
    <w:link w:val="50"/>
    <w:qFormat/>
    <w:uiPriority w:val="0"/>
    <w:pPr>
      <w:widowControl/>
      <w:spacing w:line="360" w:lineRule="auto"/>
      <w:ind w:firstLine="480" w:firstLineChars="200"/>
      <w:jc w:val="left"/>
    </w:pPr>
    <w:rPr>
      <w:rFonts w:eastAsia="宋体" w:cs="宋体"/>
      <w:sz w:val="24"/>
      <w:szCs w:val="20"/>
    </w:rPr>
  </w:style>
  <w:style w:type="character" w:customStyle="1" w:styleId="50">
    <w:name w:val="正文缩进2字符 Char"/>
    <w:basedOn w:val="19"/>
    <w:link w:val="49"/>
    <w:qFormat/>
    <w:uiPriority w:val="0"/>
    <w:rPr>
      <w:rFonts w:eastAsia="宋体" w:cs="宋体"/>
      <w:kern w:val="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2201</Words>
  <Characters>12551</Characters>
  <Lines>104</Lines>
  <Paragraphs>29</Paragraphs>
  <TotalTime>1</TotalTime>
  <ScaleCrop>false</ScaleCrop>
  <LinksUpToDate>false</LinksUpToDate>
  <CharactersWithSpaces>14723</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2025-11-05T22:01:00Z</dcterms:created>
  <dc:creator>office</dc:creator>
  <cp:lastModifiedBy>ccb</cp:lastModifiedBy>
  <dcterms:modified xsi:type="dcterms:W3CDTF">2025-11-06T10:10:12Z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6CDD275816014BC9ACD00F9AA4B980FD_13</vt:lpwstr>
  </property>
  <property fmtid="{D5CDD505-2E9C-101B-9397-08002B2CF9AE}" pid="4" name="KSOTemplateDocerSaveRecord">
    <vt:lpwstr>eyJoZGlkIjoiZWU3ZmQ1ODgxYTZhYzNhYTdkNWU0Yjk2Y2Q0YzA4NDYiLCJ1c2VySWQiOiIxNTQ5MzE2OTE4In0=</vt:lpwstr>
  </property>
</Properties>
</file>