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彩虹粗仿宋" w:hAnsi="宋体" w:eastAsia="彩虹粗仿宋" w:cs="Times New Roman"/>
          <w:snapToGrid w:val="0"/>
          <w:kern w:val="0"/>
          <w:sz w:val="44"/>
          <w:szCs w:val="44"/>
        </w:rPr>
      </w:pPr>
      <w:r>
        <w:rPr>
          <w:rFonts w:hint="eastAsia" w:ascii="彩虹粗仿宋" w:hAnsi="宋体" w:eastAsia="彩虹粗仿宋" w:cs="Times New Roman"/>
          <w:snapToGrid w:val="0"/>
          <w:kern w:val="0"/>
          <w:sz w:val="44"/>
          <w:szCs w:val="44"/>
        </w:rPr>
        <w:t>中山市养老机构预收费资金监管系统服务采购项目需求</w:t>
      </w:r>
    </w:p>
    <w:p>
      <w:pPr>
        <w:spacing w:line="560" w:lineRule="exac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一、服务品类</w:t>
      </w:r>
    </w:p>
    <w:p>
      <w:pPr>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系统集成实施服务</w:t>
      </w:r>
    </w:p>
    <w:p>
      <w:pPr>
        <w:spacing w:line="560" w:lineRule="exac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二、服务内容</w:t>
      </w:r>
      <w:bookmarkStart w:id="1" w:name="_GoBack"/>
      <w:bookmarkEnd w:id="1"/>
    </w:p>
    <w:p>
      <w:pPr>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供应商提供技术支持，</w:t>
      </w:r>
      <w:r>
        <w:rPr>
          <w:rFonts w:hint="eastAsia" w:ascii="彩虹粗仿宋" w:eastAsia="彩虹粗仿宋"/>
          <w:sz w:val="32"/>
          <w:szCs w:val="32"/>
        </w:rPr>
        <w:t>负责完成中山市养老机构预收费资金监管平台与建行中山市分行账户系统的接口对接，建行中山市分行提供的四个接口为</w:t>
      </w:r>
      <w:r>
        <w:rPr>
          <w:rFonts w:hint="eastAsia" w:ascii="彩虹粗仿宋" w:hAnsi="宋体" w:eastAsia="彩虹粗仿宋" w:cs="Times New Roman"/>
          <w:snapToGrid w:val="0"/>
          <w:kern w:val="0"/>
          <w:sz w:val="32"/>
          <w:szCs w:val="32"/>
        </w:rPr>
        <w:t>账户信息查询、账户余额查询、资金划拨、划拨结果查询。供应商</w:t>
      </w:r>
      <w:r>
        <w:rPr>
          <w:rFonts w:hint="eastAsia" w:ascii="彩虹粗仿宋" w:eastAsia="彩虹粗仿宋"/>
          <w:sz w:val="32"/>
          <w:szCs w:val="32"/>
        </w:rPr>
        <w:t>提供必要的银行账户信息校验、资金流水同步等技术支持</w:t>
      </w:r>
      <w:r>
        <w:rPr>
          <w:rFonts w:hint="eastAsia" w:ascii="彩虹粗仿宋" w:hAnsi="宋体" w:eastAsia="彩虹粗仿宋" w:cs="Times New Roman"/>
          <w:snapToGrid w:val="0"/>
          <w:kern w:val="0"/>
          <w:sz w:val="32"/>
          <w:szCs w:val="32"/>
        </w:rPr>
        <w:t>，确保中山市辖区内在建行中山市分行开立了资金监管专用账户的养老机构，可正常使用满足政府监管要求的养老机构预收费资金监管平台并按政府划付规则将资金清算到指定账号。</w:t>
      </w:r>
    </w:p>
    <w:p>
      <w:pPr>
        <w:spacing w:line="560" w:lineRule="exac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三、服务质量要求</w:t>
      </w:r>
    </w:p>
    <w:p>
      <w:pPr>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（一</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服务质量保证措施</w:t>
      </w:r>
    </w:p>
    <w:p>
      <w:pPr>
        <w:spacing w:line="560" w:lineRule="exact"/>
        <w:ind w:firstLine="800" w:firstLineChars="25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1、必须服从建行中山市分行的工作安排，按时按质完成系统上线。</w:t>
      </w:r>
    </w:p>
    <w:p>
      <w:pPr>
        <w:spacing w:line="560" w:lineRule="exact"/>
        <w:ind w:firstLine="800" w:firstLineChars="25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2、未经建行中山市分行批准服务人员不能随意调换或中途退出，如确有需求，供应商可提前正式函告建行中山市分行。</w:t>
      </w:r>
    </w:p>
    <w:p>
      <w:pPr>
        <w:spacing w:line="560" w:lineRule="exact"/>
        <w:ind w:firstLine="800" w:firstLineChars="25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3、中标服务商未经建行中山市分行批准调换服务人员、中途退出或派出的服务人员不遵守工作纪律的，可视情节解除与供应商的服务协议。</w:t>
      </w:r>
    </w:p>
    <w:p>
      <w:pPr>
        <w:spacing w:line="560" w:lineRule="exact"/>
        <w:ind w:firstLine="800" w:firstLineChars="25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4、服务人员如不能胜任建行中山市分行工作的，建行中山市分行有权要求调换。</w:t>
      </w:r>
    </w:p>
    <w:p>
      <w:pPr>
        <w:tabs>
          <w:tab w:val="left" w:pos="312"/>
        </w:tabs>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（二</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信息保密</w:t>
      </w:r>
    </w:p>
    <w:p>
      <w:pPr>
        <w:spacing w:line="560" w:lineRule="exact"/>
        <w:ind w:firstLine="800" w:firstLineChars="25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供应商应对执行业务过程中知悉的建行中山市分行及服务对象信息（包括但不限于所有的报告、摘录、纪要、文件、报表、复印件以及甲方的业务数据）予以保密，接触我方数据的人员需签署保密协议并提供副本给予建行中山市分行。</w:t>
      </w:r>
    </w:p>
    <w:p>
      <w:pPr>
        <w:spacing w:line="560" w:lineRule="exact"/>
        <w:rPr>
          <w:rFonts w:ascii="彩虹粗仿宋" w:hAnsi="宋体" w:eastAsia="彩虹粗仿宋"/>
          <w:b/>
          <w:sz w:val="32"/>
          <w:szCs w:val="32"/>
        </w:rPr>
      </w:pPr>
      <w:r>
        <w:rPr>
          <w:rFonts w:hint="eastAsia" w:ascii="彩虹粗仿宋" w:hAnsi="宋体" w:eastAsia="彩虹粗仿宋" w:cs="Times New Roman"/>
          <w:b/>
          <w:snapToGrid w:val="0"/>
          <w:kern w:val="0"/>
          <w:sz w:val="32"/>
          <w:szCs w:val="32"/>
        </w:rPr>
        <w:t>四</w:t>
      </w:r>
      <w:r>
        <w:rPr>
          <w:rFonts w:ascii="彩虹粗仿宋" w:hAnsi="宋体" w:eastAsia="彩虹粗仿宋" w:cs="Times New Roman"/>
          <w:b/>
          <w:snapToGrid w:val="0"/>
          <w:kern w:val="0"/>
          <w:sz w:val="32"/>
          <w:szCs w:val="32"/>
        </w:rPr>
        <w:t>、</w:t>
      </w:r>
      <w:r>
        <w:rPr>
          <w:rFonts w:hint="eastAsia" w:ascii="彩虹粗仿宋" w:hAnsi="宋体" w:eastAsia="彩虹粗仿宋"/>
          <w:b/>
          <w:sz w:val="32"/>
          <w:szCs w:val="32"/>
        </w:rPr>
        <w:t>供应商维护服务人员的数量、资质经验、角色等方面的要求</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针对本项目，供应商应投入项目维护人员至少</w:t>
      </w:r>
      <w:r>
        <w:rPr>
          <w:rFonts w:ascii="彩虹粗仿宋" w:hAnsi="宋体" w:eastAsia="彩虹粗仿宋"/>
          <w:sz w:val="32"/>
          <w:szCs w:val="32"/>
        </w:rPr>
        <w:t>3</w:t>
      </w:r>
      <w:r>
        <w:rPr>
          <w:rFonts w:hint="eastAsia" w:ascii="彩虹粗仿宋" w:hAnsi="宋体" w:eastAsia="彩虹粗仿宋"/>
          <w:sz w:val="32"/>
          <w:szCs w:val="32"/>
        </w:rPr>
        <w:t>人以上，包括项目负责人及项目工程师，具有三年以上工作经验。</w:t>
      </w:r>
    </w:p>
    <w:p>
      <w:pPr>
        <w:spacing w:line="560" w:lineRule="exact"/>
        <w:rPr>
          <w:rFonts w:ascii="彩虹粗仿宋" w:hAnsi="宋体" w:eastAsia="彩虹粗仿宋"/>
          <w:b/>
          <w:sz w:val="32"/>
          <w:szCs w:val="32"/>
        </w:rPr>
      </w:pPr>
      <w:r>
        <w:rPr>
          <w:rFonts w:hint="eastAsia" w:ascii="彩虹粗仿宋" w:hAnsi="宋体" w:eastAsia="彩虹粗仿宋" w:cs="Times New Roman"/>
          <w:b/>
          <w:snapToGrid w:val="0"/>
          <w:kern w:val="0"/>
          <w:sz w:val="32"/>
          <w:szCs w:val="32"/>
        </w:rPr>
        <w:t>五、</w:t>
      </w:r>
      <w:r>
        <w:rPr>
          <w:rFonts w:hint="eastAsia" w:ascii="彩虹粗仿宋" w:hAnsi="宋体" w:eastAsia="彩虹粗仿宋"/>
          <w:b/>
          <w:sz w:val="32"/>
          <w:szCs w:val="32"/>
        </w:rPr>
        <w:t>故障事件级别定义及响应处理的承诺</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供应商定期对项目进行检查维护，确保本项目的系统正常使用；若中山市民政局有故障申报，须提供7×24小时的电话服务或远程控制服务，并提供解决方案；若不能排除故障，供应商须在2小时内赶赴现场解决。</w:t>
      </w:r>
      <w:bookmarkStart w:id="0" w:name="OLE_LINK2"/>
    </w:p>
    <w:bookmarkEnd w:id="0"/>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系统故障分为严重、一般、轻微三个等级，维护支持供应商应根据系统故障的不同级别，提供不同的故障响应及服务：“严重”为系统无法运行或基本无法运行，或系统重要功能失效或基本失效；“一般”为系统可以运行，但非重要性功能的使用受到限制；“轻微”为其它轻微影响系统使用的故障。供应商应对建行中山市分行故障报告做出及时响应。</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对于严重级别故障，供应商应立即派出高级技术人员到现场进行维修，与此同时，供应商技术支持人员应通过电话、网络等方式尝试排除故障；供应商派出的高级技术人员应当在2小时内到达故障现场，供应商承诺在收到故障报告后3小时内恢复系统正常运行。</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对于一般级别故障，供应商应立即通过电话、网络等方式尝试排除故障；如故障在1小时内无法排除，供应商应立即派出高级技术人员在2小时内到达故障现场进行维修，供应商承诺在收到故障报告后2.5小时内恢复系统正常运行。</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对于轻微级别故障，供应商应立即通过电话、网络等方式尝试排除故障；如故障在0.5小时内无法排除，供应商应在1小时内派出技术人员到达故障现场进行维修，供应商承诺在收到故障报告后2小时内恢复系统正常运行。</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对于无法现场解决的故障，供应商方应当立即以功能相同的符合本合同约定的系统替换故障系统或按照招标人要求采取其他补救措施。</w:t>
      </w:r>
    </w:p>
    <w:p>
      <w:pPr>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sz w:val="32"/>
          <w:szCs w:val="32"/>
        </w:rPr>
        <w:t>若因供应商系统故障发生严重故障，影响中山市民政局的工作秩序、或给中山市民政局造成负面影响的，供应商应在</w:t>
      </w:r>
      <w:r>
        <w:rPr>
          <w:rFonts w:ascii="彩虹粗仿宋" w:hAnsi="宋体" w:eastAsia="彩虹粗仿宋"/>
          <w:sz w:val="32"/>
          <w:szCs w:val="32"/>
        </w:rPr>
        <w:t>1</w:t>
      </w:r>
      <w:r>
        <w:rPr>
          <w:rFonts w:hint="eastAsia" w:ascii="彩虹粗仿宋" w:hAnsi="宋体" w:eastAsia="彩虹粗仿宋"/>
          <w:sz w:val="32"/>
          <w:szCs w:val="32"/>
        </w:rPr>
        <w:t>小时内赶赴现场，</w:t>
      </w:r>
      <w:r>
        <w:rPr>
          <w:rFonts w:ascii="彩虹粗仿宋" w:hAnsi="宋体" w:eastAsia="彩虹粗仿宋"/>
          <w:sz w:val="32"/>
          <w:szCs w:val="32"/>
        </w:rPr>
        <w:t>2</w:t>
      </w:r>
      <w:r>
        <w:rPr>
          <w:rFonts w:hint="eastAsia" w:ascii="彩虹粗仿宋" w:hAnsi="宋体" w:eastAsia="彩虹粗仿宋"/>
          <w:sz w:val="32"/>
          <w:szCs w:val="32"/>
        </w:rPr>
        <w:t>小时内提供解决方案，并于24小时内解决问题，同时需建行中山市分行做好必要的客户解释工作（包括不限于口头或书面的形式）。若由此导致中山市分行被中山市民政局单方面无条件解除合作的，招标人将保留追究法律责任的权利。</w:t>
      </w:r>
    </w:p>
    <w:p>
      <w:pPr>
        <w:spacing w:line="560" w:lineRule="exact"/>
        <w:rPr>
          <w:rFonts w:ascii="彩虹粗仿宋" w:hAnsi="宋体" w:eastAsia="彩虹粗仿宋" w:cs="Times New Roman"/>
          <w:snapToGrid w:val="0"/>
          <w:kern w:val="0"/>
          <w:sz w:val="32"/>
          <w:szCs w:val="32"/>
        </w:rPr>
      </w:pPr>
      <w:r>
        <w:rPr>
          <w:rFonts w:hint="eastAsia" w:ascii="彩虹粗仿宋" w:hAnsi="宋体" w:eastAsia="彩虹粗仿宋" w:cs="Times New Roman"/>
          <w:b/>
          <w:snapToGrid w:val="0"/>
          <w:kern w:val="0"/>
          <w:sz w:val="32"/>
          <w:szCs w:val="32"/>
        </w:rPr>
        <w:t>六、服务供应安排</w:t>
      </w:r>
    </w:p>
    <w:p>
      <w:pPr>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（一</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时间要求</w:t>
      </w:r>
    </w:p>
    <w:p>
      <w:pPr>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w:t>
      </w:r>
      <w:r>
        <w:rPr>
          <w:rFonts w:ascii="彩虹粗仿宋" w:hAnsi="宋体" w:eastAsia="彩虹粗仿宋" w:cs="Times New Roman"/>
          <w:snapToGrid w:val="0"/>
          <w:kern w:val="0"/>
          <w:sz w:val="32"/>
          <w:szCs w:val="32"/>
        </w:rPr>
        <w:t>025年底完成</w:t>
      </w:r>
      <w:r>
        <w:rPr>
          <w:rFonts w:hint="eastAsia" w:ascii="彩虹粗仿宋" w:hAnsi="宋体" w:eastAsia="彩虹粗仿宋" w:cs="Times New Roman"/>
          <w:snapToGrid w:val="0"/>
          <w:kern w:val="0"/>
          <w:sz w:val="32"/>
          <w:szCs w:val="32"/>
        </w:rPr>
        <w:t>养老预收费资金监管系统的全面上线并验收通过。</w:t>
      </w:r>
    </w:p>
    <w:p>
      <w:pPr>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（二</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款项支付要求</w:t>
      </w:r>
    </w:p>
    <w:p>
      <w:pPr>
        <w:spacing w:line="560" w:lineRule="exact"/>
        <w:ind w:firstLine="480" w:firstLineChars="15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在合作期</w:t>
      </w:r>
      <w:r>
        <w:rPr>
          <w:rFonts w:ascii="彩虹粗仿宋" w:hAnsi="宋体" w:eastAsia="彩虹粗仿宋" w:cs="Times New Roman"/>
          <w:snapToGrid w:val="0"/>
          <w:kern w:val="0"/>
          <w:sz w:val="32"/>
          <w:szCs w:val="32"/>
        </w:rPr>
        <w:t>内，</w:t>
      </w:r>
      <w:r>
        <w:rPr>
          <w:rFonts w:hint="eastAsia" w:ascii="彩虹粗仿宋" w:hAnsi="宋体" w:eastAsia="彩虹粗仿宋" w:cs="Times New Roman"/>
          <w:snapToGrid w:val="0"/>
          <w:kern w:val="0"/>
          <w:sz w:val="32"/>
          <w:szCs w:val="32"/>
        </w:rPr>
        <w:t>项目上线验收稳定运行后30天内，</w:t>
      </w:r>
      <w:r>
        <w:rPr>
          <w:rFonts w:ascii="彩虹粗仿宋" w:hAnsi="宋体" w:eastAsia="彩虹粗仿宋" w:cs="Times New Roman"/>
          <w:snapToGrid w:val="0"/>
          <w:kern w:val="0"/>
          <w:sz w:val="32"/>
          <w:szCs w:val="32"/>
        </w:rPr>
        <w:t>经双方</w:t>
      </w:r>
      <w:r>
        <w:rPr>
          <w:rFonts w:hint="eastAsia" w:ascii="彩虹粗仿宋" w:hAnsi="宋体" w:eastAsia="彩虹粗仿宋" w:cs="Times New Roman"/>
          <w:snapToGrid w:val="0"/>
          <w:kern w:val="0"/>
          <w:sz w:val="32"/>
          <w:szCs w:val="32"/>
        </w:rPr>
        <w:t>确认</w:t>
      </w:r>
      <w:r>
        <w:rPr>
          <w:rFonts w:ascii="彩虹粗仿宋" w:hAnsi="宋体" w:eastAsia="彩虹粗仿宋" w:cs="Times New Roman"/>
          <w:snapToGrid w:val="0"/>
          <w:kern w:val="0"/>
          <w:sz w:val="32"/>
          <w:szCs w:val="32"/>
        </w:rPr>
        <w:t>后，供应商向建行中山市分行开具增值税专用发票，</w:t>
      </w:r>
      <w:r>
        <w:rPr>
          <w:rFonts w:hint="eastAsia" w:ascii="彩虹粗仿宋" w:hAnsi="宋体" w:eastAsia="彩虹粗仿宋" w:cs="Times New Roman"/>
          <w:snapToGrid w:val="0"/>
          <w:kern w:val="0"/>
          <w:sz w:val="32"/>
          <w:szCs w:val="32"/>
        </w:rPr>
        <w:t>我一次性付款</w:t>
      </w:r>
      <w:r>
        <w:rPr>
          <w:rFonts w:ascii="彩虹粗仿宋" w:hAnsi="宋体" w:eastAsia="彩虹粗仿宋" w:cs="Times New Roman"/>
          <w:snapToGrid w:val="0"/>
          <w:kern w:val="0"/>
          <w:sz w:val="32"/>
          <w:szCs w:val="32"/>
        </w:rPr>
        <w:t>。</w:t>
      </w:r>
    </w:p>
    <w:p>
      <w:pPr>
        <w:spacing w:line="560" w:lineRule="exact"/>
        <w:ind w:firstLine="480" w:firstLineChars="15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（三</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合同</w:t>
      </w:r>
      <w:r>
        <w:rPr>
          <w:rFonts w:ascii="彩虹粗仿宋" w:hAnsi="宋体" w:eastAsia="彩虹粗仿宋" w:cs="Times New Roman"/>
          <w:snapToGrid w:val="0"/>
          <w:kern w:val="0"/>
          <w:sz w:val="32"/>
          <w:szCs w:val="32"/>
        </w:rPr>
        <w:t>期限</w:t>
      </w:r>
    </w:p>
    <w:p>
      <w:pPr>
        <w:spacing w:line="560" w:lineRule="exact"/>
        <w:ind w:firstLine="480" w:firstLineChars="150"/>
        <w:rPr>
          <w:rFonts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本合同自</w:t>
      </w:r>
      <w:r>
        <w:rPr>
          <w:rFonts w:ascii="彩虹粗仿宋" w:hAnsi="宋体" w:eastAsia="彩虹粗仿宋" w:cs="Times New Roman"/>
          <w:snapToGrid w:val="0"/>
          <w:color w:val="000000" w:themeColor="text1"/>
          <w:kern w:val="0"/>
          <w:sz w:val="32"/>
          <w:szCs w:val="32"/>
          <w14:textFill>
            <w14:solidFill>
              <w14:schemeClr w14:val="tx1"/>
            </w14:solidFill>
          </w14:textFill>
        </w:rPr>
        <w:t>合同生效日起</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5年。</w:t>
      </w:r>
    </w:p>
    <w:p>
      <w:pPr>
        <w:spacing w:line="560" w:lineRule="exact"/>
        <w:ind w:firstLine="480" w:firstLineChars="15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（四</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其他要求</w:t>
      </w:r>
    </w:p>
    <w:p>
      <w:pPr>
        <w:spacing w:line="560" w:lineRule="exact"/>
        <w:ind w:firstLine="480" w:firstLineChars="15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在合同</w:t>
      </w:r>
      <w:r>
        <w:rPr>
          <w:rFonts w:ascii="彩虹粗仿宋" w:hAnsi="宋体" w:eastAsia="彩虹粗仿宋" w:cs="Times New Roman"/>
          <w:snapToGrid w:val="0"/>
          <w:kern w:val="0"/>
          <w:sz w:val="32"/>
          <w:szCs w:val="32"/>
        </w:rPr>
        <w:t>期内，</w:t>
      </w:r>
      <w:r>
        <w:rPr>
          <w:rFonts w:hint="eastAsia" w:ascii="彩虹粗仿宋" w:hAnsi="宋体" w:eastAsia="彩虹粗仿宋" w:cs="Times New Roman"/>
          <w:snapToGrid w:val="0"/>
          <w:kern w:val="0"/>
          <w:sz w:val="32"/>
          <w:szCs w:val="32"/>
        </w:rPr>
        <w:t>如遇增值</w:t>
      </w:r>
      <w:r>
        <w:rPr>
          <w:rFonts w:ascii="彩虹粗仿宋" w:hAnsi="宋体" w:eastAsia="彩虹粗仿宋" w:cs="Times New Roman"/>
          <w:snapToGrid w:val="0"/>
          <w:kern w:val="0"/>
          <w:sz w:val="32"/>
          <w:szCs w:val="32"/>
        </w:rPr>
        <w:t>税税率调整，在不含税</w:t>
      </w:r>
      <w:r>
        <w:rPr>
          <w:rFonts w:hint="eastAsia" w:ascii="彩虹粗仿宋" w:hAnsi="宋体" w:eastAsia="彩虹粗仿宋" w:cs="Times New Roman"/>
          <w:snapToGrid w:val="0"/>
          <w:kern w:val="0"/>
          <w:sz w:val="32"/>
          <w:szCs w:val="32"/>
        </w:rPr>
        <w:t>价不变</w:t>
      </w:r>
      <w:r>
        <w:rPr>
          <w:rFonts w:ascii="彩虹粗仿宋" w:hAnsi="宋体" w:eastAsia="彩虹粗仿宋" w:cs="Times New Roman"/>
          <w:snapToGrid w:val="0"/>
          <w:kern w:val="0"/>
          <w:sz w:val="32"/>
          <w:szCs w:val="32"/>
        </w:rPr>
        <w:t>的情况下，含税价</w:t>
      </w:r>
      <w:r>
        <w:rPr>
          <w:rFonts w:hint="eastAsia" w:ascii="彩虹粗仿宋" w:hAnsi="宋体" w:eastAsia="彩虹粗仿宋" w:cs="Times New Roman"/>
          <w:snapToGrid w:val="0"/>
          <w:kern w:val="0"/>
          <w:sz w:val="32"/>
          <w:szCs w:val="32"/>
        </w:rPr>
        <w:t>做相应</w:t>
      </w:r>
      <w:r>
        <w:rPr>
          <w:rFonts w:ascii="彩虹粗仿宋" w:hAnsi="宋体" w:eastAsia="彩虹粗仿宋" w:cs="Times New Roman"/>
          <w:snapToGrid w:val="0"/>
          <w:kern w:val="0"/>
          <w:sz w:val="32"/>
          <w:szCs w:val="32"/>
        </w:rPr>
        <w:t>调整。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8C25B8"/>
    <w:rsid w:val="518C2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2025-11-17T02:03:00Z</dcterms:created>
  <dc:creator>林醒怡</dc:creator>
  <cp:lastModifiedBy>林醒怡</cp:lastModifiedBy>
  <dcterms:modified xsi:type="dcterms:W3CDTF">2025-11-17T02:03:42Z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D5695689D5B8412FA1E0CC436A59CCE6_11</vt:lpwstr>
  </property>
</Properties>
</file>