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ind w:firstLine="880" w:firstLineChars="200"/>
        <w:jc w:val="center"/>
        <w:rPr>
          <w:rFonts w:ascii="彩虹小标宋" w:hAnsi="宋体" w:eastAsia="彩虹小标宋" w:cs="Times New Roman"/>
          <w:b/>
          <w:bCs/>
          <w:snapToGrid w:val="0"/>
          <w:kern w:val="0"/>
          <w:sz w:val="36"/>
          <w:szCs w:val="36"/>
        </w:rPr>
      </w:pPr>
      <w:r>
        <w:rPr>
          <w:rFonts w:hint="eastAsia" w:ascii="彩虹小标宋" w:hAnsi="宋体" w:eastAsia="彩虹小标宋" w:cs="Times New Roman"/>
          <w:bCs/>
          <w:snapToGrid w:val="0"/>
          <w:kern w:val="0"/>
          <w:sz w:val="44"/>
          <w:szCs w:val="44"/>
        </w:rPr>
        <w:t>安全保卫部关于漯河分行舞阳支行保安值守服务采购申请</w:t>
      </w:r>
    </w:p>
    <w:p>
      <w:pPr>
        <w:adjustRightInd w:val="0"/>
        <w:snapToGrid w:val="0"/>
        <w:spacing w:line="560" w:lineRule="exact"/>
        <w:ind w:firstLine="640" w:firstLineChars="200"/>
        <w:jc w:val="left"/>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一、对候选供应商的要求</w:t>
      </w:r>
    </w:p>
    <w:p>
      <w:pPr>
        <w:pStyle w:val="2"/>
        <w:ind w:firstLine="640" w:firstLineChars="200"/>
        <w:rPr>
          <w:rFonts w:hint="eastAsia" w:ascii="彩虹粗仿宋" w:eastAsia="彩虹粗仿宋" w:hAnsiTheme="minorHAnsi" w:cstheme="minorBidi"/>
          <w:sz w:val="32"/>
        </w:rPr>
      </w:pPr>
      <w:r>
        <w:rPr>
          <w:rFonts w:hint="eastAsia" w:ascii="彩虹粗仿宋" w:eastAsia="彩虹粗仿宋" w:hAnsiTheme="minorHAnsi" w:cstheme="minorBidi"/>
          <w:sz w:val="32"/>
        </w:rPr>
        <w:t>（一）具有独立法人资格，能独立承担民事责任</w:t>
      </w:r>
      <w:r>
        <w:rPr>
          <w:rFonts w:hint="eastAsia" w:ascii="彩虹粗仿宋" w:eastAsia="彩虹粗仿宋" w:hAnsiTheme="minorHAnsi" w:cstheme="minorBidi"/>
          <w:sz w:val="32"/>
          <w:lang w:eastAsia="zh-CN"/>
        </w:rPr>
        <w:t>，</w:t>
      </w:r>
      <w:r>
        <w:rPr>
          <w:rFonts w:hint="eastAsia" w:ascii="彩虹粗仿宋" w:eastAsia="彩虹粗仿宋" w:hAnsiTheme="minorHAnsi" w:cstheme="minorBidi"/>
          <w:sz w:val="32"/>
        </w:rPr>
        <w:t>具有有效营业执照。</w:t>
      </w:r>
    </w:p>
    <w:p>
      <w:pPr>
        <w:adjustRightInd w:val="0"/>
        <w:snapToGrid w:val="0"/>
        <w:spacing w:line="560" w:lineRule="atLeast"/>
        <w:ind w:firstLine="640" w:firstLineChars="200"/>
        <w:rPr>
          <w:rFonts w:ascii="彩虹粗仿宋" w:hAnsi="微软雅黑" w:eastAsia="彩虹粗仿宋" w:cs="宋体"/>
          <w:b/>
          <w:kern w:val="0"/>
          <w:sz w:val="32"/>
          <w:szCs w:val="32"/>
        </w:rPr>
      </w:pPr>
      <w:r>
        <w:rPr>
          <w:rFonts w:hint="eastAsia" w:ascii="彩虹粗仿宋" w:eastAsia="彩虹粗仿宋" w:hAnsiTheme="minorHAnsi" w:cstheme="minorBidi"/>
          <w:sz w:val="32"/>
        </w:rPr>
        <w:t>（二）取得合法有效的</w:t>
      </w:r>
      <w:r>
        <w:rPr>
          <w:rFonts w:hint="eastAsia" w:ascii="彩虹粗仿宋" w:hAnsi="Times New Roman" w:eastAsia="彩虹粗仿宋"/>
          <w:kern w:val="0"/>
          <w:sz w:val="32"/>
          <w:szCs w:val="20"/>
        </w:rPr>
        <w:t>保安服务许可证</w:t>
      </w:r>
      <w:r>
        <w:rPr>
          <w:rFonts w:hint="eastAsia" w:ascii="彩虹粗仿宋" w:eastAsia="彩虹粗仿宋" w:hAnsiTheme="minorHAnsi" w:cstheme="minorBidi"/>
          <w:sz w:val="32"/>
        </w:rPr>
        <w:t>。</w:t>
      </w:r>
    </w:p>
    <w:p>
      <w:pPr>
        <w:pStyle w:val="2"/>
        <w:ind w:firstLine="640" w:firstLineChars="200"/>
        <w:rPr>
          <w:rFonts w:hint="eastAsia" w:ascii="彩虹粗仿宋" w:eastAsia="彩虹粗仿宋" w:hAnsiTheme="minorHAnsi" w:cstheme="minorBidi"/>
          <w:sz w:val="32"/>
          <w:szCs w:val="32"/>
          <w:lang w:eastAsia="zh-CN"/>
        </w:rPr>
      </w:pPr>
      <w:r>
        <w:rPr>
          <w:rFonts w:hint="eastAsia" w:ascii="彩虹粗仿宋" w:eastAsia="彩虹粗仿宋" w:hAnsiTheme="minorHAnsi" w:cstheme="minorBidi"/>
          <w:sz w:val="32"/>
        </w:rPr>
        <w:t>（三）财务状况良好，</w:t>
      </w:r>
      <w:r>
        <w:rPr>
          <w:rFonts w:hint="eastAsia" w:ascii="彩虹粗仿宋" w:eastAsia="彩虹粗仿宋" w:hAnsiTheme="minorHAnsi" w:cstheme="minorBidi"/>
          <w:sz w:val="32"/>
          <w:szCs w:val="32"/>
        </w:rPr>
        <w:t>提供近三年（202</w:t>
      </w:r>
      <w:r>
        <w:rPr>
          <w:rFonts w:hint="eastAsia" w:ascii="彩虹粗仿宋" w:eastAsia="彩虹粗仿宋" w:cstheme="minorBidi"/>
          <w:sz w:val="32"/>
          <w:szCs w:val="32"/>
          <w:lang w:val="en-US" w:eastAsia="zh-CN"/>
        </w:rPr>
        <w:t>0</w:t>
      </w:r>
      <w:r>
        <w:rPr>
          <w:rFonts w:hint="eastAsia" w:ascii="彩虹粗仿宋" w:eastAsia="彩虹粗仿宋" w:hAnsiTheme="minorHAnsi" w:cstheme="minorBidi"/>
          <w:sz w:val="32"/>
          <w:szCs w:val="32"/>
        </w:rPr>
        <w:t>年-202</w:t>
      </w:r>
      <w:r>
        <w:rPr>
          <w:rFonts w:hint="eastAsia" w:ascii="彩虹粗仿宋" w:eastAsia="彩虹粗仿宋" w:cstheme="minorBidi"/>
          <w:sz w:val="32"/>
          <w:szCs w:val="32"/>
          <w:lang w:val="en-US" w:eastAsia="zh-CN"/>
        </w:rPr>
        <w:t>2</w:t>
      </w:r>
      <w:r>
        <w:rPr>
          <w:rFonts w:hint="eastAsia" w:ascii="彩虹粗仿宋" w:eastAsia="彩虹粗仿宋" w:hAnsiTheme="minorHAnsi" w:cstheme="minorBidi"/>
          <w:sz w:val="32"/>
          <w:szCs w:val="32"/>
        </w:rPr>
        <w:t>年）的经审计的财务报告或财务报表（新成立企业从成立日计算）</w:t>
      </w:r>
      <w:r>
        <w:rPr>
          <w:rFonts w:hint="eastAsia" w:ascii="彩虹粗仿宋" w:eastAsia="彩虹粗仿宋" w:hAnsiTheme="minorHAnsi" w:cstheme="minorBidi"/>
          <w:sz w:val="32"/>
          <w:szCs w:val="32"/>
          <w:lang w:eastAsia="zh-CN"/>
        </w:rPr>
        <w:t>，</w:t>
      </w:r>
      <w:r>
        <w:rPr>
          <w:rFonts w:hint="eastAsia" w:ascii="彩虹粗仿宋" w:eastAsia="彩虹粗仿宋" w:hAnsiTheme="minorHAnsi" w:cstheme="minorBidi"/>
          <w:sz w:val="32"/>
          <w:szCs w:val="32"/>
        </w:rPr>
        <w:t>提供2021年1月以来银行保安服务同类经验</w:t>
      </w:r>
      <w:r>
        <w:rPr>
          <w:rFonts w:hint="eastAsia" w:ascii="彩虹粗仿宋" w:eastAsia="彩虹粗仿宋" w:hAnsiTheme="minorHAnsi" w:cstheme="minorBidi"/>
          <w:sz w:val="32"/>
          <w:szCs w:val="32"/>
          <w:lang w:eastAsia="zh-CN"/>
        </w:rPr>
        <w:t>。</w:t>
      </w:r>
    </w:p>
    <w:p>
      <w:pPr>
        <w:adjustRightInd w:val="0"/>
        <w:snapToGrid w:val="0"/>
        <w:spacing w:line="560" w:lineRule="atLeast"/>
        <w:ind w:firstLine="640" w:firstLineChars="200"/>
        <w:rPr>
          <w:rFonts w:hint="eastAsia" w:ascii="彩虹粗仿宋" w:eastAsia="彩虹粗仿宋" w:hAnsiTheme="minorHAnsi" w:cstheme="minorBidi"/>
          <w:sz w:val="32"/>
          <w:lang w:eastAsia="zh-CN"/>
        </w:rPr>
      </w:pPr>
      <w:r>
        <w:rPr>
          <w:rFonts w:hint="eastAsia" w:ascii="彩虹粗仿宋" w:eastAsia="彩虹粗仿宋" w:hAnsiTheme="minorHAnsi" w:cstheme="minorBidi"/>
          <w:sz w:val="32"/>
        </w:rPr>
        <w:t>（四）</w:t>
      </w:r>
      <w:r>
        <w:rPr>
          <w:rFonts w:hint="eastAsia" w:ascii="彩虹粗仿宋" w:eastAsia="彩虹粗仿宋"/>
          <w:sz w:val="32"/>
        </w:rPr>
        <w:t>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r>
        <w:rPr>
          <w:rFonts w:hint="eastAsia" w:ascii="彩虹粗仿宋" w:eastAsia="彩虹粗仿宋"/>
          <w:sz w:val="32"/>
          <w:lang w:eastAsia="zh-CN"/>
        </w:rPr>
        <w:t>。</w:t>
      </w:r>
    </w:p>
    <w:p>
      <w:pPr>
        <w:adjustRightInd w:val="0"/>
        <w:snapToGrid w:val="0"/>
        <w:spacing w:line="560" w:lineRule="atLeast"/>
        <w:ind w:firstLine="640" w:firstLineChars="200"/>
        <w:rPr>
          <w:rFonts w:ascii="彩虹粗仿宋" w:eastAsia="彩虹粗仿宋" w:hAnsiTheme="minorHAnsi" w:cstheme="minorBidi"/>
          <w:sz w:val="32"/>
        </w:rPr>
      </w:pPr>
      <w:r>
        <w:rPr>
          <w:rFonts w:hint="eastAsia" w:ascii="彩虹粗仿宋" w:eastAsia="彩虹粗仿宋" w:hAnsiTheme="minorHAnsi" w:cstheme="minorBidi"/>
          <w:sz w:val="32"/>
        </w:rPr>
        <w:t>（五）本项目不允许联合体投标，不允许分包或转包。</w:t>
      </w:r>
    </w:p>
    <w:p>
      <w:pPr>
        <w:adjustRightInd w:val="0"/>
        <w:snapToGrid w:val="0"/>
        <w:spacing w:line="560" w:lineRule="atLeast"/>
        <w:ind w:firstLine="640" w:firstLineChars="200"/>
        <w:rPr>
          <w:rFonts w:ascii="彩虹粗仿宋" w:eastAsia="彩虹粗仿宋" w:hAnsiTheme="minorHAnsi" w:cstheme="minorBidi"/>
          <w:sz w:val="32"/>
        </w:rPr>
      </w:pPr>
      <w:r>
        <w:rPr>
          <w:rFonts w:hint="eastAsia" w:ascii="彩虹粗仿宋" w:eastAsia="彩虹粗仿宋" w:hAnsiTheme="minorHAnsi" w:cstheme="minorBidi"/>
          <w:sz w:val="32"/>
        </w:rPr>
        <w:t>（六）外商独资、中外合资、中外合作的保安公司不得参与（根据保安服务管理条例第二十二条规定）。</w:t>
      </w:r>
    </w:p>
    <w:p>
      <w:pPr>
        <w:adjustRightInd w:val="0"/>
        <w:snapToGrid w:val="0"/>
        <w:spacing w:line="560" w:lineRule="atLeast"/>
        <w:ind w:firstLine="320" w:firstLineChars="1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adjustRightInd w:val="0"/>
        <w:snapToGrid w:val="0"/>
        <w:spacing w:line="560" w:lineRule="exact"/>
        <w:ind w:left="160" w:firstLine="480" w:firstLineChars="150"/>
        <w:rPr>
          <w:rFonts w:ascii="Times New Roman" w:hAnsi="Calibri" w:eastAsia="彩虹粗仿宋" w:cs="宋体"/>
          <w:color w:val="000000" w:themeColor="text1"/>
          <w:kern w:val="0"/>
          <w:sz w:val="32"/>
          <w:szCs w:val="32"/>
          <w14:textFill>
            <w14:solidFill>
              <w14:schemeClr w14:val="tx1"/>
            </w14:solidFill>
          </w14:textFill>
        </w:rPr>
      </w:pPr>
      <w:r>
        <w:rPr>
          <w:rFonts w:hint="eastAsia" w:ascii="彩虹楷体" w:hAnsi="黑体" w:eastAsia="彩虹楷体" w:cs="Times New Roman"/>
          <w:sz w:val="32"/>
          <w:szCs w:val="32"/>
        </w:rPr>
        <w:t>保安值守服务:</w:t>
      </w:r>
      <w:r>
        <w:rPr>
          <w:rFonts w:hint="eastAsia" w:ascii="Times New Roman" w:hAnsi="Calibri" w:eastAsia="彩虹粗仿宋" w:cs="宋体"/>
          <w:color w:val="000000"/>
          <w:kern w:val="0"/>
          <w:sz w:val="32"/>
          <w:szCs w:val="32"/>
        </w:rPr>
        <w:t>本次保安值守服务内容是舞阳支行和舞</w:t>
      </w:r>
      <w:r>
        <w:rPr>
          <w:rFonts w:hint="eastAsia" w:ascii="Times New Roman" w:hAnsi="Calibri" w:eastAsia="彩虹粗仿宋" w:cs="宋体"/>
          <w:color w:val="000000" w:themeColor="text1"/>
          <w:kern w:val="0"/>
          <w:sz w:val="32"/>
          <w:szCs w:val="32"/>
          <w14:textFill>
            <w14:solidFill>
              <w14:schemeClr w14:val="tx1"/>
            </w14:solidFill>
          </w14:textFill>
        </w:rPr>
        <w:t>阳新区支行2个营业网点的保安服务，每个网点至少配备2个岗位。</w:t>
      </w:r>
      <w:r>
        <w:rPr>
          <w:rFonts w:ascii="Times New Roman" w:hAnsi="Calibri" w:eastAsia="彩虹粗仿宋" w:cs="宋体"/>
          <w:color w:val="000000" w:themeColor="text1"/>
          <w:kern w:val="0"/>
          <w:sz w:val="32"/>
          <w:szCs w:val="32"/>
          <w14:textFill>
            <w14:solidFill>
              <w14:schemeClr w14:val="tx1"/>
            </w14:solidFill>
          </w14:textFill>
        </w:rPr>
        <w:t xml:space="preserve"> </w:t>
      </w:r>
    </w:p>
    <w:p>
      <w:pPr>
        <w:adjustRightInd w:val="0"/>
        <w:snapToGrid w:val="0"/>
        <w:spacing w:line="560" w:lineRule="exact"/>
        <w:ind w:firstLine="480" w:firstLineChars="150"/>
        <w:rPr>
          <w:rFonts w:ascii="彩虹粗仿宋" w:eastAsia="彩虹粗仿宋"/>
          <w:bCs/>
          <w:color w:val="000000" w:themeColor="text1"/>
          <w:sz w:val="32"/>
          <w:szCs w:val="32"/>
          <w14:textFill>
            <w14:solidFill>
              <w14:schemeClr w14:val="tx1"/>
            </w14:solidFill>
          </w14:textFill>
        </w:rPr>
      </w:pPr>
      <w:r>
        <w:rPr>
          <w:rFonts w:hint="eastAsia" w:ascii="彩虹粗仿宋" w:eastAsia="彩虹粗仿宋"/>
          <w:bCs/>
          <w:color w:val="000000" w:themeColor="text1"/>
          <w:sz w:val="32"/>
          <w:szCs w:val="32"/>
          <w14:textFill>
            <w14:solidFill>
              <w14:schemeClr w14:val="tx1"/>
            </w14:solidFill>
          </w14:textFill>
        </w:rPr>
        <w:t>（一）</w:t>
      </w:r>
      <w:r>
        <w:rPr>
          <w:rFonts w:hint="eastAsia" w:ascii="彩虹粗仿宋" w:hAnsi="宋体" w:eastAsia="彩虹粗仿宋"/>
          <w:bCs/>
          <w:color w:val="000000" w:themeColor="text1"/>
          <w:sz w:val="32"/>
          <w:szCs w:val="32"/>
          <w14:textFill>
            <w14:solidFill>
              <w14:schemeClr w14:val="tx1"/>
            </w14:solidFill>
          </w14:textFill>
        </w:rPr>
        <w:t xml:space="preserve">负责对指定的营业网点保安值守，维护场所的正常营业和办公秩序。 </w:t>
      </w:r>
    </w:p>
    <w:p>
      <w:pPr>
        <w:adjustRightInd w:val="0"/>
        <w:snapToGrid w:val="0"/>
        <w:spacing w:line="560" w:lineRule="exact"/>
        <w:ind w:firstLine="480" w:firstLineChars="150"/>
        <w:rPr>
          <w:rFonts w:ascii="彩虹粗仿宋" w:hAnsi="宋体" w:eastAsia="彩虹粗仿宋"/>
          <w:bCs/>
          <w:color w:val="000000" w:themeColor="text1"/>
          <w:sz w:val="32"/>
          <w:szCs w:val="32"/>
          <w14:textFill>
            <w14:solidFill>
              <w14:schemeClr w14:val="tx1"/>
            </w14:solidFill>
          </w14:textFill>
        </w:rPr>
      </w:pPr>
      <w:r>
        <w:rPr>
          <w:rFonts w:hint="eastAsia" w:ascii="彩虹粗仿宋" w:hAnsi="宋体" w:eastAsia="彩虹粗仿宋"/>
          <w:bCs/>
          <w:color w:val="000000" w:themeColor="text1"/>
          <w:sz w:val="32"/>
          <w:szCs w:val="32"/>
          <w14:textFill>
            <w14:solidFill>
              <w14:schemeClr w14:val="tx1"/>
            </w14:solidFill>
          </w14:textFill>
        </w:rPr>
        <w:t>（二）营业网点：营业前款车送款包清场、警戒、护送及突发事件时处置；营业期间柜台外警戒巡查、自助设备巡查、进入营业网点可疑人员盘查、遇有不法分子侵害时的应急处置；营业终了场所清场、款车接款包警戒、护送及突发事件时处置。</w:t>
      </w:r>
    </w:p>
    <w:p>
      <w:pPr>
        <w:adjustRightInd w:val="0"/>
        <w:snapToGrid w:val="0"/>
        <w:spacing w:line="560" w:lineRule="exact"/>
        <w:ind w:firstLine="320" w:firstLineChars="100"/>
        <w:rPr>
          <w:rFonts w:ascii="彩虹粗仿宋" w:hAnsi="宋体" w:eastAsia="彩虹粗仿宋"/>
          <w:bCs/>
          <w:color w:val="000000" w:themeColor="text1"/>
          <w:sz w:val="32"/>
          <w:szCs w:val="32"/>
          <w14:textFill>
            <w14:solidFill>
              <w14:schemeClr w14:val="tx1"/>
            </w14:solidFill>
          </w14:textFill>
        </w:rPr>
      </w:pPr>
      <w:r>
        <w:rPr>
          <w:rFonts w:hint="eastAsia" w:ascii="彩虹粗仿宋" w:hAnsi="宋体" w:eastAsia="彩虹粗仿宋"/>
          <w:bCs/>
          <w:color w:val="000000" w:themeColor="text1"/>
          <w:sz w:val="32"/>
          <w:szCs w:val="32"/>
          <w14:textFill>
            <w14:solidFill>
              <w14:schemeClr w14:val="tx1"/>
            </w14:solidFill>
          </w14:textFill>
        </w:rPr>
        <w:t>（三）保安员着装整齐、文明执勤、尽职尽责。如遇突发事件，应履职尽责，依法处理</w:t>
      </w:r>
    </w:p>
    <w:p>
      <w:pPr>
        <w:adjustRightInd w:val="0"/>
        <w:snapToGrid w:val="0"/>
        <w:spacing w:line="560" w:lineRule="exact"/>
        <w:ind w:firstLine="480" w:firstLineChars="150"/>
        <w:rPr>
          <w:rFonts w:ascii="彩虹粗仿宋" w:hAnsi="宋体" w:eastAsia="彩虹粗仿宋" w:cs="Courier New"/>
          <w:bCs/>
          <w:color w:val="000000" w:themeColor="text1"/>
          <w:sz w:val="32"/>
          <w:szCs w:val="32"/>
          <w14:textFill>
            <w14:solidFill>
              <w14:schemeClr w14:val="tx1"/>
            </w14:solidFill>
          </w14:textFill>
        </w:rPr>
      </w:pPr>
      <w:r>
        <w:rPr>
          <w:rFonts w:hint="eastAsia" w:ascii="彩虹粗仿宋" w:hAnsi="宋体" w:eastAsia="彩虹粗仿宋" w:cs="Courier New"/>
          <w:bCs/>
          <w:color w:val="000000" w:themeColor="text1"/>
          <w:sz w:val="32"/>
          <w:szCs w:val="32"/>
          <w14:textFill>
            <w14:solidFill>
              <w14:schemeClr w14:val="tx1"/>
            </w14:solidFill>
          </w14:textFill>
        </w:rPr>
        <w:t>（四）对发生的群体性事件的应急响应。</w:t>
      </w:r>
    </w:p>
    <w:p>
      <w:pPr>
        <w:adjustRightInd w:val="0"/>
        <w:snapToGrid w:val="0"/>
        <w:spacing w:line="560" w:lineRule="exact"/>
        <w:ind w:firstLine="480" w:firstLineChars="150"/>
        <w:rPr>
          <w:rFonts w:ascii="彩虹粗仿宋" w:hAnsi="宋体" w:eastAsia="彩虹粗仿宋" w:cs="Courier New"/>
          <w:bCs/>
          <w:color w:val="000000" w:themeColor="text1"/>
          <w:kern w:val="0"/>
          <w:sz w:val="32"/>
          <w:szCs w:val="32"/>
          <w14:textFill>
            <w14:solidFill>
              <w14:schemeClr w14:val="tx1"/>
            </w14:solidFill>
          </w14:textFill>
        </w:rPr>
      </w:pPr>
      <w:r>
        <w:rPr>
          <w:rFonts w:hint="eastAsia" w:ascii="彩虹粗仿宋" w:hAnsi="宋体" w:eastAsia="彩虹粗仿宋" w:cs="Courier New"/>
          <w:bCs/>
          <w:color w:val="000000" w:themeColor="text1"/>
          <w:kern w:val="0"/>
          <w:sz w:val="32"/>
          <w:szCs w:val="32"/>
          <w14:textFill>
            <w14:solidFill>
              <w14:schemeClr w14:val="tx1"/>
            </w14:solidFill>
          </w14:textFill>
        </w:rPr>
        <w:t>（五）做好其它临时性的工作。</w:t>
      </w:r>
    </w:p>
    <w:p>
      <w:pPr>
        <w:adjustRightInd w:val="0"/>
        <w:snapToGrid w:val="0"/>
        <w:spacing w:line="560" w:lineRule="exact"/>
        <w:ind w:firstLine="480" w:firstLineChars="150"/>
        <w:rPr>
          <w:rFonts w:ascii="彩虹黑体" w:hAnsi="宋体" w:eastAsia="彩虹黑体" w:cs="Times New Roman"/>
          <w:snapToGrid w:val="0"/>
          <w:color w:val="000000" w:themeColor="text1"/>
          <w:kern w:val="0"/>
          <w:sz w:val="32"/>
          <w:szCs w:val="32"/>
          <w14:textFill>
            <w14:solidFill>
              <w14:schemeClr w14:val="tx1"/>
            </w14:solidFill>
          </w14:textFill>
        </w:rPr>
      </w:pPr>
      <w:r>
        <w:rPr>
          <w:rFonts w:hint="eastAsia" w:ascii="彩虹黑体" w:hAnsi="宋体" w:eastAsia="彩虹黑体" w:cs="Times New Roman"/>
          <w:snapToGrid w:val="0"/>
          <w:color w:val="000000" w:themeColor="text1"/>
          <w:kern w:val="0"/>
          <w:sz w:val="32"/>
          <w:szCs w:val="32"/>
          <w14:textFill>
            <w14:solidFill>
              <w14:schemeClr w14:val="tx1"/>
            </w14:solidFill>
          </w14:textFill>
        </w:rPr>
        <w:t>三、服务团队要求</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（一）人员政治上可靠，遵守国家法律、法规，无不良行为记录、身体健康、着统一服装，年龄在55周岁以下。</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（二）具备一定的专业技能，能正确处理服务中出现的各种情况并进行有效处置。</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（三）所派人员须按国家规定持证上岗，必须认真执行国家有关规定及要求。如由于所派人员违反规定，造成财产损失和人员伤亡的，外包服务公司负全部责任。</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（四）具有满足服务需要的器械等。</w:t>
      </w:r>
    </w:p>
    <w:p>
      <w:pPr>
        <w:adjustRightInd w:val="0"/>
        <w:snapToGrid w:val="0"/>
        <w:spacing w:line="560" w:lineRule="exact"/>
        <w:ind w:firstLine="480" w:firstLineChars="150"/>
        <w:rPr>
          <w:rFonts w:ascii="彩虹黑体" w:hAnsi="宋体" w:eastAsia="彩虹黑体" w:cs="Times New Roman"/>
          <w:snapToGrid w:val="0"/>
          <w:color w:val="000000" w:themeColor="text1"/>
          <w:kern w:val="0"/>
          <w:sz w:val="32"/>
          <w:szCs w:val="32"/>
          <w14:textFill>
            <w14:solidFill>
              <w14:schemeClr w14:val="tx1"/>
            </w14:solidFill>
          </w14:textFill>
        </w:rPr>
      </w:pPr>
      <w:r>
        <w:rPr>
          <w:rFonts w:hint="eastAsia" w:ascii="彩虹黑体" w:hAnsi="宋体" w:eastAsia="彩虹黑体" w:cs="Times New Roman"/>
          <w:snapToGrid w:val="0"/>
          <w:color w:val="000000" w:themeColor="text1"/>
          <w:kern w:val="0"/>
          <w:sz w:val="32"/>
          <w:szCs w:val="32"/>
          <w14:textFill>
            <w14:solidFill>
              <w14:schemeClr w14:val="tx1"/>
            </w14:solidFill>
          </w14:textFill>
        </w:rPr>
        <w:t>四、服务质量要求</w:t>
      </w:r>
    </w:p>
    <w:p>
      <w:pPr>
        <w:spacing w:line="560" w:lineRule="exact"/>
        <w:ind w:firstLine="643" w:firstLineChars="200"/>
        <w:rPr>
          <w:rFonts w:ascii="彩虹楷体" w:hAnsi="宋体" w:eastAsia="彩虹楷体" w:cs="Times New Roman"/>
          <w:b/>
          <w:snapToGrid w:val="0"/>
          <w:color w:val="000000" w:themeColor="text1"/>
          <w:kern w:val="0"/>
          <w:sz w:val="32"/>
          <w:szCs w:val="32"/>
          <w14:textFill>
            <w14:solidFill>
              <w14:schemeClr w14:val="tx1"/>
            </w14:solidFill>
          </w14:textFill>
        </w:rPr>
      </w:pPr>
      <w:r>
        <w:rPr>
          <w:rFonts w:hint="eastAsia" w:ascii="彩虹楷体" w:hAnsi="宋体" w:eastAsia="彩虹楷体" w:cs="Times New Roman"/>
          <w:b/>
          <w:snapToGrid w:val="0"/>
          <w:color w:val="000000" w:themeColor="text1"/>
          <w:kern w:val="0"/>
          <w:sz w:val="32"/>
          <w:szCs w:val="32"/>
          <w14:textFill>
            <w14:solidFill>
              <w14:schemeClr w14:val="tx1"/>
            </w14:solidFill>
          </w14:textFill>
        </w:rPr>
        <w:t>（一）服务质量要求：</w:t>
      </w:r>
    </w:p>
    <w:p>
      <w:pPr>
        <w:tabs>
          <w:tab w:val="left" w:pos="720"/>
        </w:tabs>
        <w:adjustRightInd w:val="0"/>
        <w:snapToGrid w:val="0"/>
        <w:spacing w:line="560" w:lineRule="atLeast"/>
        <w:ind w:left="-178" w:leftChars="-85" w:firstLine="800" w:firstLineChars="2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1.供应商承诺按照协议约定的服务内容向我行提供合格的服务，接受我行对其工作的指导和监督。</w:t>
      </w:r>
    </w:p>
    <w:p>
      <w:pPr>
        <w:tabs>
          <w:tab w:val="left" w:pos="720"/>
        </w:tabs>
        <w:adjustRightInd w:val="0"/>
        <w:snapToGrid w:val="0"/>
        <w:spacing w:line="560" w:lineRule="atLeast"/>
        <w:ind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2.严格按照我行的服务需求，配备和提供外包人员。不得泄漏任何我行的业务信息。</w:t>
      </w:r>
    </w:p>
    <w:p>
      <w:pPr>
        <w:tabs>
          <w:tab w:val="left" w:pos="720"/>
        </w:tabs>
        <w:adjustRightInd w:val="0"/>
        <w:snapToGrid w:val="0"/>
        <w:spacing w:line="560" w:lineRule="atLeast"/>
        <w:ind w:left="-178" w:leftChars="-85" w:firstLine="800" w:firstLineChars="2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3.供应商负责制定与受托业务相关的内控制度、操作规程、人员考核等办法，并报我行备案；未经我行书面同意，不得将其在协议约定项下任一事项转让或分包给第三方。</w:t>
      </w:r>
    </w:p>
    <w:p>
      <w:pPr>
        <w:tabs>
          <w:tab w:val="left" w:pos="720"/>
        </w:tabs>
        <w:adjustRightInd w:val="0"/>
        <w:snapToGrid w:val="0"/>
        <w:spacing w:line="560" w:lineRule="atLeast"/>
        <w:ind w:left="-178" w:leftChars="-85" w:firstLine="800" w:firstLineChars="2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供应商负责与保安人员签订符合《劳动法》的正式合同，负责劳动用工以及涉及劳动关系管理的所有事宜。供应商应承诺外包人员的基本保障性工资不低于所在工作地区最低工资标准，按照国家规定缴纳社会保险等。</w:t>
      </w:r>
    </w:p>
    <w:p>
      <w:pPr>
        <w:spacing w:line="600" w:lineRule="exact"/>
        <w:ind w:firstLine="640" w:firstLineChars="200"/>
        <w:rPr>
          <w:rFonts w:ascii="彩虹黑体" w:hAnsi="Times New Roman" w:eastAsia="彩虹黑体" w:cs="Times New Roman"/>
          <w:sz w:val="32"/>
          <w:szCs w:val="32"/>
        </w:rPr>
      </w:pPr>
      <w:r>
        <w:rPr>
          <w:rFonts w:hint="eastAsia" w:ascii="彩虹粗仿宋" w:hAnsi="Times New Roman" w:eastAsia="彩虹粗仿宋" w:cs="Times New Roman"/>
          <w:sz w:val="32"/>
          <w:szCs w:val="32"/>
        </w:rPr>
        <w:t>5.供应商应对派驻我行的人员进行业务知识培训，并达到国家承认的上岗资格，做到持证上岗。</w:t>
      </w:r>
      <w:r>
        <w:rPr>
          <w:rFonts w:hint="eastAsia" w:ascii="彩虹粗仿宋" w:eastAsia="彩虹粗仿宋"/>
          <w:sz w:val="32"/>
          <w:szCs w:val="32"/>
        </w:rPr>
        <w:t>派往我行的人员非必要，不得进入我行营业柜台等场所，不得从事本岗位工作职责以外的工作。执勤期间，按照合同约定着装持械上岗。</w:t>
      </w:r>
      <w:r>
        <w:rPr>
          <w:rFonts w:hint="eastAsia" w:ascii="彩虹粗仿宋" w:hAnsi="Times New Roman" w:eastAsia="彩虹粗仿宋" w:cs="Times New Roman"/>
          <w:sz w:val="32"/>
          <w:szCs w:val="32"/>
        </w:rPr>
        <w:t>定期进行应急预案演练。</w:t>
      </w:r>
    </w:p>
    <w:p>
      <w:pPr>
        <w:tabs>
          <w:tab w:val="left" w:pos="720"/>
        </w:tabs>
        <w:adjustRightInd w:val="0"/>
        <w:snapToGrid w:val="0"/>
        <w:spacing w:line="560" w:lineRule="atLeast"/>
        <w:ind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6.供应商按照服务内容开展巡查工作，并加强巡查人员的管理，对巡查人员必须进行岗前培训。巡查过程中发现可疑情况必须立即处置上报。</w:t>
      </w:r>
    </w:p>
    <w:p>
      <w:pPr>
        <w:tabs>
          <w:tab w:val="left" w:pos="720"/>
        </w:tabs>
        <w:adjustRightInd w:val="0"/>
        <w:snapToGrid w:val="0"/>
        <w:spacing w:line="560" w:lineRule="atLeast"/>
        <w:ind w:firstLine="627" w:firstLineChars="196"/>
        <w:rPr>
          <w:rFonts w:ascii="彩虹粗仿宋" w:hAnsi="华文楷体" w:eastAsia="彩虹粗仿宋"/>
          <w:sz w:val="32"/>
          <w:szCs w:val="32"/>
        </w:rPr>
      </w:pPr>
      <w:r>
        <w:rPr>
          <w:rFonts w:hint="eastAsia" w:ascii="彩虹粗仿宋" w:hAnsi="Times New Roman" w:eastAsia="彩虹粗仿宋" w:cs="Times New Roman"/>
          <w:sz w:val="32"/>
          <w:szCs w:val="32"/>
        </w:rPr>
        <w:t>7.</w:t>
      </w:r>
      <w:r>
        <w:rPr>
          <w:rFonts w:hint="eastAsia" w:ascii="彩虹粗仿宋" w:hAnsi="华文楷体" w:eastAsia="彩虹粗仿宋"/>
          <w:sz w:val="32"/>
          <w:szCs w:val="32"/>
        </w:rPr>
        <w:t xml:space="preserve"> 供应商履行的职责</w:t>
      </w:r>
    </w:p>
    <w:p>
      <w:pPr>
        <w:tabs>
          <w:tab w:val="left" w:pos="720"/>
        </w:tabs>
        <w:adjustRightInd w:val="0"/>
        <w:snapToGrid w:val="0"/>
        <w:spacing w:line="560" w:lineRule="atLeast"/>
        <w:ind w:left="-178" w:leftChars="-85"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按时保质保量完服务内容，配合我行完成阶段性和临时性任务，配合完成其他与外包事项有关的合理性工作，如各类安全检查、突发事件处置等。</w:t>
      </w:r>
    </w:p>
    <w:p>
      <w:pPr>
        <w:tabs>
          <w:tab w:val="left" w:pos="720"/>
        </w:tabs>
        <w:adjustRightInd w:val="0"/>
        <w:snapToGrid w:val="0"/>
        <w:spacing w:line="560" w:lineRule="atLeast"/>
        <w:ind w:left="-178" w:leftChars="-85"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（1）服务人员如在为我行提供服务过程中发生一切人身意外伤害或造成我行及客户的人身、财产损失，均由供应商负全责。</w:t>
      </w:r>
    </w:p>
    <w:p>
      <w:pPr>
        <w:tabs>
          <w:tab w:val="left" w:pos="720"/>
        </w:tabs>
        <w:adjustRightInd w:val="0"/>
        <w:snapToGrid w:val="0"/>
        <w:spacing w:line="560" w:lineRule="atLeast"/>
        <w:ind w:firstLine="320" w:firstLineChars="1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（2）供应商制定符合我行要求的规章制度、工作纪律、要求，以及相关客户服务制度，并要求外包服务人员严格执行，避免因不规范服务或过度服务引发风险。</w:t>
      </w:r>
    </w:p>
    <w:p>
      <w:pPr>
        <w:tabs>
          <w:tab w:val="left" w:pos="720"/>
        </w:tabs>
        <w:adjustRightInd w:val="0"/>
        <w:snapToGrid w:val="0"/>
        <w:spacing w:line="560" w:lineRule="atLeast"/>
        <w:ind w:left="-178" w:leftChars="-85" w:firstLine="800" w:firstLineChars="2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8. 职业道德要求</w:t>
      </w:r>
    </w:p>
    <w:p>
      <w:pPr>
        <w:tabs>
          <w:tab w:val="left" w:pos="720"/>
        </w:tabs>
        <w:adjustRightInd w:val="0"/>
        <w:snapToGrid w:val="0"/>
        <w:spacing w:line="560" w:lineRule="atLeast"/>
        <w:ind w:left="-178" w:leftChars="-85"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（1）恪守职业道德，自觉维护我行利益。</w:t>
      </w:r>
    </w:p>
    <w:p>
      <w:pPr>
        <w:tabs>
          <w:tab w:val="left" w:pos="720"/>
        </w:tabs>
        <w:adjustRightInd w:val="0"/>
        <w:snapToGrid w:val="0"/>
        <w:spacing w:line="560" w:lineRule="atLeast"/>
        <w:ind w:left="-178" w:leftChars="-85"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（2）在工作中必须维护我行形象，规范服务用语、尊重客户、不得与客户发生争吵或冲突；造成客户投诉，应第一时间向服务机构负责人汇报情况，不得推诿隐瞒，不得引起客户投诉的升级。</w:t>
      </w:r>
    </w:p>
    <w:p>
      <w:pPr>
        <w:tabs>
          <w:tab w:val="left" w:pos="720"/>
        </w:tabs>
        <w:adjustRightInd w:val="0"/>
        <w:snapToGrid w:val="0"/>
        <w:spacing w:line="560" w:lineRule="atLeast"/>
        <w:ind w:firstLine="320" w:firstLineChars="1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（3）主动与我行员工相互协作、相互支持、相互配合，营造融洽的合作氛围。</w:t>
      </w:r>
    </w:p>
    <w:p>
      <w:pPr>
        <w:tabs>
          <w:tab w:val="left" w:pos="720"/>
        </w:tabs>
        <w:adjustRightInd w:val="0"/>
        <w:snapToGrid w:val="0"/>
        <w:spacing w:line="560" w:lineRule="atLeast"/>
        <w:ind w:left="-178" w:leftChars="-85"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9. 仪容仪表要求</w:t>
      </w:r>
    </w:p>
    <w:p>
      <w:pPr>
        <w:tabs>
          <w:tab w:val="left" w:pos="720"/>
        </w:tabs>
        <w:adjustRightInd w:val="0"/>
        <w:snapToGrid w:val="0"/>
        <w:spacing w:line="560" w:lineRule="atLeast"/>
        <w:ind w:left="-178" w:leftChars="-85"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（1）发型大方，保持头发整洁，不得留怪异发型和染异色，工作时间不得佩戴墨镜。</w:t>
      </w:r>
    </w:p>
    <w:p>
      <w:pPr>
        <w:tabs>
          <w:tab w:val="left" w:pos="720"/>
        </w:tabs>
        <w:adjustRightInd w:val="0"/>
        <w:snapToGrid w:val="0"/>
        <w:spacing w:line="560" w:lineRule="atLeast"/>
        <w:ind w:left="-178" w:leftChars="-85"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（2）男性不得蓄长发、留胡须、佩戴项链。</w:t>
      </w:r>
    </w:p>
    <w:p>
      <w:pPr>
        <w:tabs>
          <w:tab w:val="left" w:pos="720"/>
        </w:tabs>
        <w:adjustRightInd w:val="0"/>
        <w:snapToGrid w:val="0"/>
        <w:spacing w:line="560" w:lineRule="atLeast"/>
        <w:ind w:left="-178" w:leftChars="-85"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（3）女性可适度化妆，不浓妆艳抹，不使用气味强烈的化妆品；不得留长指甲，不得涂有色指甲；不得佩戴耳坠或大耳环。</w:t>
      </w:r>
    </w:p>
    <w:p>
      <w:pPr>
        <w:tabs>
          <w:tab w:val="left" w:pos="720"/>
        </w:tabs>
        <w:adjustRightInd w:val="0"/>
        <w:snapToGrid w:val="0"/>
        <w:spacing w:line="560" w:lineRule="atLeast"/>
        <w:ind w:firstLine="320" w:firstLineChars="1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（4）供应商制定自身的员工礼仪规范，应要求外包服务人员严格执行。</w:t>
      </w:r>
    </w:p>
    <w:p>
      <w:pPr>
        <w:spacing w:line="600" w:lineRule="exact"/>
        <w:ind w:firstLine="643" w:firstLineChars="200"/>
        <w:jc w:val="left"/>
        <w:rPr>
          <w:rFonts w:ascii="彩虹楷体" w:hAnsi="宋体" w:eastAsia="彩虹楷体" w:cs="Times New Roman"/>
          <w:b/>
          <w:color w:val="000000"/>
          <w:kern w:val="0"/>
          <w:sz w:val="32"/>
          <w:szCs w:val="32"/>
        </w:rPr>
      </w:pPr>
      <w:r>
        <w:rPr>
          <w:rFonts w:hint="eastAsia" w:ascii="彩虹楷体" w:hAnsi="Times New Roman" w:eastAsia="彩虹楷体" w:cs="Times New Roman"/>
          <w:b/>
          <w:sz w:val="32"/>
          <w:szCs w:val="32"/>
        </w:rPr>
        <w:t>（二）</w:t>
      </w:r>
      <w:r>
        <w:rPr>
          <w:rFonts w:hint="eastAsia" w:ascii="彩虹楷体" w:hAnsi="宋体" w:eastAsia="彩虹楷体" w:cs="Times New Roman"/>
          <w:b/>
          <w:color w:val="000000"/>
          <w:kern w:val="0"/>
          <w:sz w:val="32"/>
          <w:szCs w:val="32"/>
        </w:rPr>
        <w:t>风险控制和应急措施</w:t>
      </w:r>
    </w:p>
    <w:p>
      <w:pPr>
        <w:tabs>
          <w:tab w:val="left" w:pos="720"/>
        </w:tabs>
        <w:adjustRightInd w:val="0"/>
        <w:snapToGrid w:val="0"/>
        <w:spacing w:line="560" w:lineRule="atLeast"/>
        <w:ind w:left="-178" w:leftChars="-85"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为保证我行权益和商业机密，需采取以下风险控制和应急措施。</w:t>
      </w:r>
    </w:p>
    <w:p>
      <w:pPr>
        <w:tabs>
          <w:tab w:val="left" w:pos="720"/>
        </w:tabs>
        <w:adjustRightInd w:val="0"/>
        <w:snapToGrid w:val="0"/>
        <w:spacing w:line="560" w:lineRule="atLeast"/>
        <w:ind w:left="-178" w:leftChars="-85"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 风险控制措施：禁止供应商以我行名义进行用工管理或开展生产经营活动，外包服务人员必须与公司依法订立了劳动合同，防范外包业务用工风险。</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（1）日常管理、监督和检查。</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a.我行负责外包人员的业务培训和规范操作，指导、监督保安服务人员按章办事，在安保服务过程中协助做好办公、营业场所经营秩序的同时，维护员工、客户的人身和财产安全，不得从事岗位职责以外的工作。</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b.按照我行的要求，每季度至少开展一次服务检查，并形成检查报告，召开联席会对检查中发现的问题及时通报供应商，限期整改和落实，每年度结束后形成年度评估报告。</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（2）明确责任，防范风险。</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a.双方按照约定明确双方责任，建立健全安全责任制，完善双方沟通协作机制。提供安保服务的供应商应根据不同工作性质，明确人员岗位职责，规范流程，不断提升服务人员的业务素质和技能，为我行提供更加安全的安保、巡查服务。</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b.监督管理实行“对事不对人”，明确人员招聘、管理、考核、薪酬发放等均由供应商负责，我行负责监督检查服务质量和应急处置。</w:t>
      </w:r>
    </w:p>
    <w:p>
      <w:pPr>
        <w:tabs>
          <w:tab w:val="left" w:pos="720"/>
        </w:tabs>
        <w:adjustRightInd w:val="0"/>
        <w:snapToGrid w:val="0"/>
        <w:spacing w:line="560" w:lineRule="atLeast"/>
        <w:ind w:left="-178" w:leftChars="-85"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c.供应商通过工作合同、规章对外包服务人员的行为做出约束，与服务人员签订《保密协议》，防范客户信息泄露的风险，严格防范操作风险、声誉风险及其它风险。</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（3）保密要求</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a.保安服务人员只能掌握了解工作需要的相关信息，不得将我行信息资料以任何方式透露给其他任何机构或个人。</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b.保安服务人员不得利用工作之便，窃取、收买或者非法提供他人申请信息资料进行各种非法活动。</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c.如有供应商原因导致我行及客户信息泄漏的，我行将立即取消合作，并追究相关责任。</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d.供应商应严守我行的商业秘密、技术秘密和其他商业及业务信息，不得泄露。保密要求长期有效。</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 应急措施</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（1）日常应急管理</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a.供应商应制定相关应急预案，预案场景设置、预案分工、预案演练、预案评估，明确应急处置流程。应急预案包括但不限于我行及客户信息泄露、客户投诉等风险事件，营业网点如遇挤兑、抢劫、被盗等事件。</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b.因供应商原因造成我行经济损失的，应按照相关法律法规、合同约定进行赔偿。造成我行声誉损失的，应积极配合我行采取措施消除影响、恢复声誉。涉嫌违法犯罪的，应及时向公安机关报案。</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c.在处理事（案）件过程中要时刻向我行报告进展情况，待风险解除后，形成书面报告报送我行，我行综合评估后确定是否继续开展外包事项。</w:t>
      </w:r>
    </w:p>
    <w:p>
      <w:pPr>
        <w:spacing w:line="600" w:lineRule="exact"/>
        <w:ind w:firstLine="643" w:firstLineChars="200"/>
        <w:jc w:val="left"/>
        <w:rPr>
          <w:rFonts w:ascii="彩虹楷体" w:hAnsi="Times New Roman" w:eastAsia="彩虹楷体" w:cs="Times New Roman"/>
          <w:b/>
          <w:sz w:val="32"/>
          <w:szCs w:val="32"/>
        </w:rPr>
      </w:pPr>
      <w:r>
        <w:rPr>
          <w:rFonts w:hint="eastAsia" w:ascii="彩虹楷体" w:hAnsi="Times New Roman" w:eastAsia="彩虹楷体" w:cs="Times New Roman"/>
          <w:b/>
          <w:sz w:val="32"/>
          <w:szCs w:val="32"/>
        </w:rPr>
        <w:t>（三）违约责任</w:t>
      </w:r>
    </w:p>
    <w:p>
      <w:pPr>
        <w:spacing w:line="600" w:lineRule="exact"/>
        <w:ind w:firstLine="640" w:firstLineChars="200"/>
        <w:jc w:val="left"/>
        <w:rPr>
          <w:rFonts w:ascii="彩虹粗仿宋" w:hAnsi="宋体" w:eastAsia="彩虹粗仿宋" w:cs="Times New Roman"/>
          <w:sz w:val="32"/>
          <w:szCs w:val="32"/>
        </w:rPr>
      </w:pPr>
      <w:r>
        <w:rPr>
          <w:rFonts w:hint="eastAsia" w:ascii="彩虹粗仿宋" w:hAnsi="Times New Roman" w:eastAsia="彩虹粗仿宋" w:cs="Times New Roman"/>
          <w:sz w:val="32"/>
          <w:szCs w:val="32"/>
        </w:rPr>
        <w:t>（1）若由于供应商原因导致发生安全事故或安全隐患，使我行蒙受损失的，由供应商承担损失赔偿责任，每次事故或事件的赔偿金额不低于人民币伍万元整（￥50，000.00）。</w:t>
      </w:r>
      <w:r>
        <w:rPr>
          <w:rFonts w:hint="eastAsia" w:ascii="彩虹粗仿宋" w:hAnsi="宋体" w:eastAsia="彩虹粗仿宋" w:cs="Times New Roman"/>
          <w:sz w:val="32"/>
          <w:szCs w:val="32"/>
        </w:rPr>
        <w:t>供应商应当支付违约金或赔偿金的，应当在接到索赔通知后10日之内支付，或从未支付款项中抵扣相应数额的款项。</w:t>
      </w:r>
    </w:p>
    <w:p>
      <w:pPr>
        <w:spacing w:line="600" w:lineRule="exact"/>
        <w:ind w:firstLine="640" w:firstLineChars="200"/>
        <w:jc w:val="left"/>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（2）凡违反保密约定的，应承担违约责任，赔偿对方违约金人民币</w:t>
      </w:r>
      <w:bookmarkStart w:id="0" w:name="OLE_LINK1"/>
      <w:bookmarkStart w:id="1" w:name="OLE_LINK2"/>
      <w:r>
        <w:rPr>
          <w:rFonts w:hint="eastAsia" w:ascii="彩虹粗仿宋" w:hAnsi="Times New Roman" w:eastAsia="彩虹粗仿宋" w:cs="Times New Roman"/>
          <w:sz w:val="32"/>
          <w:szCs w:val="32"/>
        </w:rPr>
        <w:t>伍仟元整（￥5，000.00）</w:t>
      </w:r>
      <w:bookmarkEnd w:id="0"/>
      <w:bookmarkEnd w:id="1"/>
      <w:r>
        <w:rPr>
          <w:rFonts w:hint="eastAsia" w:ascii="彩虹粗仿宋" w:hAnsi="Times New Roman" w:eastAsia="彩虹粗仿宋" w:cs="Times New Roman"/>
          <w:sz w:val="32"/>
          <w:szCs w:val="32"/>
        </w:rPr>
        <w:t>。若违约金不足以弥补对方损失的，违约方还需承担由此引发的一切后果及对方的全部损失。</w:t>
      </w:r>
    </w:p>
    <w:p>
      <w:pPr>
        <w:spacing w:line="600" w:lineRule="exact"/>
        <w:ind w:firstLine="640" w:firstLineChars="200"/>
        <w:jc w:val="left"/>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（3）若供应商不能提供符合我行业务需要的安保服务，我行有权终止合作，且无需向供应商继续支付剩余款项。</w:t>
      </w:r>
    </w:p>
    <w:p>
      <w:pPr>
        <w:spacing w:line="600" w:lineRule="exact"/>
        <w:ind w:firstLine="643" w:firstLineChars="200"/>
        <w:jc w:val="left"/>
        <w:rPr>
          <w:rFonts w:ascii="彩虹楷体" w:hAnsi="Times New Roman" w:eastAsia="彩虹楷体" w:cs="Times New Roman"/>
          <w:b/>
          <w:sz w:val="32"/>
          <w:szCs w:val="32"/>
        </w:rPr>
      </w:pPr>
      <w:r>
        <w:rPr>
          <w:rFonts w:hint="eastAsia" w:ascii="彩虹楷体" w:hAnsi="Times New Roman" w:eastAsia="彩虹楷体" w:cs="Times New Roman"/>
          <w:b/>
          <w:sz w:val="32"/>
          <w:szCs w:val="32"/>
        </w:rPr>
        <w:t>（四）验收方法</w:t>
      </w:r>
    </w:p>
    <w:p>
      <w:pPr>
        <w:adjustRightInd w:val="0"/>
        <w:snapToGrid w:val="0"/>
        <w:spacing w:line="560" w:lineRule="exact"/>
        <w:ind w:firstLine="640" w:firstLineChars="200"/>
        <w:rPr>
          <w:rFonts w:ascii="彩虹粗仿宋" w:hAnsi="宋体" w:eastAsia="彩虹粗仿宋" w:cs="Times New Roman"/>
          <w:kern w:val="0"/>
          <w:sz w:val="32"/>
          <w:szCs w:val="32"/>
        </w:rPr>
      </w:pPr>
      <w:r>
        <w:rPr>
          <w:rFonts w:hint="eastAsia" w:ascii="彩虹粗仿宋" w:hAnsi="黑体" w:eastAsia="彩虹粗仿宋" w:cs="Times New Roman"/>
          <w:sz w:val="32"/>
          <w:szCs w:val="32"/>
        </w:rPr>
        <w:t>漯河分行安全保卫部每月组织开展服务测评，并根据《保安服务测评表》出具测评结果，</w:t>
      </w:r>
      <w:r>
        <w:rPr>
          <w:rFonts w:hint="eastAsia" w:ascii="彩虹粗仿宋" w:hAnsi="宋体" w:eastAsia="彩虹粗仿宋" w:cs="Times New Roman"/>
          <w:sz w:val="32"/>
          <w:szCs w:val="32"/>
        </w:rPr>
        <w:t>合格岗位占服务总岗位90%（含）以上为总体合格、80%（含）以上90%以下为基本合格、80%以下为不合格，按总体合格、基本合格、不合格三个档次支付服务费用</w:t>
      </w:r>
      <w:r>
        <w:rPr>
          <w:rFonts w:hint="eastAsia" w:ascii="彩虹粗仿宋" w:hAnsi="宋体" w:eastAsia="彩虹粗仿宋" w:cs="Times New Roman"/>
          <w:kern w:val="0"/>
          <w:sz w:val="32"/>
          <w:szCs w:val="32"/>
        </w:rPr>
        <w:t>。合格档次支付全额服务费用，基本合格档次每</w:t>
      </w:r>
      <w:r>
        <w:rPr>
          <w:rFonts w:hint="eastAsia" w:ascii="彩虹粗仿宋" w:hAnsi="宋体" w:eastAsia="彩虹粗仿宋" w:cs="Times New Roman"/>
          <w:kern w:val="0"/>
          <w:sz w:val="32"/>
          <w:szCs w:val="32"/>
          <w:lang w:eastAsia="zh-CN"/>
        </w:rPr>
        <w:t>岗</w:t>
      </w:r>
      <w:r>
        <w:rPr>
          <w:rFonts w:hint="eastAsia" w:ascii="彩虹粗仿宋" w:hAnsi="宋体" w:eastAsia="彩虹粗仿宋" w:cs="Times New Roman"/>
          <w:kern w:val="0"/>
          <w:sz w:val="32"/>
          <w:szCs w:val="32"/>
        </w:rPr>
        <w:t>每月调减服务费用50元，不合格档次每</w:t>
      </w:r>
      <w:r>
        <w:rPr>
          <w:rFonts w:hint="eastAsia" w:ascii="彩虹粗仿宋" w:hAnsi="宋体" w:eastAsia="彩虹粗仿宋" w:cs="Times New Roman"/>
          <w:kern w:val="0"/>
          <w:sz w:val="32"/>
          <w:szCs w:val="32"/>
          <w:lang w:eastAsia="zh-CN"/>
        </w:rPr>
        <w:t>岗</w:t>
      </w:r>
      <w:r>
        <w:rPr>
          <w:rFonts w:hint="eastAsia" w:ascii="彩虹粗仿宋" w:hAnsi="宋体" w:eastAsia="彩虹粗仿宋" w:cs="Times New Roman"/>
          <w:kern w:val="0"/>
          <w:sz w:val="32"/>
          <w:szCs w:val="32"/>
        </w:rPr>
        <w:t>每月调减服务费用100元，并进行约谈，连续三次不合格我方权终止合同。</w:t>
      </w:r>
    </w:p>
    <w:p>
      <w:pPr>
        <w:spacing w:line="560" w:lineRule="exact"/>
        <w:ind w:firstLine="636"/>
        <w:rPr>
          <w:rFonts w:ascii="彩虹楷体" w:hAnsi="宋体" w:eastAsia="彩虹楷体"/>
          <w:b/>
          <w:sz w:val="32"/>
          <w:szCs w:val="32"/>
        </w:rPr>
      </w:pPr>
      <w:r>
        <w:rPr>
          <w:rFonts w:hint="eastAsia" w:ascii="彩虹楷体" w:hAnsi="Times New Roman" w:eastAsia="彩虹楷体" w:cs="Times New Roman"/>
          <w:b/>
          <w:sz w:val="32"/>
          <w:szCs w:val="32"/>
        </w:rPr>
        <w:t>（五）</w:t>
      </w:r>
      <w:r>
        <w:rPr>
          <w:rFonts w:hint="eastAsia" w:ascii="彩虹楷体" w:hAnsi="宋体" w:eastAsia="彩虹楷体"/>
          <w:b/>
          <w:sz w:val="32"/>
          <w:szCs w:val="32"/>
        </w:rPr>
        <w:t>消保条款要求</w:t>
      </w:r>
    </w:p>
    <w:p>
      <w:pPr>
        <w:spacing w:line="560" w:lineRule="exact"/>
        <w:ind w:firstLine="636"/>
        <w:rPr>
          <w:rFonts w:ascii="彩虹楷体" w:hAnsi="宋体" w:eastAsia="彩虹楷体"/>
          <w:sz w:val="32"/>
          <w:szCs w:val="32"/>
        </w:rPr>
      </w:pPr>
      <w:r>
        <w:rPr>
          <w:rFonts w:hint="eastAsia" w:ascii="彩虹楷体" w:hAnsi="宋体" w:eastAsia="彩虹楷体"/>
          <w:sz w:val="32"/>
          <w:szCs w:val="32"/>
        </w:rPr>
        <w:t>1.个人信息保护条款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（1）明确双方职责、保密义务及个人信息保护条款措施、个人信息发生泄露的违约责任；约定合作机构的保密义务不因服务的终止而终止；</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（2）合作机构不得在未获得客户同意的前提下将获得的个人信息进一步提供给其他第三方；</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（3）合作机构向个人信息主体征得收集个人信息的明确同意授权；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（4）在双方合作关系终止时，应确保其不再存储我行相关个人信息。</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2.信息披露条款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 xml:space="preserve">3.消费者投诉条款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（2）对涉及理赔给付的合作机构，应明确其承担的投诉处理义务和责任。</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 xml:space="preserve">4.其他行为监督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5.黑名单退出机制</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对有下列情形之一的，应取消准入资格；已经准入的，应予以退出。</w:t>
      </w:r>
    </w:p>
    <w:p>
      <w:pPr>
        <w:spacing w:line="560" w:lineRule="exact"/>
        <w:ind w:left="210" w:leftChars="100" w:firstLine="320" w:firstLineChars="100"/>
        <w:rPr>
          <w:rFonts w:ascii="彩虹粗仿宋" w:hAnsi="宋体" w:eastAsia="彩虹粗仿宋"/>
          <w:sz w:val="32"/>
          <w:szCs w:val="32"/>
        </w:rPr>
      </w:pPr>
      <w:r>
        <w:rPr>
          <w:rFonts w:hint="eastAsia" w:ascii="彩虹粗仿宋" w:hAnsi="宋体" w:eastAsia="彩虹粗仿宋"/>
          <w:sz w:val="32"/>
          <w:szCs w:val="32"/>
        </w:rPr>
        <w:t>（1）</w:t>
      </w:r>
      <w:r>
        <w:rPr>
          <w:rFonts w:ascii="彩虹粗仿宋" w:hAnsi="宋体" w:eastAsia="彩虹粗仿宋"/>
          <w:sz w:val="32"/>
          <w:szCs w:val="32"/>
        </w:rPr>
        <w:t>存在消费者权益侵权行为，引发较大舆情或重大投诉在社会上造成严重不良影响的；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w:t>
      </w:r>
      <w:r>
        <w:rPr>
          <w:rFonts w:ascii="彩虹粗仿宋" w:hAnsi="宋体" w:eastAsia="彩虹粗仿宋"/>
          <w:sz w:val="32"/>
          <w:szCs w:val="32"/>
        </w:rPr>
        <w:t>存在消费者权益侵权行为，受到监管处罚，给我行造成严重不良影响的；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w:t>
      </w:r>
      <w:r>
        <w:rPr>
          <w:rFonts w:ascii="彩虹粗仿宋" w:hAnsi="宋体" w:eastAsia="彩虹粗仿宋"/>
          <w:sz w:val="32"/>
          <w:szCs w:val="32"/>
        </w:rPr>
        <w:t>存在消费者权益侵权行为，受到公安立案或法院判决，给我行造成严重不良影响的；</w:t>
      </w:r>
    </w:p>
    <w:p>
      <w:pPr>
        <w:spacing w:line="600" w:lineRule="exact"/>
        <w:ind w:firstLine="640" w:firstLineChars="200"/>
        <w:jc w:val="left"/>
        <w:rPr>
          <w:rFonts w:ascii="彩虹楷体" w:hAnsi="Times New Roman" w:eastAsia="彩虹楷体" w:cs="Times New Roman"/>
          <w:b/>
          <w:sz w:val="32"/>
          <w:szCs w:val="32"/>
        </w:rPr>
      </w:pPr>
      <w:r>
        <w:rPr>
          <w:rFonts w:hint="eastAsia" w:ascii="彩虹粗仿宋" w:hAnsi="宋体" w:eastAsia="彩虹粗仿宋"/>
          <w:sz w:val="32"/>
          <w:szCs w:val="32"/>
        </w:rPr>
        <w:t>（4）</w:t>
      </w:r>
      <w:r>
        <w:rPr>
          <w:rFonts w:ascii="彩虹粗仿宋" w:hAnsi="宋体" w:eastAsia="彩虹粗仿宋"/>
          <w:sz w:val="32"/>
          <w:szCs w:val="32"/>
        </w:rPr>
        <w:t>违反法律法规和监管机构规定的其他严重情形</w:t>
      </w:r>
      <w:r>
        <w:rPr>
          <w:rFonts w:hint="eastAsia" w:ascii="彩虹粗仿宋" w:hAnsi="宋体" w:eastAsia="彩虹粗仿宋"/>
          <w:sz w:val="32"/>
          <w:szCs w:val="32"/>
        </w:rPr>
        <w:t>。</w:t>
      </w:r>
    </w:p>
    <w:p>
      <w:pPr>
        <w:spacing w:line="560" w:lineRule="exact"/>
        <w:ind w:firstLine="640" w:firstLineChars="200"/>
        <w:rPr>
          <w:rFonts w:ascii="彩虹黑体" w:eastAsia="彩虹黑体"/>
          <w:sz w:val="32"/>
          <w:szCs w:val="32"/>
        </w:rPr>
      </w:pPr>
      <w:r>
        <w:rPr>
          <w:rFonts w:hint="eastAsia" w:ascii="彩虹黑体" w:eastAsia="彩虹黑体"/>
          <w:sz w:val="32"/>
          <w:szCs w:val="32"/>
        </w:rPr>
        <w:t>五、服务供应安排</w:t>
      </w:r>
    </w:p>
    <w:p>
      <w:pPr>
        <w:adjustRightInd w:val="0"/>
        <w:snapToGrid w:val="0"/>
        <w:spacing w:line="560" w:lineRule="exact"/>
        <w:ind w:firstLine="640" w:firstLineChars="200"/>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1、负责为舞阳支行营业厅和舞阳新区支行营业厅提供安保值守服务。</w:t>
      </w:r>
    </w:p>
    <w:p>
      <w:pPr>
        <w:adjustRightInd w:val="0"/>
        <w:snapToGrid w:val="0"/>
        <w:spacing w:line="560" w:lineRule="exact"/>
        <w:ind w:firstLine="640" w:firstLineChars="200"/>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2、2个网点保安人员执勤的工作时间与网点营业时间保持一致，每人每周工作时间符合国家法定工作时间。</w:t>
      </w:r>
    </w:p>
    <w:p>
      <w:pPr>
        <w:spacing w:line="560" w:lineRule="exact"/>
        <w:ind w:firstLine="640" w:firstLineChars="200"/>
        <w:rPr>
          <w:rFonts w:ascii="彩虹黑体" w:eastAsia="彩虹黑体"/>
          <w:sz w:val="32"/>
          <w:szCs w:val="32"/>
        </w:rPr>
      </w:pPr>
      <w:r>
        <w:rPr>
          <w:rFonts w:hint="eastAsia" w:ascii="彩虹黑体" w:eastAsia="彩虹黑体"/>
          <w:sz w:val="32"/>
          <w:szCs w:val="32"/>
        </w:rPr>
        <w:t>六、服务数量要求</w:t>
      </w:r>
    </w:p>
    <w:p>
      <w:pPr>
        <w:adjustRightInd w:val="0"/>
        <w:snapToGrid w:val="0"/>
        <w:spacing w:line="560" w:lineRule="exact"/>
        <w:ind w:firstLine="320" w:firstLineChars="100"/>
        <w:rPr>
          <w:rFonts w:ascii="彩虹粗仿宋" w:hAnsi="黑体" w:eastAsia="彩虹粗仿宋" w:cs="彩虹粗仿宋"/>
          <w:snapToGrid w:val="0"/>
          <w:color w:val="000000" w:themeColor="text1"/>
          <w:kern w:val="0"/>
          <w:sz w:val="32"/>
          <w:szCs w:val="32"/>
          <w14:textFill>
            <w14:solidFill>
              <w14:schemeClr w14:val="tx1"/>
            </w14:solidFill>
          </w14:textFill>
        </w:rPr>
      </w:pPr>
      <w:r>
        <w:rPr>
          <w:rFonts w:hint="eastAsia" w:ascii="彩虹粗仿宋" w:hAnsi="黑体" w:eastAsia="彩虹粗仿宋" w:cs="彩虹粗仿宋"/>
          <w:snapToGrid w:val="0"/>
          <w:color w:val="000000" w:themeColor="text1"/>
          <w:kern w:val="0"/>
          <w:sz w:val="32"/>
          <w:szCs w:val="32"/>
          <w14:textFill>
            <w14:solidFill>
              <w14:schemeClr w14:val="tx1"/>
            </w14:solidFill>
          </w14:textFill>
        </w:rPr>
        <w:t>（一）服务区域</w:t>
      </w:r>
    </w:p>
    <w:p>
      <w:pPr>
        <w:spacing w:line="560" w:lineRule="exact"/>
        <w:ind w:firstLine="480" w:firstLineChars="150"/>
        <w:rPr>
          <w:rFonts w:ascii="彩虹粗仿宋" w:hAnsi="黑体" w:eastAsia="彩虹粗仿宋" w:cs="Times New Roman"/>
          <w:color w:val="000000" w:themeColor="text1"/>
          <w:sz w:val="32"/>
          <w:szCs w:val="32"/>
          <w14:textFill>
            <w14:solidFill>
              <w14:schemeClr w14:val="tx1"/>
            </w14:solidFill>
          </w14:textFill>
        </w:rPr>
      </w:pPr>
      <w:r>
        <w:rPr>
          <w:rFonts w:hint="eastAsia" w:ascii="彩虹粗仿宋" w:hAnsi="黑体" w:eastAsia="彩虹粗仿宋" w:cs="Times New Roman"/>
          <w:color w:val="000000" w:themeColor="text1"/>
          <w:sz w:val="32"/>
          <w:szCs w:val="32"/>
          <w14:textFill>
            <w14:solidFill>
              <w14:schemeClr w14:val="tx1"/>
            </w14:solidFill>
          </w14:textFill>
        </w:rPr>
        <w:t>安保服务：舞阳支行营业厅和舞阳新区支行营业厅。</w:t>
      </w:r>
    </w:p>
    <w:p>
      <w:pPr>
        <w:spacing w:line="560" w:lineRule="exact"/>
        <w:ind w:firstLine="320" w:firstLineChars="100"/>
        <w:rPr>
          <w:rFonts w:ascii="彩虹粗仿宋" w:hAnsi="黑体" w:eastAsia="彩虹粗仿宋" w:cs="Times New Roman"/>
          <w:color w:val="000000" w:themeColor="text1"/>
          <w:sz w:val="32"/>
          <w:szCs w:val="32"/>
          <w14:textFill>
            <w14:solidFill>
              <w14:schemeClr w14:val="tx1"/>
            </w14:solidFill>
          </w14:textFill>
        </w:rPr>
      </w:pPr>
      <w:r>
        <w:rPr>
          <w:rFonts w:hint="eastAsia" w:ascii="彩虹粗仿宋" w:hAnsi="黑体" w:eastAsia="彩虹粗仿宋" w:cs="Times New Roman"/>
          <w:color w:val="000000" w:themeColor="text1"/>
          <w:sz w:val="32"/>
          <w:szCs w:val="32"/>
          <w14:textFill>
            <w14:solidFill>
              <w14:schemeClr w14:val="tx1"/>
            </w14:solidFill>
          </w14:textFill>
        </w:rPr>
        <w:t>（二）岗位数量</w:t>
      </w:r>
    </w:p>
    <w:p>
      <w:pPr>
        <w:adjustRightInd w:val="0"/>
        <w:snapToGrid w:val="0"/>
        <w:spacing w:line="560" w:lineRule="exact"/>
        <w:ind w:firstLine="480" w:firstLineChars="150"/>
        <w:rPr>
          <w:rFonts w:ascii="彩虹粗仿宋" w:hAnsi="黑体" w:eastAsia="彩虹粗仿宋" w:cs="Times New Roman"/>
          <w:color w:val="000000" w:themeColor="text1"/>
          <w:sz w:val="32"/>
          <w:szCs w:val="32"/>
          <w14:textFill>
            <w14:solidFill>
              <w14:schemeClr w14:val="tx1"/>
            </w14:solidFill>
          </w14:textFill>
        </w:rPr>
      </w:pPr>
      <w:r>
        <w:rPr>
          <w:rFonts w:hint="eastAsia" w:ascii="彩虹粗仿宋" w:hAnsi="黑体" w:eastAsia="彩虹粗仿宋" w:cs="Times New Roman"/>
          <w:color w:val="000000" w:themeColor="text1"/>
          <w:sz w:val="32"/>
          <w:szCs w:val="32"/>
          <w14:textFill>
            <w14:solidFill>
              <w14:schemeClr w14:val="tx1"/>
            </w14:solidFill>
          </w14:textFill>
        </w:rPr>
        <w:t>舞阳支行营业厅2岗和舞阳新区支行营业厅2岗，合计配备保安员4岗。</w:t>
      </w:r>
    </w:p>
    <w:p>
      <w:pPr>
        <w:spacing w:line="560" w:lineRule="exact"/>
        <w:ind w:firstLine="640" w:firstLineChars="200"/>
        <w:rPr>
          <w:rFonts w:ascii="彩虹黑体" w:eastAsia="彩虹黑体"/>
          <w:sz w:val="32"/>
          <w:szCs w:val="32"/>
        </w:rPr>
      </w:pPr>
      <w:r>
        <w:rPr>
          <w:rFonts w:hint="eastAsia" w:ascii="彩虹黑体" w:eastAsia="彩虹黑体"/>
          <w:sz w:val="32"/>
          <w:szCs w:val="32"/>
        </w:rPr>
        <w:t>七、款项支付要求</w:t>
      </w:r>
    </w:p>
    <w:p>
      <w:pPr>
        <w:spacing w:line="600" w:lineRule="exact"/>
        <w:ind w:firstLine="640" w:firstLineChars="200"/>
        <w:jc w:val="left"/>
        <w:rPr>
          <w:rFonts w:ascii="彩虹粗仿宋" w:hAnsi="宋体" w:eastAsia="彩虹粗仿宋" w:cs="Times New Roman"/>
          <w:snapToGrid w:val="0"/>
          <w:kern w:val="0"/>
          <w:sz w:val="32"/>
          <w:szCs w:val="32"/>
        </w:rPr>
      </w:pPr>
      <w:r>
        <w:rPr>
          <w:rFonts w:hint="eastAsia" w:ascii="彩虹粗仿宋" w:hAnsi="黑体" w:eastAsia="彩虹粗仿宋" w:cs="彩虹粗仿宋"/>
          <w:snapToGrid w:val="0"/>
          <w:kern w:val="0"/>
          <w:sz w:val="32"/>
          <w:szCs w:val="32"/>
        </w:rPr>
        <w:t>按月根据保安岗位实际增减情况据实支付</w:t>
      </w:r>
      <w:r>
        <w:rPr>
          <w:rFonts w:hint="eastAsia" w:ascii="彩虹粗仿宋" w:hAnsi="黑体" w:eastAsia="彩虹粗仿宋" w:cs="Times New Roman"/>
          <w:snapToGrid w:val="0"/>
          <w:sz w:val="32"/>
          <w:szCs w:val="32"/>
        </w:rPr>
        <w:t>，根据月度考核情况，</w:t>
      </w:r>
      <w:r>
        <w:rPr>
          <w:rFonts w:hint="eastAsia" w:ascii="彩虹粗仿宋" w:hAnsi="黑体" w:eastAsia="彩虹粗仿宋" w:cs="Times New Roman"/>
          <w:sz w:val="32"/>
          <w:szCs w:val="32"/>
        </w:rPr>
        <w:t>供应商出具相应的增值税专用发票，</w:t>
      </w:r>
      <w:r>
        <w:rPr>
          <w:rFonts w:hint="eastAsia" w:ascii="彩虹粗仿宋" w:hAnsi="宋体" w:eastAsia="彩虹粗仿宋" w:cs="Times New Roman"/>
          <w:snapToGrid w:val="0"/>
          <w:kern w:val="0"/>
          <w:sz w:val="32"/>
          <w:szCs w:val="32"/>
        </w:rPr>
        <w:t>如遇增加或减少岗位数量,服务金额按对应岗位价格和数量进行增减。</w:t>
      </w:r>
    </w:p>
    <w:p>
      <w:pPr>
        <w:spacing w:line="560" w:lineRule="exact"/>
        <w:ind w:firstLine="640" w:firstLineChars="200"/>
        <w:rPr>
          <w:rFonts w:ascii="彩虹黑体" w:eastAsia="彩虹黑体"/>
          <w:sz w:val="32"/>
          <w:szCs w:val="32"/>
        </w:rPr>
      </w:pPr>
      <w:r>
        <w:rPr>
          <w:rFonts w:hint="eastAsia" w:ascii="彩虹黑体" w:eastAsia="彩虹黑体"/>
          <w:sz w:val="32"/>
          <w:szCs w:val="32"/>
        </w:rPr>
        <w:t>八、报价要求</w:t>
      </w:r>
    </w:p>
    <w:p>
      <w:pPr>
        <w:adjustRightInd w:val="0"/>
        <w:snapToGrid w:val="0"/>
        <w:spacing w:line="560" w:lineRule="exact"/>
        <w:ind w:firstLine="633" w:firstLineChars="198"/>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按照服务岗位（单位：元/岗/月）报含税单价和服务含税总价。每岗每月预算2200元，超过预算为无效报价。</w:t>
      </w:r>
    </w:p>
    <w:tbl>
      <w:tblPr>
        <w:tblStyle w:val="3"/>
        <w:tblW w:w="8980" w:type="dxa"/>
        <w:tblInd w:w="93" w:type="dxa"/>
        <w:tblLayout w:type="autofit"/>
        <w:tblCellMar>
          <w:top w:w="0" w:type="dxa"/>
          <w:left w:w="108" w:type="dxa"/>
          <w:bottom w:w="0" w:type="dxa"/>
          <w:right w:w="108" w:type="dxa"/>
        </w:tblCellMar>
      </w:tblPr>
      <w:tblGrid>
        <w:gridCol w:w="740"/>
        <w:gridCol w:w="740"/>
        <w:gridCol w:w="720"/>
        <w:gridCol w:w="1080"/>
        <w:gridCol w:w="740"/>
        <w:gridCol w:w="1120"/>
        <w:gridCol w:w="920"/>
        <w:gridCol w:w="740"/>
        <w:gridCol w:w="700"/>
        <w:gridCol w:w="720"/>
        <w:gridCol w:w="760"/>
      </w:tblGrid>
      <w:tr>
        <w:tblPrEx>
          <w:tblCellMar>
            <w:top w:w="0" w:type="dxa"/>
            <w:left w:w="108" w:type="dxa"/>
            <w:bottom w:w="0" w:type="dxa"/>
            <w:right w:w="108" w:type="dxa"/>
          </w:tblCellMar>
        </w:tblPrEx>
        <w:trPr>
          <w:trHeight w:val="456" w:hRule="atLeast"/>
        </w:trPr>
        <w:tc>
          <w:tcPr>
            <w:tcW w:w="8980" w:type="dxa"/>
            <w:gridSpan w:val="11"/>
            <w:tcBorders>
              <w:top w:val="nil"/>
              <w:left w:val="nil"/>
              <w:bottom w:val="nil"/>
              <w:right w:val="nil"/>
            </w:tcBorders>
            <w:noWrap/>
            <w:vAlign w:val="center"/>
          </w:tcPr>
          <w:p>
            <w:pPr>
              <w:widowControl/>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附件：</w:t>
            </w:r>
          </w:p>
          <w:p>
            <w:pPr>
              <w:widowControl/>
              <w:jc w:val="center"/>
              <w:rPr>
                <w:rFonts w:ascii="Times New Roman" w:hAnsi="Times New Roman"/>
                <w:b/>
                <w:bCs/>
                <w:kern w:val="0"/>
                <w:sz w:val="36"/>
                <w:szCs w:val="36"/>
              </w:rPr>
            </w:pPr>
            <w:r>
              <w:rPr>
                <w:rFonts w:ascii="彩虹粗仿宋" w:hAnsi="宋体" w:eastAsia="彩虹粗仿宋" w:cs="Times New Roman"/>
                <w:snapToGrid w:val="0"/>
                <w:kern w:val="0"/>
                <w:sz w:val="32"/>
                <w:szCs w:val="32"/>
              </w:rPr>
              <w:br w:type="page"/>
            </w:r>
            <w:r>
              <w:rPr>
                <w:rFonts w:hint="eastAsia" w:ascii="宋体" w:hAnsi="宋体"/>
                <w:b/>
                <w:bCs/>
                <w:kern w:val="0"/>
                <w:sz w:val="36"/>
                <w:szCs w:val="36"/>
              </w:rPr>
              <w:t>保安服务测评表</w:t>
            </w:r>
          </w:p>
        </w:tc>
      </w:tr>
      <w:tr>
        <w:tblPrEx>
          <w:tblCellMar>
            <w:top w:w="0" w:type="dxa"/>
            <w:left w:w="108" w:type="dxa"/>
            <w:bottom w:w="0" w:type="dxa"/>
            <w:right w:w="108" w:type="dxa"/>
          </w:tblCellMar>
        </w:tblPrEx>
        <w:trPr>
          <w:trHeight w:val="135"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108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9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0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r>
        <w:tblPrEx>
          <w:tblCellMar>
            <w:top w:w="0" w:type="dxa"/>
            <w:left w:w="108" w:type="dxa"/>
            <w:bottom w:w="0" w:type="dxa"/>
            <w:right w:w="108" w:type="dxa"/>
          </w:tblCellMar>
        </w:tblPrEx>
        <w:trPr>
          <w:trHeight w:val="600" w:hRule="atLeast"/>
        </w:trPr>
        <w:tc>
          <w:tcPr>
            <w:tcW w:w="1480" w:type="dxa"/>
            <w:gridSpan w:val="2"/>
            <w:tcBorders>
              <w:top w:val="nil"/>
              <w:left w:val="nil"/>
              <w:bottom w:val="single" w:color="auto" w:sz="4" w:space="0"/>
              <w:right w:val="nil"/>
            </w:tcBorders>
            <w:noWrap/>
            <w:vAlign w:val="center"/>
          </w:tcPr>
          <w:p>
            <w:pPr>
              <w:widowControl/>
              <w:jc w:val="center"/>
              <w:rPr>
                <w:rFonts w:ascii="宋体" w:hAnsi="宋体" w:cs="宋体"/>
                <w:kern w:val="0"/>
                <w:szCs w:val="28"/>
              </w:rPr>
            </w:pPr>
            <w:r>
              <w:rPr>
                <w:rFonts w:hint="eastAsia" w:ascii="宋体" w:hAnsi="宋体" w:cs="宋体"/>
                <w:kern w:val="0"/>
                <w:szCs w:val="28"/>
              </w:rPr>
              <w:t>网点：</w:t>
            </w:r>
          </w:p>
        </w:tc>
        <w:tc>
          <w:tcPr>
            <w:tcW w:w="720" w:type="dxa"/>
            <w:tcBorders>
              <w:top w:val="nil"/>
              <w:left w:val="nil"/>
              <w:bottom w:val="nil"/>
              <w:right w:val="nil"/>
            </w:tcBorders>
            <w:noWrap/>
            <w:vAlign w:val="center"/>
          </w:tcPr>
          <w:p>
            <w:pPr>
              <w:widowControl/>
              <w:jc w:val="left"/>
              <w:rPr>
                <w:rFonts w:ascii="宋体" w:hAnsi="宋体" w:cs="宋体"/>
                <w:kern w:val="0"/>
                <w:szCs w:val="28"/>
              </w:rPr>
            </w:pPr>
          </w:p>
        </w:tc>
        <w:tc>
          <w:tcPr>
            <w:tcW w:w="1080" w:type="dxa"/>
            <w:tcBorders>
              <w:top w:val="nil"/>
              <w:left w:val="nil"/>
              <w:bottom w:val="nil"/>
              <w:right w:val="nil"/>
            </w:tcBorders>
            <w:noWrap/>
            <w:vAlign w:val="center"/>
          </w:tcPr>
          <w:p>
            <w:pPr>
              <w:widowControl/>
              <w:jc w:val="left"/>
              <w:rPr>
                <w:rFonts w:ascii="宋体" w:hAnsi="宋体" w:cs="宋体"/>
                <w:kern w:val="0"/>
                <w:szCs w:val="28"/>
              </w:rPr>
            </w:pPr>
          </w:p>
        </w:tc>
        <w:tc>
          <w:tcPr>
            <w:tcW w:w="1860" w:type="dxa"/>
            <w:gridSpan w:val="2"/>
            <w:tcBorders>
              <w:top w:val="nil"/>
              <w:left w:val="nil"/>
              <w:bottom w:val="nil"/>
              <w:right w:val="nil"/>
            </w:tcBorders>
            <w:noWrap/>
            <w:vAlign w:val="center"/>
          </w:tcPr>
          <w:p>
            <w:pPr>
              <w:widowControl/>
              <w:jc w:val="left"/>
              <w:rPr>
                <w:rFonts w:ascii="宋体" w:hAnsi="宋体" w:cs="宋体"/>
                <w:kern w:val="0"/>
                <w:szCs w:val="28"/>
              </w:rPr>
            </w:pPr>
            <w:r>
              <w:rPr>
                <w:rFonts w:hint="eastAsia" w:ascii="宋体" w:hAnsi="宋体" w:cs="宋体"/>
                <w:kern w:val="0"/>
                <w:szCs w:val="28"/>
              </w:rPr>
              <w:t>保安姓名：</w:t>
            </w:r>
          </w:p>
        </w:tc>
        <w:tc>
          <w:tcPr>
            <w:tcW w:w="920" w:type="dxa"/>
            <w:tcBorders>
              <w:top w:val="nil"/>
              <w:left w:val="nil"/>
              <w:bottom w:val="nil"/>
              <w:right w:val="nil"/>
            </w:tcBorders>
            <w:noWrap/>
            <w:vAlign w:val="center"/>
          </w:tcPr>
          <w:p>
            <w:pPr>
              <w:widowControl/>
              <w:jc w:val="left"/>
              <w:rPr>
                <w:rFonts w:ascii="宋体" w:hAnsi="宋体" w:cs="宋体"/>
                <w:kern w:val="0"/>
                <w:szCs w:val="28"/>
              </w:rPr>
            </w:pPr>
          </w:p>
        </w:tc>
        <w:tc>
          <w:tcPr>
            <w:tcW w:w="740" w:type="dxa"/>
            <w:tcBorders>
              <w:top w:val="nil"/>
              <w:left w:val="nil"/>
              <w:bottom w:val="nil"/>
              <w:right w:val="nil"/>
            </w:tcBorders>
            <w:noWrap/>
            <w:vAlign w:val="center"/>
          </w:tcPr>
          <w:p>
            <w:pPr>
              <w:widowControl/>
              <w:jc w:val="left"/>
              <w:rPr>
                <w:rFonts w:ascii="宋体" w:hAnsi="宋体" w:cs="宋体"/>
                <w:kern w:val="0"/>
                <w:szCs w:val="28"/>
              </w:rPr>
            </w:pPr>
          </w:p>
        </w:tc>
        <w:tc>
          <w:tcPr>
            <w:tcW w:w="1420" w:type="dxa"/>
            <w:gridSpan w:val="2"/>
            <w:tcBorders>
              <w:top w:val="nil"/>
              <w:left w:val="nil"/>
              <w:bottom w:val="nil"/>
              <w:right w:val="nil"/>
            </w:tcBorders>
            <w:noWrap/>
            <w:vAlign w:val="center"/>
          </w:tcPr>
          <w:p>
            <w:pPr>
              <w:widowControl/>
              <w:jc w:val="left"/>
              <w:rPr>
                <w:rFonts w:ascii="宋体" w:hAnsi="宋体" w:cs="宋体"/>
                <w:kern w:val="0"/>
                <w:szCs w:val="28"/>
              </w:rPr>
            </w:pPr>
            <w:r>
              <w:rPr>
                <w:rFonts w:hint="eastAsia" w:ascii="宋体" w:hAnsi="宋体" w:cs="宋体"/>
                <w:kern w:val="0"/>
                <w:szCs w:val="28"/>
              </w:rPr>
              <w:t>日期：</w:t>
            </w:r>
          </w:p>
        </w:tc>
        <w:tc>
          <w:tcPr>
            <w:tcW w:w="760" w:type="dxa"/>
            <w:tcBorders>
              <w:top w:val="nil"/>
              <w:left w:val="nil"/>
              <w:bottom w:val="nil"/>
              <w:right w:val="nil"/>
            </w:tcBorders>
            <w:noWrap/>
            <w:vAlign w:val="bottom"/>
          </w:tcPr>
          <w:p>
            <w:pPr>
              <w:widowControl/>
              <w:jc w:val="left"/>
              <w:rPr>
                <w:rFonts w:ascii="宋体" w:hAnsi="宋体" w:cs="宋体"/>
                <w:kern w:val="0"/>
                <w:szCs w:val="28"/>
              </w:rPr>
            </w:pPr>
          </w:p>
        </w:tc>
      </w:tr>
      <w:tr>
        <w:trPr>
          <w:trHeight w:val="360"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日</w:t>
            </w:r>
            <w:r>
              <w:rPr>
                <w:rFonts w:ascii="Times New Roman" w:hAnsi="Times New Roman"/>
                <w:kern w:val="0"/>
                <w:sz w:val="24"/>
                <w:szCs w:val="24"/>
              </w:rPr>
              <w:t xml:space="preserve">   </w:t>
            </w:r>
            <w:r>
              <w:rPr>
                <w:rFonts w:hint="eastAsia" w:ascii="宋体" w:hAnsi="宋体" w:cs="宋体"/>
                <w:kern w:val="0"/>
                <w:sz w:val="24"/>
                <w:szCs w:val="24"/>
              </w:rPr>
              <w:t>期</w:t>
            </w:r>
          </w:p>
        </w:tc>
        <w:tc>
          <w:tcPr>
            <w:tcW w:w="7480" w:type="dxa"/>
            <w:gridSpan w:val="9"/>
            <w:tcBorders>
              <w:top w:val="single" w:color="auto" w:sz="4" w:space="0"/>
              <w:left w:val="nil"/>
              <w:bottom w:val="single" w:color="auto" w:sz="4" w:space="0"/>
              <w:right w:val="single" w:color="auto" w:sz="4" w:space="0"/>
            </w:tcBorders>
            <w:noWrap/>
            <w:vAlign w:val="bottom"/>
          </w:tcPr>
          <w:p>
            <w:pPr>
              <w:widowControl/>
              <w:jc w:val="center"/>
              <w:rPr>
                <w:rFonts w:ascii="宋体" w:hAnsi="宋体" w:cs="宋体"/>
                <w:b/>
                <w:bCs/>
                <w:kern w:val="0"/>
                <w:szCs w:val="28"/>
              </w:rPr>
            </w:pPr>
            <w:r>
              <w:rPr>
                <w:rFonts w:hint="eastAsia" w:ascii="宋体" w:hAnsi="宋体" w:cs="宋体"/>
                <w:b/>
                <w:bCs/>
                <w:kern w:val="0"/>
                <w:szCs w:val="28"/>
              </w:rPr>
              <w:t>违犯规定内容及次数</w:t>
            </w:r>
          </w:p>
        </w:tc>
        <w:tc>
          <w:tcPr>
            <w:tcW w:w="760" w:type="dxa"/>
            <w:tcBorders>
              <w:top w:val="single" w:color="auto" w:sz="4" w:space="0"/>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1014"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szCs w:val="24"/>
              </w:rPr>
            </w:pP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着装</w:t>
            </w:r>
            <w:r>
              <w:rPr>
                <w:rFonts w:ascii="Times New Roman" w:hAnsi="Times New Roman"/>
                <w:kern w:val="0"/>
                <w:sz w:val="22"/>
              </w:rPr>
              <w:t xml:space="preserve">    </w:t>
            </w:r>
            <w:r>
              <w:rPr>
                <w:rFonts w:hint="eastAsia" w:ascii="宋体" w:hAnsi="宋体" w:cs="宋体"/>
                <w:kern w:val="0"/>
                <w:sz w:val="22"/>
              </w:rPr>
              <w:t>不整</w:t>
            </w:r>
          </w:p>
        </w:tc>
        <w:tc>
          <w:tcPr>
            <w:tcW w:w="7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警具</w:t>
            </w:r>
            <w:r>
              <w:rPr>
                <w:rFonts w:ascii="Times New Roman" w:hAnsi="Times New Roman"/>
                <w:kern w:val="0"/>
                <w:sz w:val="22"/>
              </w:rPr>
              <w:t xml:space="preserve">      </w:t>
            </w:r>
            <w:r>
              <w:rPr>
                <w:rFonts w:hint="eastAsia" w:ascii="宋体" w:hAnsi="宋体" w:cs="宋体"/>
                <w:kern w:val="0"/>
                <w:sz w:val="22"/>
              </w:rPr>
              <w:t>乱放</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迟到、早退  脱岗、旷工</w:t>
            </w: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不服从          领 导</w:t>
            </w:r>
          </w:p>
        </w:tc>
        <w:tc>
          <w:tcPr>
            <w:tcW w:w="11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睡觉、看报会客、聊天</w:t>
            </w:r>
          </w:p>
        </w:tc>
        <w:tc>
          <w:tcPr>
            <w:tcW w:w="9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警惕性差松懈怠工</w:t>
            </w: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客户</w:t>
            </w:r>
            <w:r>
              <w:rPr>
                <w:rFonts w:ascii="Times New Roman" w:hAnsi="Times New Roman"/>
                <w:kern w:val="0"/>
                <w:sz w:val="22"/>
              </w:rPr>
              <w:t xml:space="preserve">       </w:t>
            </w:r>
            <w:r>
              <w:rPr>
                <w:rFonts w:hint="eastAsia" w:ascii="宋体" w:hAnsi="宋体" w:cs="宋体"/>
                <w:kern w:val="0"/>
                <w:sz w:val="22"/>
              </w:rPr>
              <w:t>投诉</w:t>
            </w:r>
          </w:p>
        </w:tc>
        <w:tc>
          <w:tcPr>
            <w:tcW w:w="70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与客户发生纠纷</w:t>
            </w:r>
          </w:p>
        </w:tc>
        <w:tc>
          <w:tcPr>
            <w:tcW w:w="7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其   他</w:t>
            </w:r>
          </w:p>
        </w:tc>
        <w:tc>
          <w:tcPr>
            <w:tcW w:w="7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当日合计</w:t>
            </w:r>
          </w:p>
        </w:tc>
      </w:tr>
      <w:tr>
        <w:tblPrEx>
          <w:tblCellMar>
            <w:top w:w="0" w:type="dxa"/>
            <w:left w:w="108" w:type="dxa"/>
            <w:bottom w:w="0" w:type="dxa"/>
            <w:right w:w="108" w:type="dxa"/>
          </w:tblCellMar>
        </w:tblPrEx>
        <w:trPr>
          <w:trHeight w:val="312"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szCs w:val="24"/>
              </w:rPr>
            </w:pP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108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11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9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0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6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1</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2</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3</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4</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5</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6</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31</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600"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总评</w:t>
            </w:r>
          </w:p>
        </w:tc>
        <w:tc>
          <w:tcPr>
            <w:tcW w:w="8240" w:type="dxa"/>
            <w:gridSpan w:val="10"/>
            <w:tcBorders>
              <w:top w:val="single" w:color="auto" w:sz="4" w:space="0"/>
              <w:left w:val="nil"/>
              <w:bottom w:val="single" w:color="auto" w:sz="4" w:space="0"/>
              <w:right w:val="single" w:color="000000"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570" w:hRule="atLeast"/>
        </w:trPr>
        <w:tc>
          <w:tcPr>
            <w:tcW w:w="74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备注</w:t>
            </w:r>
          </w:p>
        </w:tc>
        <w:tc>
          <w:tcPr>
            <w:tcW w:w="8240" w:type="dxa"/>
            <w:gridSpan w:val="10"/>
            <w:tcBorders>
              <w:top w:val="single" w:color="auto" w:sz="4" w:space="0"/>
              <w:left w:val="nil"/>
              <w:bottom w:val="single" w:color="auto" w:sz="4" w:space="0"/>
              <w:right w:val="single" w:color="000000"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违犯规定5次以下为合格；5次（不含）以上10次以下为基本合格；10次（不含）以上为不合格。</w:t>
            </w:r>
          </w:p>
        </w:tc>
      </w:tr>
      <w:tr>
        <w:tblPrEx>
          <w:tblCellMar>
            <w:top w:w="0" w:type="dxa"/>
            <w:left w:w="108" w:type="dxa"/>
            <w:bottom w:w="0" w:type="dxa"/>
            <w:right w:w="108" w:type="dxa"/>
          </w:tblCellMar>
        </w:tblPrEx>
        <w:trPr>
          <w:trHeight w:val="312"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108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9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0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r>
        <w:tblPrEx>
          <w:tblCellMar>
            <w:top w:w="0" w:type="dxa"/>
            <w:left w:w="108" w:type="dxa"/>
            <w:bottom w:w="0" w:type="dxa"/>
            <w:right w:w="108" w:type="dxa"/>
          </w:tblCellMar>
        </w:tblPrEx>
        <w:trPr>
          <w:trHeight w:val="348"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2540" w:type="dxa"/>
            <w:gridSpan w:val="3"/>
            <w:tcBorders>
              <w:top w:val="nil"/>
              <w:left w:val="nil"/>
              <w:bottom w:val="nil"/>
              <w:right w:val="nil"/>
            </w:tcBorders>
            <w:noWrap/>
            <w:vAlign w:val="bottom"/>
          </w:tcPr>
          <w:p>
            <w:pPr>
              <w:widowControl/>
              <w:jc w:val="left"/>
              <w:rPr>
                <w:rFonts w:ascii="宋体" w:hAnsi="宋体" w:cs="宋体"/>
                <w:kern w:val="0"/>
                <w:szCs w:val="28"/>
              </w:rPr>
            </w:pPr>
            <w:r>
              <w:rPr>
                <w:rFonts w:hint="eastAsia" w:ascii="宋体" w:hAnsi="宋体" w:cs="宋体"/>
                <w:kern w:val="0"/>
                <w:szCs w:val="28"/>
              </w:rPr>
              <w:t>网点负责人：</w:t>
            </w: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2360" w:type="dxa"/>
            <w:gridSpan w:val="3"/>
            <w:tcBorders>
              <w:top w:val="nil"/>
              <w:left w:val="nil"/>
              <w:bottom w:val="nil"/>
              <w:right w:val="nil"/>
            </w:tcBorders>
            <w:noWrap/>
            <w:vAlign w:val="bottom"/>
          </w:tcPr>
          <w:p>
            <w:pPr>
              <w:widowControl/>
              <w:jc w:val="left"/>
              <w:rPr>
                <w:rFonts w:ascii="宋体" w:hAnsi="宋体" w:cs="宋体"/>
                <w:kern w:val="0"/>
                <w:szCs w:val="28"/>
              </w:rPr>
            </w:pPr>
            <w:r>
              <w:rPr>
                <w:rFonts w:hint="eastAsia" w:ascii="宋体" w:hAnsi="宋体" w:cs="宋体"/>
                <w:kern w:val="0"/>
                <w:szCs w:val="28"/>
              </w:rPr>
              <w:t>被考评人签字：</w:t>
            </w: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bl>
    <w:p>
      <w:pPr>
        <w:rPr>
          <w:color w:val="FF0000"/>
        </w:rPr>
      </w:pPr>
    </w:p>
    <w:p>
      <w:pPr>
        <w:adjustRightInd w:val="0"/>
        <w:snapToGrid w:val="0"/>
        <w:spacing w:line="560" w:lineRule="exact"/>
        <w:jc w:val="left"/>
        <w:rPr>
          <w:rFonts w:ascii="彩虹黑体" w:hAnsi="彩虹黑体" w:eastAsia="彩虹黑体" w:cs="彩虹黑体"/>
          <w:bCs/>
          <w:snapToGrid w:val="0"/>
          <w:kern w:val="0"/>
          <w:sz w:val="44"/>
          <w:szCs w:val="44"/>
          <w:highlight w:val="yellow"/>
        </w:rPr>
      </w:pPr>
      <w:r>
        <w:rPr>
          <w:rFonts w:hint="eastAsia" w:ascii="彩虹黑体" w:hAnsi="彩虹黑体" w:eastAsia="彩虹黑体" w:cs="彩虹黑体"/>
          <w:sz w:val="44"/>
          <w:szCs w:val="44"/>
          <w:highlight w:val="yellow"/>
        </w:rPr>
        <w:t>漯河</w:t>
      </w:r>
      <w:r>
        <w:rPr>
          <w:rFonts w:hint="eastAsia" w:ascii="彩虹黑体" w:hAnsi="彩虹黑体" w:eastAsia="彩虹黑体" w:cs="彩虹黑体"/>
          <w:sz w:val="44"/>
          <w:szCs w:val="44"/>
          <w:highlight w:val="yellow"/>
          <w:lang w:eastAsia="zh-CN"/>
        </w:rPr>
        <w:t>舞阳支行</w:t>
      </w:r>
      <w:r>
        <w:rPr>
          <w:rFonts w:hint="eastAsia" w:ascii="彩虹黑体" w:hAnsi="彩虹黑体" w:eastAsia="彩虹黑体" w:cs="彩虹黑体"/>
          <w:bCs/>
          <w:snapToGrid w:val="0"/>
          <w:kern w:val="0"/>
          <w:sz w:val="44"/>
          <w:szCs w:val="44"/>
          <w:highlight w:val="yellow"/>
        </w:rPr>
        <w:t>公安110联网报警服务</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一、对候选供应商的要求</w:t>
      </w:r>
    </w:p>
    <w:p>
      <w:pPr>
        <w:spacing w:line="520" w:lineRule="exact"/>
        <w:ind w:firstLine="640" w:firstLineChars="200"/>
        <w:rPr>
          <w:rFonts w:ascii="彩虹粗仿宋" w:eastAsia="彩虹粗仿宋" w:hAnsiTheme="minorHAnsi" w:cstheme="minorBidi"/>
          <w:sz w:val="32"/>
          <w:szCs w:val="32"/>
        </w:rPr>
      </w:pPr>
      <w:r>
        <w:rPr>
          <w:rFonts w:hint="eastAsia" w:ascii="彩虹粗仿宋" w:eastAsia="彩虹粗仿宋" w:hAnsiTheme="minorHAnsi" w:cstheme="minorBidi"/>
          <w:sz w:val="32"/>
          <w:szCs w:val="32"/>
        </w:rPr>
        <w:t>（一）具有独立法人资格，有效的营业执照。</w:t>
      </w:r>
    </w:p>
    <w:p>
      <w:pPr>
        <w:spacing w:line="520" w:lineRule="exact"/>
        <w:ind w:firstLine="640" w:firstLineChars="200"/>
        <w:rPr>
          <w:rFonts w:hint="eastAsia" w:ascii="彩虹粗仿宋" w:eastAsia="彩虹粗仿宋" w:hAnsiTheme="minorHAnsi" w:cstheme="minorBidi"/>
          <w:sz w:val="32"/>
          <w:szCs w:val="32"/>
          <w:lang w:eastAsia="zh-CN"/>
        </w:rPr>
      </w:pPr>
      <w:r>
        <w:rPr>
          <w:rFonts w:hint="eastAsia" w:ascii="彩虹粗仿宋" w:eastAsia="彩虹粗仿宋" w:hAnsiTheme="minorHAnsi" w:cstheme="minorBidi"/>
          <w:sz w:val="32"/>
          <w:szCs w:val="32"/>
        </w:rPr>
        <w:t>（二）正常经营，财务状况良好，提供近三年（202</w:t>
      </w:r>
      <w:r>
        <w:rPr>
          <w:rFonts w:hint="eastAsia" w:ascii="彩虹粗仿宋" w:eastAsia="彩虹粗仿宋" w:cstheme="minorBidi"/>
          <w:sz w:val="32"/>
          <w:szCs w:val="32"/>
          <w:lang w:val="en-US" w:eastAsia="zh-CN"/>
        </w:rPr>
        <w:t>0</w:t>
      </w:r>
      <w:r>
        <w:rPr>
          <w:rFonts w:hint="eastAsia" w:ascii="彩虹粗仿宋" w:eastAsia="彩虹粗仿宋" w:hAnsiTheme="minorHAnsi" w:cstheme="minorBidi"/>
          <w:sz w:val="32"/>
          <w:szCs w:val="32"/>
        </w:rPr>
        <w:t>年-20</w:t>
      </w:r>
      <w:r>
        <w:rPr>
          <w:rFonts w:hint="eastAsia" w:ascii="彩虹粗仿宋" w:eastAsia="彩虹粗仿宋" w:cstheme="minorBidi"/>
          <w:sz w:val="32"/>
          <w:szCs w:val="32"/>
          <w:lang w:val="en-US" w:eastAsia="zh-CN"/>
        </w:rPr>
        <w:t>22</w:t>
      </w:r>
      <w:r>
        <w:rPr>
          <w:rFonts w:hint="eastAsia" w:ascii="彩虹粗仿宋" w:eastAsia="彩虹粗仿宋" w:hAnsiTheme="minorHAnsi" w:cstheme="minorBidi"/>
          <w:sz w:val="32"/>
          <w:szCs w:val="32"/>
        </w:rPr>
        <w:t>年）的经审计的财务报告或财务报表（新成立企业从成立日计算）</w:t>
      </w:r>
      <w:r>
        <w:rPr>
          <w:rFonts w:hint="eastAsia" w:ascii="彩虹粗仿宋" w:eastAsia="彩虹粗仿宋" w:hAnsiTheme="minorHAnsi" w:cstheme="minorBidi"/>
          <w:sz w:val="32"/>
          <w:szCs w:val="32"/>
          <w:lang w:eastAsia="zh-CN"/>
        </w:rPr>
        <w:t>。</w:t>
      </w:r>
    </w:p>
    <w:p>
      <w:pPr>
        <w:spacing w:line="520" w:lineRule="exact"/>
        <w:ind w:firstLine="640" w:firstLineChars="200"/>
        <w:rPr>
          <w:rFonts w:ascii="彩虹粗仿宋" w:eastAsia="彩虹粗仿宋" w:hAnsiTheme="minorHAnsi" w:cstheme="minorBidi"/>
          <w:sz w:val="32"/>
          <w:szCs w:val="32"/>
        </w:rPr>
      </w:pPr>
      <w:r>
        <w:rPr>
          <w:rFonts w:hint="eastAsia" w:ascii="彩虹粗仿宋" w:eastAsia="彩虹粗仿宋" w:hAnsiTheme="minorHAnsi" w:cstheme="minorBidi"/>
          <w:sz w:val="32"/>
          <w:szCs w:val="32"/>
        </w:rPr>
        <w:t>（三）具有固定的办公场所、健全的组织管理机构。</w:t>
      </w:r>
    </w:p>
    <w:p>
      <w:pPr>
        <w:spacing w:line="520" w:lineRule="exact"/>
        <w:ind w:firstLine="640" w:firstLineChars="200"/>
        <w:rPr>
          <w:rStyle w:val="6"/>
        </w:rPr>
      </w:pPr>
      <w:r>
        <w:rPr>
          <w:rFonts w:hint="eastAsia" w:ascii="彩虹粗仿宋" w:eastAsia="彩虹粗仿宋" w:hAnsiTheme="minorHAnsi" w:cstheme="minorBidi"/>
          <w:sz w:val="32"/>
          <w:szCs w:val="32"/>
        </w:rPr>
        <w:t>（四）</w:t>
      </w:r>
      <w:r>
        <w:rPr>
          <w:rStyle w:val="7"/>
          <w:rFonts w:hint="eastAsia" w:ascii="彩虹粗仿宋" w:hAnsi="微软雅黑" w:eastAsia="彩虹粗仿宋"/>
          <w:sz w:val="32"/>
          <w:szCs w:val="32"/>
        </w:rPr>
        <w:t>202</w:t>
      </w:r>
      <w:r>
        <w:rPr>
          <w:rStyle w:val="7"/>
          <w:rFonts w:hint="eastAsia" w:ascii="彩虹粗仿宋" w:hAnsi="微软雅黑" w:eastAsia="彩虹粗仿宋"/>
          <w:sz w:val="32"/>
          <w:szCs w:val="32"/>
          <w:lang w:val="en-US" w:eastAsia="zh-CN"/>
        </w:rPr>
        <w:t>1</w:t>
      </w:r>
      <w:r>
        <w:rPr>
          <w:rStyle w:val="7"/>
          <w:rFonts w:hint="eastAsia" w:ascii="彩虹粗仿宋" w:hAnsi="微软雅黑" w:eastAsia="彩虹粗仿宋"/>
          <w:sz w:val="32"/>
          <w:szCs w:val="32"/>
        </w:rPr>
        <w:t>年1月1日以来</w:t>
      </w:r>
      <w:r>
        <w:rPr>
          <w:rFonts w:hint="eastAsia" w:ascii="彩虹粗仿宋" w:eastAsia="彩虹粗仿宋" w:hAnsiTheme="minorHAnsi" w:cstheme="minorBidi"/>
          <w:sz w:val="32"/>
          <w:szCs w:val="32"/>
        </w:rPr>
        <w:t>具有</w:t>
      </w:r>
      <w:bookmarkStart w:id="2" w:name="_GoBack"/>
      <w:r>
        <w:rPr>
          <w:rFonts w:hint="eastAsia" w:ascii="彩虹粗仿宋" w:eastAsia="彩虹粗仿宋" w:hAnsiTheme="minorHAnsi" w:cstheme="minorBidi"/>
          <w:sz w:val="32"/>
          <w:szCs w:val="32"/>
        </w:rPr>
        <w:t>银行110报警</w:t>
      </w:r>
      <w:bookmarkEnd w:id="2"/>
      <w:r>
        <w:rPr>
          <w:rFonts w:hint="eastAsia" w:ascii="彩虹粗仿宋" w:eastAsia="彩虹粗仿宋" w:hAnsiTheme="minorHAnsi" w:cstheme="minorBidi"/>
          <w:sz w:val="32"/>
          <w:szCs w:val="32"/>
        </w:rPr>
        <w:t>同类项目经验。</w:t>
      </w:r>
    </w:p>
    <w:p>
      <w:pPr>
        <w:adjustRightInd w:val="0"/>
        <w:snapToGrid w:val="0"/>
        <w:spacing w:line="560" w:lineRule="atLeast"/>
        <w:ind w:firstLine="640" w:firstLineChars="200"/>
        <w:rPr>
          <w:rFonts w:hint="eastAsia" w:ascii="彩虹粗仿宋" w:eastAsia="彩虹粗仿宋" w:hAnsiTheme="minorHAnsi" w:cstheme="minorBidi"/>
          <w:sz w:val="32"/>
          <w:lang w:eastAsia="zh-CN"/>
        </w:rPr>
      </w:pPr>
      <w:r>
        <w:rPr>
          <w:rFonts w:hint="eastAsia" w:ascii="彩虹粗仿宋" w:eastAsia="彩虹粗仿宋" w:hAnsiTheme="minorHAnsi" w:cstheme="minorBidi"/>
          <w:sz w:val="32"/>
        </w:rPr>
        <w:t>（</w:t>
      </w:r>
      <w:r>
        <w:rPr>
          <w:rFonts w:hint="eastAsia" w:ascii="彩虹粗仿宋" w:eastAsia="彩虹粗仿宋" w:hAnsiTheme="minorHAnsi" w:cstheme="minorBidi"/>
          <w:sz w:val="32"/>
          <w:lang w:eastAsia="zh-CN"/>
        </w:rPr>
        <w:t>五</w:t>
      </w:r>
      <w:r>
        <w:rPr>
          <w:rFonts w:hint="eastAsia" w:ascii="彩虹粗仿宋" w:eastAsia="彩虹粗仿宋" w:hAnsiTheme="minorHAnsi" w:cstheme="minorBidi"/>
          <w:sz w:val="32"/>
        </w:rPr>
        <w:t>）</w:t>
      </w:r>
      <w:r>
        <w:rPr>
          <w:rFonts w:hint="eastAsia" w:ascii="彩虹粗仿宋" w:eastAsia="彩虹粗仿宋"/>
          <w:sz w:val="32"/>
        </w:rPr>
        <w:t>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r>
        <w:rPr>
          <w:rFonts w:hint="eastAsia" w:ascii="彩虹粗仿宋" w:eastAsia="彩虹粗仿宋"/>
          <w:sz w:val="32"/>
          <w:lang w:eastAsia="zh-CN"/>
        </w:rPr>
        <w:t>。</w:t>
      </w:r>
    </w:p>
    <w:p>
      <w:pPr>
        <w:adjustRightInd w:val="0"/>
        <w:snapToGrid w:val="0"/>
        <w:spacing w:line="560" w:lineRule="exact"/>
        <w:ind w:firstLine="420"/>
        <w:rPr>
          <w:rStyle w:val="7"/>
          <w:rFonts w:ascii="彩虹粗仿宋" w:hAnsi="微软雅黑" w:eastAsia="彩虹粗仿宋"/>
          <w:sz w:val="32"/>
          <w:szCs w:val="32"/>
        </w:rPr>
      </w:pP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adjustRightInd w:val="0"/>
        <w:snapToGrid w:val="0"/>
        <w:spacing w:line="60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（一）商品品类</w:t>
      </w:r>
    </w:p>
    <w:tbl>
      <w:tblPr>
        <w:tblStyle w:val="4"/>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3240"/>
        <w:gridCol w:w="1659"/>
        <w:gridCol w:w="2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品类编码</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品类编码</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3"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安防、值守及巡查服务</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C2109</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监控报警专线服务</w:t>
            </w:r>
          </w:p>
        </w:tc>
      </w:tr>
    </w:tbl>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（二）服务内容</w:t>
      </w:r>
    </w:p>
    <w:p>
      <w:pPr>
        <w:adjustRightInd w:val="0"/>
        <w:snapToGrid w:val="0"/>
        <w:spacing w:line="56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漯河市所辖重点部位（金库）、营业网点、离行式自助银行（自助设备）、办公楼、档案库、计算机房等重点部位联网报警设施、设备及相关配件的安装、更换、调试、维修、巡检及迁移，对联网报警设备进行报警测试、监控、警情处置等服务项目，</w:t>
      </w:r>
      <w:r>
        <w:rPr>
          <w:rFonts w:hint="eastAsia" w:ascii="彩虹粗仿宋" w:hAnsi="彩虹粗仿宋" w:eastAsia="彩虹粗仿宋" w:cs="彩虹粗仿宋"/>
          <w:sz w:val="32"/>
          <w:szCs w:val="32"/>
        </w:rPr>
        <w:t>对报警设备巡检维修维护及时，确保守护目标的安全。</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（一）团队负责人开展110联网报警服务2年以上；</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（二）团队人员经过专业培训，能正常维修设备故障；</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（三）供应商公司服务人员按照我行的要求完成每次的工作任务，遵章守纪，合规履职；</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（四）服务团队为我行服务人员提供营运期间的支持保障及应急工作；</w:t>
      </w:r>
    </w:p>
    <w:p>
      <w:pPr>
        <w:adjustRightInd w:val="0"/>
        <w:snapToGrid w:val="0"/>
        <w:spacing w:line="560" w:lineRule="exact"/>
        <w:ind w:firstLine="640" w:firstLineChars="200"/>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（五）团队人员具备一定的专业技能，能正确处理服务中出现的各种情况并进行有效处置。</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（一）服务质量标准</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1、供应商承诺按照协议约定的服务内容向我行提供合格的服务，接受我行对其工作的指导和监督。</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2、按照我行的服务需求，配备和提供服务人员。不得泄漏因服务而取得的任何我行的业务信息。</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3、供应商负责制定与受托业务相关的内控制度、操作规程、人员考核等办法，并报我行备案；供应商不得将其在协议约定项下任一事项转让或分包给第三方。</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供应商负责与服务人员签订符合《劳动法》的正式合同，负责劳动用工以及涉及劳动关系管理的所有事宜。供应商应承诺服务人员的基本保障性工资不低于所在工作地区最低工资标准，按照国家规定缴纳社会保险等。</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5、供应商应确保与公安局“110”报警服务平台的信息畅通，达到公安部门服务的要求。做好所辖110报警设备日常的故障排查工作，确保技术人员配备，保障设备良好运行。</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（二）风险控制要求</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按照总行《关于防范业务外包用工风险的通知》（建人〔2014〕235号）的文件要求，禁止供应商以我行名义进行用工管理或开展生产经营活动，服务人员应与供应商公司依法订立劳动合同，防范服务类业务用工风险。</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1、日常管理、监督和检查。</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在110报警联网维护服务过程中均涉及服务人员的使用和管理，我行具体负责服务人员的业务培训和规范操作，指导、监督服务人员按章办事，一是110报警服务人员在执勤中，维护我行的设备正常运行，发现问题及时报告处理；二是利用物联网平台系统，监督检查服务的同时，及时接收处理巡护人员的反馈的情况，防范事（案）件的发生。</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（2）按照我行的要求，双方约定每季度召开一次联席会，至少开展一次供应商公司服务检查，并形成检查报告，对检查中发现的问题及时通报服务公司，限期整改和落实，每年度结束后形成年度评估报告。</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2、明确责任，防范风险</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（1）双方按照约定明确双方责任，建立健全安全责任制，完善双方沟通协作机制。提供110报警联网维护服务的</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公司应根据不同工作性质，明确人员岗位职责，规范流程，不断提升服务人员的业务素质和技能，为我行提供更加安全的110报警服务。</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（2）我行负责监督检查</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公司提供服务的数量、质量和应急处置。</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公司通过工作合同、规章对服务人员的行为做出约束，并与服务人员一一签订《保密协议》，防范客户信息泄露的风险，严格防范操作风险、声誉风险及其它风险。</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（三）保密要求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1、服务人员只能掌握了解工作需要的相关信息，不得将我行信息资料以任何方式透露给其他任何机构或个人。</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2、服务人员不得利用工作之便窃取、收买或者非法提供他人申请信息资料进行各种非法活动。</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公司及公司服务人员原因导致我行及客户信息泄漏的，按照双方合同约定追究相关责任。</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公司应严守在履行协议约定中以口头、书面或其他任何方式知悉的我行的商业秘密、技术秘密和其他商业及业务信息，不得泄露。无论协议约定是否无效、变更或终止，本保密条款持续有效。</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（四）应急预案要求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公司应制定相关应急预案，演练预案场景、预案分工、预案演练、预案评估，并明确应急处置流程。</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2、因服务人员原因造成我行及客户信息泄露、客户投诉等风险，</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公司应立即向我行报告，同时启动应急预案，沟通协商解决办法，防止事态扩大。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公司原因（如：服务中断）引起突发事件的，我行应立即启动相应应急预案，妥善处置问题，积极争取恢复生产。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4、造成我行经济损失的，应按照相关法律法规、合同约定进行索赔。造成我行声誉损失的，应要求</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公司积极配合我行采取措施消除影响、恢复声誉。涉嫌违法犯罪的，应及时向公安机关报案。</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5、在处理事（案）件过程中要时刻向我行报告进展情况，待风险解除后，形成书面报告报送我行，我行综合评估后确定是否继续开展此服务事项。</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napToGrid w:val="0"/>
          <w:kern w:val="0"/>
          <w:sz w:val="32"/>
          <w:szCs w:val="32"/>
        </w:rPr>
        <w:t>（五）</w:t>
      </w:r>
      <w:r>
        <w:rPr>
          <w:rFonts w:hint="eastAsia" w:ascii="彩虹粗仿宋" w:hAnsi="彩虹粗仿宋" w:eastAsia="彩虹粗仿宋" w:cs="彩虹粗仿宋"/>
          <w:sz w:val="32"/>
          <w:szCs w:val="32"/>
        </w:rPr>
        <w:t>消保条款要求</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1.个人信息保护条款</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（1）明确双方职责、保密义务及个人信息保护条款措施、个人信息发生泄露的违约责任；约定合作机构的保密义务不因服务的终止而终止；</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（2）合作机构不得在未获得客户同意的前提下将获得的个人信息进一步提供给其他第三方；</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（3）合作机构向个人信息主体征得收集个人信息的明确同意授权；</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（4）在双方合作关系终止时，应确保其不再存储我行相关个人信息。</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2.信息披露条款</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 xml:space="preserve">3.消费者投诉条款 </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（2）对涉及理赔给付的合作机构，应明确其承担的投诉处理义务和责任。</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 xml:space="preserve">4.其他行为监督 </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5.黑名单退出机制</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对有下列情形之一的，应取消准入资格；已经准入的，应予以退出。</w:t>
      </w:r>
    </w:p>
    <w:p>
      <w:pPr>
        <w:spacing w:line="600" w:lineRule="exact"/>
        <w:ind w:left="210" w:leftChars="100"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（1）存在消费者权益侵权行为，引发较大舆情或重大投诉在社会上造成严重不良影响的；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（2）存在消费者权益侵权行为，受到监管处罚，给我行造成严重不良影响的；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（3）存在消费者权益侵权行为，受到公安立案或法院判决，给我行造成严重不良影响的；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（4）违反法律法规和监管机构规定的其他严重情形。</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kern w:val="0"/>
          <w:sz w:val="32"/>
          <w:szCs w:val="32"/>
        </w:rPr>
        <w:t>6.</w:t>
      </w: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争端的解决</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合同协议有效期内若发生争议，应本着友好协商的态度加以妥善解决。协商不成的，向所在地人民法院起诉。诉讼期间，合同不涉及争议的条款，双方仍需继续履行。</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（七）验收方法和标准</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1.每个点报警主机联网率达到100%,探测设备故障能在24小时内解决按“合格”，总体合格档次支付全额服务费用。</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 xml:space="preserve">2.单点报警主机联网率未达到100%,探测设备故障不能在24小时内解决按“不合格”，扣除该点报警服务费。 </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彩虹粗仿宋" w:eastAsia="彩虹粗仿宋" w:cs="彩虹粗仿宋"/>
          <w:snapToGrid w:val="0"/>
          <w:kern w:val="0"/>
          <w:sz w:val="32"/>
          <w:szCs w:val="32"/>
        </w:rPr>
        <w:t>3.每月由我行使用单位按“合格”、“不合格”对全行报警设备进行测评考核，合格档次支付全额服务费用，不合格档次对</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公司进行约谈，按照合同约定扣减相应费用。</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五、服务供应安排</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（一）报警监控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公司按照报警联网设备合同的约定对我行</w:t>
      </w:r>
      <w:r>
        <w:rPr>
          <w:rFonts w:hint="eastAsia" w:ascii="彩虹粗仿宋" w:hAnsi="彩虹粗仿宋" w:eastAsia="彩虹粗仿宋" w:cs="彩虹粗仿宋"/>
          <w:color w:val="000000" w:themeColor="text1"/>
          <w:sz w:val="32"/>
          <w:szCs w:val="32"/>
          <w14:textFill>
            <w14:solidFill>
              <w14:schemeClr w14:val="tx1"/>
            </w14:solidFill>
          </w14:textFill>
        </w:rPr>
        <w:t>辖内报警服务点（含网点、自助、金库、档案库房等）</w:t>
      </w:r>
      <w:r>
        <w:rPr>
          <w:rFonts w:hint="eastAsia" w:ascii="彩虹粗仿宋" w:hAnsi="彩虹粗仿宋" w:eastAsia="彩虹粗仿宋" w:cs="彩虹粗仿宋"/>
          <w:snapToGrid w:val="0"/>
          <w:kern w:val="0"/>
          <w:sz w:val="32"/>
          <w:szCs w:val="32"/>
        </w:rPr>
        <w:t>进行撤布防的监控。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（二）设备巡检</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全年为我行网点的联网报警系统每季度进行1次全面的检修。</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（三）设备日常维修维护</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做好营业场所和办公楼等重点部位110联网线路设备和报警系统的的日常维护。</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（四）人员培训</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每年对我行人员每季度提供1次安保设施设备维护使用培训。</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（五）警情处置</w:t>
      </w:r>
    </w:p>
    <w:p>
      <w:pPr>
        <w:adjustRightInd w:val="0"/>
        <w:snapToGrid w:val="0"/>
        <w:spacing w:line="560" w:lineRule="exact"/>
        <w:ind w:firstLine="640" w:firstLineChars="200"/>
        <w:rPr>
          <w:rFonts w:ascii="彩虹粗仿宋" w:hAnsi="宋体" w:eastAsia="彩虹粗仿宋" w:cs="Times New Roman"/>
          <w:snapToGrid w:val="0"/>
          <w:color w:val="FF0000"/>
          <w:kern w:val="0"/>
          <w:sz w:val="32"/>
          <w:szCs w:val="32"/>
        </w:rPr>
      </w:pPr>
      <w:r>
        <w:rPr>
          <w:rFonts w:hint="eastAsia" w:ascii="彩虹粗仿宋" w:hAnsi="彩虹粗仿宋" w:eastAsia="彩虹粗仿宋" w:cs="彩虹粗仿宋"/>
          <w:snapToGrid w:val="0"/>
          <w:kern w:val="0"/>
          <w:sz w:val="32"/>
          <w:szCs w:val="32"/>
        </w:rPr>
        <w:t>供应商与“110”指挥中心24小时共同接收紧急报警信号，及时通知反馈处理。</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六、服务数量要求</w:t>
      </w:r>
    </w:p>
    <w:tbl>
      <w:tblPr>
        <w:tblStyle w:val="3"/>
        <w:tblW w:w="9920" w:type="dxa"/>
        <w:tblInd w:w="93" w:type="dxa"/>
        <w:tblLayout w:type="autofit"/>
        <w:tblCellMar>
          <w:top w:w="0" w:type="dxa"/>
          <w:left w:w="108" w:type="dxa"/>
          <w:bottom w:w="0" w:type="dxa"/>
          <w:right w:w="108" w:type="dxa"/>
        </w:tblCellMar>
      </w:tblPr>
      <w:tblGrid>
        <w:gridCol w:w="1080"/>
        <w:gridCol w:w="1080"/>
        <w:gridCol w:w="2380"/>
        <w:gridCol w:w="1700"/>
        <w:gridCol w:w="3680"/>
      </w:tblGrid>
      <w:tr>
        <w:tblPrEx>
          <w:tblCellMar>
            <w:top w:w="0" w:type="dxa"/>
            <w:left w:w="108" w:type="dxa"/>
            <w:bottom w:w="0" w:type="dxa"/>
            <w:right w:w="108" w:type="dxa"/>
          </w:tblCellMar>
        </w:tblPrEx>
        <w:trPr>
          <w:trHeight w:val="450" w:hRule="atLeast"/>
        </w:trPr>
        <w:tc>
          <w:tcPr>
            <w:tcW w:w="9920" w:type="dxa"/>
            <w:gridSpan w:val="5"/>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36"/>
                <w:szCs w:val="36"/>
              </w:rPr>
            </w:pPr>
            <w:r>
              <w:rPr>
                <w:rFonts w:hint="eastAsia" w:ascii="宋体" w:hAnsi="宋体" w:eastAsia="宋体" w:cs="宋体"/>
                <w:color w:val="000000"/>
                <w:kern w:val="0"/>
                <w:sz w:val="36"/>
                <w:szCs w:val="36"/>
              </w:rPr>
              <w:t xml:space="preserve">            临颍支行110报警数量</w:t>
            </w:r>
          </w:p>
        </w:tc>
      </w:tr>
      <w:tr>
        <w:tblPrEx>
          <w:tblCellMar>
            <w:top w:w="0" w:type="dxa"/>
            <w:left w:w="108" w:type="dxa"/>
            <w:bottom w:w="0" w:type="dxa"/>
            <w:right w:w="108" w:type="dxa"/>
          </w:tblCellMar>
        </w:tblPrEx>
        <w:trPr>
          <w:trHeight w:val="555" w:hRule="atLeast"/>
        </w:trPr>
        <w:tc>
          <w:tcPr>
            <w:tcW w:w="1080" w:type="dxa"/>
            <w:tcBorders>
              <w:top w:val="single" w:color="auto" w:sz="4" w:space="0"/>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序号</w:t>
            </w:r>
          </w:p>
        </w:tc>
        <w:tc>
          <w:tcPr>
            <w:tcW w:w="1080" w:type="dxa"/>
            <w:tcBorders>
              <w:top w:val="single" w:color="auto" w:sz="4" w:space="0"/>
              <w:left w:val="nil"/>
              <w:bottom w:val="single" w:color="000000" w:sz="8" w:space="0"/>
              <w:right w:val="single" w:color="000000" w:sz="8" w:space="0"/>
            </w:tcBorders>
            <w:shd w:val="clear" w:color="auto" w:fill="auto"/>
            <w:vAlign w:val="center"/>
          </w:tcPr>
          <w:p>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二级（支）行</w:t>
            </w:r>
          </w:p>
        </w:tc>
        <w:tc>
          <w:tcPr>
            <w:tcW w:w="2380" w:type="dxa"/>
            <w:tcBorders>
              <w:top w:val="single" w:color="auto" w:sz="4" w:space="0"/>
              <w:left w:val="nil"/>
              <w:bottom w:val="single" w:color="000000" w:sz="8" w:space="0"/>
              <w:right w:val="single" w:color="000000" w:sz="8" w:space="0"/>
            </w:tcBorders>
            <w:shd w:val="clear" w:color="auto" w:fill="auto"/>
            <w:vAlign w:val="center"/>
          </w:tcPr>
          <w:p>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服务区域</w:t>
            </w:r>
          </w:p>
        </w:tc>
        <w:tc>
          <w:tcPr>
            <w:tcW w:w="1700" w:type="dxa"/>
            <w:tcBorders>
              <w:top w:val="single" w:color="auto" w:sz="4" w:space="0"/>
              <w:left w:val="nil"/>
              <w:bottom w:val="single" w:color="000000" w:sz="8" w:space="0"/>
              <w:right w:val="single" w:color="000000" w:sz="8" w:space="0"/>
            </w:tcBorders>
            <w:shd w:val="clear" w:color="auto" w:fill="auto"/>
            <w:vAlign w:val="center"/>
          </w:tcPr>
          <w:p>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点位数量</w:t>
            </w:r>
          </w:p>
        </w:tc>
        <w:tc>
          <w:tcPr>
            <w:tcW w:w="3680" w:type="dxa"/>
            <w:tcBorders>
              <w:top w:val="single" w:color="auto" w:sz="4" w:space="0"/>
              <w:left w:val="nil"/>
              <w:bottom w:val="single" w:color="000000" w:sz="8" w:space="0"/>
              <w:right w:val="single" w:color="000000" w:sz="8" w:space="0"/>
            </w:tcBorders>
            <w:shd w:val="clear" w:color="auto" w:fill="auto"/>
            <w:vAlign w:val="center"/>
          </w:tcPr>
          <w:p>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备注</w:t>
            </w:r>
          </w:p>
        </w:tc>
      </w:tr>
      <w:tr>
        <w:tblPrEx>
          <w:tblCellMar>
            <w:top w:w="0" w:type="dxa"/>
            <w:left w:w="108" w:type="dxa"/>
            <w:bottom w:w="0" w:type="dxa"/>
            <w:right w:w="108" w:type="dxa"/>
          </w:tblCellMar>
        </w:tblPrEx>
        <w:trPr>
          <w:trHeight w:val="810"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w:t>
            </w:r>
          </w:p>
        </w:tc>
        <w:tc>
          <w:tcPr>
            <w:tcW w:w="1080" w:type="dxa"/>
            <w:tcBorders>
              <w:top w:val="nil"/>
              <w:left w:val="nil"/>
              <w:bottom w:val="single" w:color="000000" w:sz="8" w:space="0"/>
              <w:right w:val="single" w:color="000000" w:sz="8" w:space="0"/>
            </w:tcBorders>
            <w:shd w:val="clear" w:color="auto" w:fill="auto"/>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漯河市</w:t>
            </w:r>
            <w:r>
              <w:rPr>
                <w:rFonts w:hint="eastAsia" w:ascii="宋体" w:hAnsi="宋体" w:eastAsia="宋体" w:cs="宋体"/>
                <w:color w:val="000000"/>
                <w:kern w:val="0"/>
                <w:sz w:val="22"/>
                <w:lang w:eastAsia="zh-CN"/>
              </w:rPr>
              <w:t>舞阳县</w:t>
            </w:r>
          </w:p>
        </w:tc>
        <w:tc>
          <w:tcPr>
            <w:tcW w:w="2380" w:type="dxa"/>
            <w:tcBorders>
              <w:top w:val="nil"/>
              <w:left w:val="nil"/>
              <w:bottom w:val="single" w:color="000000" w:sz="8" w:space="0"/>
              <w:right w:val="single" w:color="000000" w:sz="8" w:space="0"/>
            </w:tcBorders>
            <w:shd w:val="clear" w:color="auto" w:fill="auto"/>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对</w:t>
            </w:r>
            <w:r>
              <w:rPr>
                <w:rFonts w:hint="eastAsia" w:ascii="宋体" w:hAnsi="宋体" w:eastAsia="宋体" w:cs="宋体"/>
                <w:color w:val="000000"/>
                <w:kern w:val="0"/>
                <w:sz w:val="22"/>
                <w:lang w:eastAsia="zh-CN"/>
              </w:rPr>
              <w:t>舞阳</w:t>
            </w:r>
            <w:r>
              <w:rPr>
                <w:rFonts w:hint="eastAsia" w:ascii="宋体" w:hAnsi="宋体" w:eastAsia="宋体" w:cs="宋体"/>
                <w:color w:val="000000"/>
                <w:kern w:val="0"/>
                <w:sz w:val="22"/>
              </w:rPr>
              <w:t>县内辖内网点、自助等报警服务点进行撤布防的监控。</w:t>
            </w:r>
          </w:p>
        </w:tc>
        <w:tc>
          <w:tcPr>
            <w:tcW w:w="1700" w:type="dxa"/>
            <w:tcBorders>
              <w:top w:val="nil"/>
              <w:left w:val="nil"/>
              <w:bottom w:val="single" w:color="000000" w:sz="8" w:space="0"/>
              <w:right w:val="single" w:color="000000" w:sz="8" w:space="0"/>
            </w:tcBorders>
            <w:shd w:val="clear" w:color="auto" w:fill="auto"/>
            <w:vAlign w:val="center"/>
          </w:tcPr>
          <w:p>
            <w:pPr>
              <w:widowControl/>
              <w:jc w:val="center"/>
              <w:rPr>
                <w:rFonts w:hint="eastAsia"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8</w:t>
            </w:r>
          </w:p>
        </w:tc>
        <w:tc>
          <w:tcPr>
            <w:tcW w:w="3680" w:type="dxa"/>
            <w:tcBorders>
              <w:top w:val="nil"/>
              <w:left w:val="nil"/>
              <w:bottom w:val="single" w:color="000000" w:sz="8" w:space="0"/>
              <w:right w:val="single" w:color="000000" w:sz="8" w:space="0"/>
            </w:tcBorders>
            <w:shd w:val="clear" w:color="auto" w:fill="auto"/>
            <w:vAlign w:val="center"/>
          </w:tcPr>
          <w:p>
            <w:pPr>
              <w:widowControl/>
              <w:rPr>
                <w:rFonts w:ascii="宋体" w:hAnsi="宋体" w:eastAsia="宋体" w:cs="宋体"/>
                <w:color w:val="000000"/>
                <w:kern w:val="0"/>
                <w:sz w:val="22"/>
              </w:rPr>
            </w:pPr>
            <w:r>
              <w:rPr>
                <w:rFonts w:hint="eastAsia" w:ascii="宋体" w:hAnsi="宋体" w:eastAsia="宋体" w:cs="宋体"/>
                <w:color w:val="000000"/>
                <w:kern w:val="0"/>
                <w:sz w:val="22"/>
                <w:lang w:eastAsia="zh-CN"/>
              </w:rPr>
              <w:t>舞阳</w:t>
            </w:r>
            <w:r>
              <w:rPr>
                <w:rFonts w:hint="eastAsia" w:ascii="宋体" w:hAnsi="宋体" w:eastAsia="宋体" w:cs="宋体"/>
                <w:color w:val="000000"/>
                <w:kern w:val="0"/>
                <w:sz w:val="22"/>
              </w:rPr>
              <w:t>县2个支行（含自助）、3个离行式自助（设备）</w:t>
            </w:r>
          </w:p>
        </w:tc>
      </w:tr>
    </w:tbl>
    <w:p>
      <w:pPr>
        <w:adjustRightInd w:val="0"/>
        <w:snapToGrid w:val="0"/>
        <w:spacing w:line="560" w:lineRule="exact"/>
        <w:ind w:firstLine="640" w:firstLineChars="200"/>
        <w:rPr>
          <w:rFonts w:ascii="彩虹黑体" w:hAnsi="宋体" w:eastAsia="彩虹黑体" w:cs="Times New Roman"/>
          <w:snapToGrid w:val="0"/>
          <w:kern w:val="0"/>
          <w:sz w:val="32"/>
          <w:szCs w:val="32"/>
        </w:rPr>
      </w:pPr>
    </w:p>
    <w:p>
      <w:pPr>
        <w:adjustRightInd w:val="0"/>
        <w:snapToGrid w:val="0"/>
        <w:spacing w:line="560" w:lineRule="exact"/>
        <w:ind w:firstLine="640" w:firstLineChars="200"/>
        <w:rPr>
          <w:rFonts w:ascii="彩虹黑体" w:hAnsi="宋体" w:eastAsia="彩虹黑体" w:cs="Times New Roman"/>
          <w:snapToGrid w:val="0"/>
          <w:kern w:val="0"/>
          <w:sz w:val="32"/>
          <w:szCs w:val="32"/>
        </w:rPr>
      </w:pP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七、款项支付要求</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按月据实结算费用，供应商在完成我行辖内各重点部位110报警任务完成后，提供符合我行账务处理要求的增值税专用发票，经使用单位确认，无遗留问题，根据服务情况和考核结果，将上月度110报警服务费用转入供应商指定银行账户，如遇增加或减少维护数量,按实际每处单价进行调增或调减。</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八、报价要求</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本次采购项目为漯河市公安110联网报警服务，按照所辖内110报警服务点数量，按“每月每点”报含税单价，超过预算为无效报价。</w:t>
      </w:r>
    </w:p>
    <w:tbl>
      <w:tblPr>
        <w:tblStyle w:val="3"/>
        <w:tblW w:w="5474" w:type="dxa"/>
        <w:tblInd w:w="0" w:type="dxa"/>
        <w:tblLayout w:type="autofit"/>
        <w:tblCellMar>
          <w:top w:w="0" w:type="dxa"/>
          <w:left w:w="0" w:type="dxa"/>
          <w:bottom w:w="0" w:type="dxa"/>
          <w:right w:w="0" w:type="dxa"/>
        </w:tblCellMar>
      </w:tblPr>
      <w:tblGrid>
        <w:gridCol w:w="612"/>
        <w:gridCol w:w="2935"/>
        <w:gridCol w:w="1927"/>
      </w:tblGrid>
      <w:tr>
        <w:tblPrEx>
          <w:tblCellMar>
            <w:top w:w="0" w:type="dxa"/>
            <w:left w:w="0" w:type="dxa"/>
            <w:bottom w:w="0" w:type="dxa"/>
            <w:right w:w="0" w:type="dxa"/>
          </w:tblCellMar>
        </w:tblPrEx>
        <w:trPr>
          <w:trHeight w:val="39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等线" w:hAnsi="等线" w:eastAsia="等线" w:cs="等线"/>
                <w:b/>
                <w:bCs/>
                <w:sz w:val="28"/>
                <w:szCs w:val="28"/>
              </w:rPr>
            </w:pPr>
            <w:r>
              <w:rPr>
                <w:rFonts w:hint="eastAsia" w:ascii="等线" w:hAnsi="等线" w:eastAsia="等线" w:cs="等线"/>
                <w:b/>
                <w:bCs/>
                <w:kern w:val="0"/>
                <w:sz w:val="28"/>
                <w:szCs w:val="28"/>
                <w:lang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b/>
                <w:bCs/>
                <w:sz w:val="28"/>
                <w:szCs w:val="28"/>
              </w:rPr>
            </w:pPr>
            <w:r>
              <w:rPr>
                <w:rFonts w:hint="eastAsia" w:ascii="彩虹粗仿宋" w:hAnsi="彩虹粗仿宋" w:eastAsia="彩虹粗仿宋" w:cs="彩虹粗仿宋"/>
                <w:b/>
                <w:bCs/>
                <w:kern w:val="0"/>
                <w:sz w:val="28"/>
                <w:szCs w:val="28"/>
                <w:lang w:bidi="ar"/>
              </w:rPr>
              <w:t>项目名称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b/>
                <w:bCs/>
                <w:sz w:val="28"/>
                <w:szCs w:val="28"/>
              </w:rPr>
            </w:pPr>
            <w:r>
              <w:rPr>
                <w:rFonts w:hint="eastAsia" w:ascii="彩虹粗仿宋" w:hAnsi="彩虹粗仿宋" w:eastAsia="彩虹粗仿宋" w:cs="彩虹粗仿宋"/>
                <w:b/>
                <w:bCs/>
                <w:kern w:val="0"/>
                <w:sz w:val="28"/>
                <w:szCs w:val="28"/>
                <w:lang w:bidi="ar"/>
              </w:rPr>
              <w:t>单价（月/点）</w:t>
            </w:r>
          </w:p>
        </w:tc>
      </w:tr>
      <w:tr>
        <w:tblPrEx>
          <w:tblCellMar>
            <w:top w:w="0" w:type="dxa"/>
            <w:left w:w="0" w:type="dxa"/>
            <w:bottom w:w="0" w:type="dxa"/>
            <w:right w:w="0" w:type="dxa"/>
          </w:tblCellMar>
        </w:tblPrEx>
        <w:trPr>
          <w:trHeight w:val="39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等线" w:hAnsi="等线" w:eastAsia="等线" w:cs="等线"/>
                <w:sz w:val="24"/>
                <w:szCs w:val="24"/>
              </w:rPr>
            </w:pPr>
            <w:r>
              <w:rPr>
                <w:rFonts w:hint="eastAsia" w:ascii="彩虹粗仿宋" w:hAnsi="彩虹粗仿宋" w:eastAsia="彩虹粗仿宋" w:cs="彩虹粗仿宋"/>
                <w:kern w:val="0"/>
                <w:sz w:val="20"/>
                <w:szCs w:val="20"/>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彩虹粗仿宋" w:hAnsi="彩虹粗仿宋" w:eastAsia="彩虹粗仿宋" w:cs="彩虹粗仿宋"/>
                <w:sz w:val="24"/>
                <w:szCs w:val="24"/>
              </w:rPr>
            </w:pPr>
            <w:r>
              <w:rPr>
                <w:rFonts w:hint="eastAsia" w:ascii="彩虹粗仿宋" w:hAnsi="彩虹粗仿宋" w:eastAsia="彩虹粗仿宋" w:cs="彩虹粗仿宋"/>
                <w:kern w:val="0"/>
                <w:sz w:val="20"/>
                <w:szCs w:val="20"/>
                <w:lang w:bidi="ar"/>
              </w:rPr>
              <w:t>漯河分行舞阳支行110联网报警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sz w:val="24"/>
                <w:szCs w:val="24"/>
              </w:rPr>
            </w:pPr>
            <w:r>
              <w:rPr>
                <w:rFonts w:hint="eastAsia" w:ascii="彩虹粗仿宋" w:hAnsi="彩虹粗仿宋" w:eastAsia="彩虹粗仿宋" w:cs="彩虹粗仿宋"/>
                <w:kern w:val="0"/>
                <w:sz w:val="20"/>
                <w:szCs w:val="20"/>
                <w:lang w:bidi="ar"/>
              </w:rPr>
              <w:t xml:space="preserve">200.00 </w:t>
            </w:r>
          </w:p>
        </w:tc>
      </w:tr>
    </w:tbl>
    <w:p>
      <w:pPr>
        <w:adjustRightInd w:val="0"/>
        <w:snapToGrid w:val="0"/>
        <w:spacing w:line="560" w:lineRule="exact"/>
        <w:ind w:firstLine="633" w:firstLineChars="198"/>
        <w:rPr>
          <w:rFonts w:ascii="彩虹粗仿宋" w:hAnsi="宋体" w:eastAsia="彩虹粗仿宋" w:cs="Times New Roman"/>
          <w:snapToGrid w:val="0"/>
          <w:kern w:val="0"/>
          <w:sz w:val="32"/>
          <w:szCs w:val="32"/>
        </w:rPr>
      </w:pP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九、其他要求</w:t>
      </w:r>
    </w:p>
    <w:p>
      <w:pPr>
        <w:adjustRightInd w:val="0"/>
        <w:snapToGrid w:val="0"/>
        <w:spacing w:line="360" w:lineRule="auto"/>
        <w:ind w:firstLine="640" w:firstLineChars="200"/>
        <w:jc w:val="left"/>
      </w:pPr>
      <w:r>
        <w:rPr>
          <w:rFonts w:hint="eastAsia" w:ascii="彩虹粗仿宋" w:hAnsi="宋体" w:eastAsia="彩虹粗仿宋"/>
          <w:snapToGrid w:val="0"/>
          <w:sz w:val="32"/>
          <w:szCs w:val="32"/>
        </w:rPr>
        <w:t>无。</w:t>
      </w:r>
    </w:p>
    <w:p>
      <w:pPr>
        <w:rPr>
          <w:rFonts w:ascii="彩虹黑体" w:eastAsia="彩虹黑体"/>
          <w:sz w:val="44"/>
          <w:szCs w:val="4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script"/>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彩虹楷体">
    <w:panose1 w:val="03000509000000000000"/>
    <w:charset w:val="86"/>
    <w:family w:val="script"/>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992C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table" w:styleId="4">
    <w:name w:val="Table Grid"/>
    <w:basedOn w:val="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
    <w:name w:val="annotation reference"/>
    <w:basedOn w:val="5"/>
    <w:semiHidden/>
    <w:unhideWhenUsed/>
    <w:qFormat/>
    <w:uiPriority w:val="99"/>
    <w:rPr>
      <w:sz w:val="21"/>
      <w:szCs w:val="21"/>
    </w:rPr>
  </w:style>
  <w:style w:type="character" w:customStyle="1" w:styleId="7">
    <w:name w:val="im-content1"/>
    <w:basedOn w:val="5"/>
    <w:qFormat/>
    <w:uiPriority w:val="0"/>
    <w:rPr>
      <w:color w:val="00000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2024-05-23T01:12:36Z</dcterms:created>
  <dc:creator>haccb</dc:creator>
  <cp:lastModifiedBy>haccb</cp:lastModifiedBy>
  <dcterms:modified xsi:type="dcterms:W3CDTF">2024-05-23T01:16:50Z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0B4948D409D94512A0E9CE27605857F4_12</vt:lpwstr>
  </property>
</Properties>
</file>