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彩虹黑体" w:eastAsia="彩虹黑体"/>
          <w:b w:val="0"/>
          <w:bCs w:val="0"/>
        </w:rPr>
      </w:pPr>
      <w:r>
        <w:rPr>
          <w:rFonts w:hint="eastAsia" w:ascii="彩虹黑体" w:eastAsia="彩虹黑体"/>
          <w:b w:val="0"/>
          <w:bCs w:val="0"/>
        </w:rPr>
        <w:t>中牟支行武装守押和保安服务采购需求</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一、对候选供应商的要求</w:t>
      </w:r>
    </w:p>
    <w:p>
      <w:pPr>
        <w:spacing w:line="56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（一）具有独立法人资格，有效的营业执照，具有</w:t>
      </w:r>
      <w:r>
        <w:rPr>
          <w:rFonts w:ascii="彩虹粗仿宋" w:eastAsia="彩虹粗仿宋"/>
          <w:sz w:val="32"/>
          <w:szCs w:val="32"/>
          <w:highlight w:val="none"/>
        </w:rPr>
        <w:t>经省公安厅批准颁发的</w:t>
      </w:r>
      <w:r>
        <w:rPr>
          <w:rFonts w:hint="eastAsia" w:ascii="彩虹粗仿宋" w:eastAsia="彩虹粗仿宋"/>
          <w:sz w:val="32"/>
          <w:highlight w:val="none"/>
        </w:rPr>
        <w:t>具有武装守护、押运的保安服务许可证</w:t>
      </w:r>
      <w:r>
        <w:rPr>
          <w:rFonts w:ascii="彩虹粗仿宋" w:eastAsia="彩虹粗仿宋"/>
          <w:sz w:val="32"/>
          <w:szCs w:val="32"/>
          <w:highlight w:val="none"/>
        </w:rPr>
        <w:t>。</w:t>
      </w:r>
    </w:p>
    <w:p>
      <w:pPr>
        <w:spacing w:line="56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（二）正常经营，财务状况良好，提供2020年、2021年、2022年经审计的财务报告或财务报表（新成立企业从成立日计算）。</w:t>
      </w:r>
    </w:p>
    <w:p>
      <w:pPr>
        <w:spacing w:line="560" w:lineRule="exact"/>
        <w:ind w:firstLine="640" w:firstLineChars="200"/>
        <w:rPr>
          <w:rFonts w:ascii="彩虹粗仿宋" w:eastAsia="彩虹粗仿宋"/>
          <w:sz w:val="32"/>
          <w:szCs w:val="32"/>
          <w:highlight w:val="none"/>
        </w:rPr>
      </w:pPr>
      <w:r>
        <w:rPr>
          <w:rFonts w:hint="eastAsia" w:ascii="彩虹粗仿宋" w:eastAsia="彩虹粗仿宋"/>
          <w:sz w:val="32"/>
          <w:szCs w:val="32"/>
          <w:highlight w:val="none"/>
        </w:rPr>
        <w:t>（三）2020年1月1日以来具有同类项目经验。</w:t>
      </w:r>
    </w:p>
    <w:p>
      <w:pPr>
        <w:adjustRightInd w:val="0"/>
        <w:snapToGrid w:val="0"/>
        <w:spacing w:line="560" w:lineRule="exact"/>
        <w:ind w:firstLine="640" w:firstLineChars="200"/>
        <w:rPr>
          <w:rFonts w:ascii="彩虹粗仿宋" w:eastAsia="彩虹粗仿宋"/>
          <w:sz w:val="32"/>
          <w:highlight w:val="none"/>
        </w:rPr>
      </w:pPr>
      <w:r>
        <w:rPr>
          <w:rFonts w:hint="eastAsia" w:ascii="彩虹粗仿宋" w:eastAsia="彩虹粗仿宋"/>
          <w:sz w:val="32"/>
          <w:highlight w:val="none"/>
        </w:rPr>
        <w:t>（四）供应商当前未被“信用中国”网站列入重大税收违法失信主体（https://www.creditchina.gov.cn/xinyongfuwu/zhongdashuishouweifaanjian/）；未被“中国执行信息公开网”列入失信被执行人名单（http://zxgk.court.gov.cn/shixin/）；未被“中国政府采购网”列入政府采购严重违法失信行为记录名单（http://www.ccgp.gov.cn/search/cr/）；未被“国家企业信用信息公示系统”网站列入严重违法失信名单（黑名单）http://www.gsxt.gov.cn/index.html）（投标人出具网页截图）；</w:t>
      </w:r>
    </w:p>
    <w:p>
      <w:pPr>
        <w:adjustRightInd w:val="0"/>
        <w:snapToGrid w:val="0"/>
        <w:spacing w:line="560" w:lineRule="exact"/>
        <w:ind w:firstLine="640" w:firstLineChars="200"/>
        <w:rPr>
          <w:rFonts w:ascii="彩虹粗仿宋" w:eastAsia="彩虹粗仿宋"/>
          <w:sz w:val="32"/>
          <w:highlight w:val="none"/>
        </w:rPr>
      </w:pPr>
      <w:r>
        <w:rPr>
          <w:rFonts w:hint="eastAsia" w:ascii="彩虹粗仿宋" w:eastAsia="彩虹粗仿宋"/>
          <w:sz w:val="32"/>
          <w:highlight w:val="none"/>
        </w:rPr>
        <w:t>（五）本项目不允许联合体投标，不允许分包或转包。</w:t>
      </w:r>
    </w:p>
    <w:p>
      <w:pPr>
        <w:spacing w:line="560" w:lineRule="exact"/>
        <w:ind w:firstLine="640" w:firstLineChars="200"/>
        <w:rPr>
          <w:rFonts w:ascii="彩虹粗仿宋" w:eastAsia="彩虹粗仿宋"/>
          <w:sz w:val="32"/>
          <w:szCs w:val="32"/>
          <w:highlight w:val="none"/>
        </w:rPr>
      </w:pPr>
      <w:r>
        <w:rPr>
          <w:rFonts w:hint="eastAsia" w:ascii="彩虹粗仿宋" w:eastAsia="彩虹粗仿宋"/>
          <w:sz w:val="32"/>
          <w:highlight w:val="none"/>
        </w:rPr>
        <w:t>（六）外商独资、中外合资、中外合作的保安公司不得参与（根据保安服务管理条例第二十二条规定）。</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二、服务基本内容</w:t>
      </w:r>
    </w:p>
    <w:p>
      <w:pPr>
        <w:spacing w:line="560" w:lineRule="exact"/>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（一）商品品类</w:t>
      </w:r>
    </w:p>
    <w:tbl>
      <w:tblPr>
        <w:tblStyle w:val="4"/>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7"/>
        <w:gridCol w:w="3118"/>
        <w:gridCol w:w="1418"/>
        <w:gridCol w:w="34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7"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品类编码</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品类</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品类编码</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品类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C1303</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押运服务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C130301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彩虹粗仿宋" w:eastAsia="彩虹粗仿宋" w:cs="彩虹粗仿宋"/>
                <w:kern w:val="0"/>
                <w:sz w:val="28"/>
                <w:szCs w:val="32"/>
                <w:highlight w:val="none"/>
              </w:rPr>
              <w:t>人民币钞币押运服务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jc w:val="center"/>
        </w:trPr>
        <w:tc>
          <w:tcPr>
            <w:tcW w:w="1417"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C21</w:t>
            </w:r>
          </w:p>
        </w:tc>
        <w:tc>
          <w:tcPr>
            <w:tcW w:w="31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安防、值守及巡查服务</w:t>
            </w:r>
          </w:p>
        </w:tc>
        <w:tc>
          <w:tcPr>
            <w:tcW w:w="1418"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宋体" w:eastAsia="彩虹粗仿宋" w:cs="Times New Roman"/>
                <w:snapToGrid w:val="0"/>
                <w:kern w:val="0"/>
                <w:sz w:val="28"/>
                <w:szCs w:val="32"/>
                <w:highlight w:val="none"/>
              </w:rPr>
              <w:t>C2101</w:t>
            </w:r>
          </w:p>
        </w:tc>
        <w:tc>
          <w:tcPr>
            <w:tcW w:w="3485" w:type="dxa"/>
            <w:vAlign w:val="center"/>
          </w:tcPr>
          <w:p>
            <w:pPr>
              <w:adjustRightInd w:val="0"/>
              <w:snapToGrid w:val="0"/>
              <w:spacing w:line="560" w:lineRule="exact"/>
              <w:jc w:val="center"/>
              <w:rPr>
                <w:rFonts w:ascii="彩虹粗仿宋" w:hAnsi="宋体" w:eastAsia="彩虹粗仿宋" w:cs="Times New Roman"/>
                <w:snapToGrid w:val="0"/>
                <w:kern w:val="0"/>
                <w:sz w:val="28"/>
                <w:szCs w:val="32"/>
                <w:highlight w:val="none"/>
              </w:rPr>
            </w:pPr>
            <w:r>
              <w:rPr>
                <w:rFonts w:hint="eastAsia" w:ascii="彩虹粗仿宋" w:hAnsi="彩虹粗仿宋" w:eastAsia="彩虹粗仿宋" w:cs="彩虹粗仿宋"/>
                <w:kern w:val="0"/>
                <w:sz w:val="28"/>
                <w:szCs w:val="32"/>
                <w:highlight w:val="none"/>
              </w:rPr>
              <w:t>武装守护服务（守押）</w:t>
            </w:r>
          </w:p>
        </w:tc>
      </w:tr>
    </w:tbl>
    <w:p>
      <w:pPr>
        <w:adjustRightInd w:val="0"/>
        <w:snapToGrid w:val="0"/>
        <w:spacing w:line="560" w:lineRule="exact"/>
        <w:ind w:left="640"/>
        <w:outlineLvl w:val="1"/>
        <w:rPr>
          <w:rFonts w:ascii="彩虹粗仿宋" w:hAnsi="微软雅黑" w:eastAsia="彩虹粗仿宋" w:cs="宋体"/>
          <w:kern w:val="0"/>
          <w:sz w:val="32"/>
          <w:szCs w:val="32"/>
          <w:highlight w:val="none"/>
        </w:rPr>
      </w:pPr>
      <w:r>
        <w:rPr>
          <w:rFonts w:hint="eastAsia" w:ascii="彩虹粗仿宋" w:hAnsi="微软雅黑" w:eastAsia="彩虹粗仿宋" w:cs="宋体"/>
          <w:kern w:val="0"/>
          <w:sz w:val="32"/>
          <w:szCs w:val="32"/>
          <w:highlight w:val="none"/>
        </w:rPr>
        <w:t>（二）服务内容</w:t>
      </w:r>
    </w:p>
    <w:p>
      <w:pPr>
        <w:adjustRightInd w:val="0"/>
        <w:snapToGrid w:val="0"/>
        <w:spacing w:line="560" w:lineRule="exact"/>
        <w:ind w:firstLine="480" w:firstLineChars="150"/>
        <w:outlineLvl w:val="2"/>
        <w:rPr>
          <w:rFonts w:ascii="彩虹楷体" w:hAnsi="黑体" w:eastAsia="彩虹楷体" w:cs="Times New Roman"/>
          <w:sz w:val="32"/>
          <w:szCs w:val="32"/>
          <w:highlight w:val="none"/>
        </w:rPr>
      </w:pPr>
      <w:r>
        <w:rPr>
          <w:rFonts w:hint="eastAsia" w:ascii="彩虹楷体" w:hAnsi="黑体" w:eastAsia="彩虹楷体" w:cs="Times New Roman"/>
          <w:sz w:val="32"/>
          <w:szCs w:val="32"/>
          <w:highlight w:val="none"/>
        </w:rPr>
        <w:t>1.安保值守服务</w:t>
      </w:r>
    </w:p>
    <w:p>
      <w:pPr>
        <w:autoSpaceDE w:val="0"/>
        <w:autoSpaceDN w:val="0"/>
        <w:adjustRightInd w:val="0"/>
        <w:snapToGrid w:val="0"/>
        <w:spacing w:line="560" w:lineRule="exact"/>
        <w:ind w:firstLine="640" w:firstLineChars="200"/>
        <w:rPr>
          <w:rFonts w:ascii="Times New Roman" w:hAnsi="Calibri" w:eastAsia="彩虹粗仿宋" w:cs="宋体"/>
          <w:kern w:val="0"/>
          <w:sz w:val="32"/>
          <w:szCs w:val="32"/>
          <w:highlight w:val="none"/>
        </w:rPr>
      </w:pPr>
      <w:r>
        <w:rPr>
          <w:rFonts w:hint="eastAsia" w:ascii="Times New Roman" w:hAnsi="Calibri" w:eastAsia="彩虹粗仿宋" w:cs="宋体"/>
          <w:kern w:val="0"/>
          <w:sz w:val="32"/>
          <w:szCs w:val="32"/>
          <w:highlight w:val="none"/>
        </w:rPr>
        <w:t>本次安保值守服务内容是中牟支行本部和所辖营业部等4个营业网点的安保服务。</w:t>
      </w:r>
    </w:p>
    <w:p>
      <w:pPr>
        <w:autoSpaceDE w:val="0"/>
        <w:autoSpaceDN w:val="0"/>
        <w:adjustRightInd w:val="0"/>
        <w:snapToGrid w:val="0"/>
        <w:spacing w:line="560" w:lineRule="exact"/>
        <w:ind w:firstLine="480" w:firstLineChars="150"/>
        <w:outlineLvl w:val="2"/>
        <w:rPr>
          <w:rFonts w:ascii="彩虹楷体" w:hAnsi="黑体" w:eastAsia="彩虹楷体" w:cs="Courier New"/>
          <w:sz w:val="32"/>
          <w:szCs w:val="32"/>
          <w:highlight w:val="none"/>
        </w:rPr>
      </w:pPr>
      <w:r>
        <w:rPr>
          <w:rFonts w:hint="eastAsia" w:ascii="彩虹粗仿宋" w:hAnsi="Times New Roman" w:eastAsia="彩虹粗仿宋" w:cs="Times New Roman"/>
          <w:sz w:val="32"/>
          <w:szCs w:val="32"/>
          <w:highlight w:val="none"/>
        </w:rPr>
        <w:t>2.武装守押</w:t>
      </w:r>
      <w:r>
        <w:rPr>
          <w:rFonts w:hint="eastAsia" w:ascii="彩虹楷体" w:hAnsi="黑体" w:eastAsia="彩虹楷体" w:cs="Courier New"/>
          <w:sz w:val="32"/>
          <w:szCs w:val="32"/>
          <w:highlight w:val="none"/>
        </w:rPr>
        <w:t>服务</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微软雅黑" w:eastAsia="彩虹粗仿宋" w:cs="宋体"/>
          <w:kern w:val="0"/>
          <w:sz w:val="32"/>
          <w:szCs w:val="32"/>
          <w:highlight w:val="none"/>
        </w:rPr>
        <w:t>本次集中采购项目为中牟支行现有5个营业网点（含附行自助）、6个离行式自助（设备）银行的武装押运服务</w:t>
      </w:r>
      <w:r>
        <w:rPr>
          <w:rFonts w:hint="eastAsia" w:ascii="彩虹粗仿宋" w:hAnsi="Calibri" w:eastAsia="彩虹粗仿宋" w:cs="宋体"/>
          <w:kern w:val="0"/>
          <w:sz w:val="32"/>
          <w:szCs w:val="32"/>
          <w:highlight w:val="none"/>
        </w:rPr>
        <w:t>。</w:t>
      </w:r>
    </w:p>
    <w:p>
      <w:pPr>
        <w:autoSpaceDE w:val="0"/>
        <w:autoSpaceDN w:val="0"/>
        <w:adjustRightInd w:val="0"/>
        <w:snapToGrid w:val="0"/>
        <w:spacing w:line="560" w:lineRule="exact"/>
        <w:ind w:firstLine="480" w:firstLineChars="150"/>
        <w:rPr>
          <w:rFonts w:ascii="彩虹粗仿宋" w:hAnsi="黑体" w:eastAsia="彩虹粗仿宋" w:cs="Times New Roman"/>
          <w:sz w:val="32"/>
          <w:szCs w:val="32"/>
          <w:highlight w:val="none"/>
        </w:rPr>
      </w:pPr>
      <w:r>
        <w:rPr>
          <w:rFonts w:hint="eastAsia" w:ascii="彩虹粗仿宋" w:hAnsi="宋体" w:eastAsia="彩虹粗仿宋" w:cs="Courier New"/>
          <w:sz w:val="32"/>
          <w:szCs w:val="32"/>
          <w:highlight w:val="none"/>
        </w:rPr>
        <w:t>注：业务点（是指营业场所、自助设备、上门服务点）的早、晚营业尾款箱（包）接送；业务点营业期间提缴现金；业务点配送外币、实物黄金;离行式自助（设备）银行收、送现金;我行客户上门收、送现金；去往建行郑州金水支行提取或缴存现金；到省分行领取重要空白凭证和向业务点配送重要空白凭证;业务点之间的票据、紧急公文等重要物品传递或者</w:t>
      </w:r>
      <w:r>
        <w:rPr>
          <w:rFonts w:hint="eastAsia" w:ascii="彩虹粗仿宋" w:hAnsi="微软雅黑" w:eastAsia="彩虹粗仿宋" w:cs="宋体"/>
          <w:kern w:val="0"/>
          <w:sz w:val="32"/>
          <w:szCs w:val="32"/>
          <w:highlight w:val="none"/>
        </w:rPr>
        <w:t>因业务需要产生的临时押运事项等</w:t>
      </w:r>
      <w:r>
        <w:rPr>
          <w:rFonts w:hint="eastAsia" w:ascii="彩虹粗仿宋" w:hAnsi="宋体" w:eastAsia="彩虹粗仿宋" w:cs="Courier New"/>
          <w:sz w:val="32"/>
          <w:szCs w:val="32"/>
          <w:highlight w:val="none"/>
        </w:rPr>
        <w:t>提供武装押运服务。</w:t>
      </w:r>
    </w:p>
    <w:p>
      <w:pPr>
        <w:adjustRightInd w:val="0"/>
        <w:snapToGrid w:val="0"/>
        <w:spacing w:line="560" w:lineRule="exact"/>
        <w:ind w:firstLine="640" w:firstLineChars="20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三、服务团队要求</w:t>
      </w:r>
    </w:p>
    <w:p>
      <w:pPr>
        <w:adjustRightInd w:val="0"/>
        <w:snapToGrid w:val="0"/>
        <w:spacing w:line="560" w:lineRule="exact"/>
        <w:ind w:firstLine="480" w:firstLineChars="150"/>
        <w:rPr>
          <w:rFonts w:ascii="彩虹粗仿宋" w:hAnsi="微软雅黑" w:eastAsia="彩虹粗仿宋" w:cs="宋体"/>
          <w:kern w:val="0"/>
          <w:sz w:val="32"/>
          <w:szCs w:val="32"/>
          <w:highlight w:val="none"/>
        </w:rPr>
      </w:pPr>
      <w:r>
        <w:rPr>
          <w:rFonts w:hint="eastAsia" w:ascii="彩虹粗仿宋" w:hAnsi="微软雅黑" w:eastAsia="彩虹粗仿宋" w:cs="宋体"/>
          <w:kern w:val="0"/>
          <w:sz w:val="32"/>
          <w:szCs w:val="32"/>
          <w:highlight w:val="none"/>
        </w:rPr>
        <w:t>（一）人员政治上可靠，遵守国家法律、法规，无不良行为记录、身体健康、着统一服装，，年龄在55周岁以下符合《保安服务管理条例》的要求，由省公安厅批准许可的武装押运服务资质，开展武装押运服务5年以上。</w:t>
      </w:r>
    </w:p>
    <w:p>
      <w:pPr>
        <w:adjustRightInd w:val="0"/>
        <w:snapToGrid w:val="0"/>
        <w:spacing w:line="560" w:lineRule="exact"/>
        <w:ind w:firstLine="480" w:firstLineChars="150"/>
        <w:rPr>
          <w:rFonts w:ascii="彩虹粗仿宋" w:hAnsi="微软雅黑" w:eastAsia="彩虹粗仿宋" w:cs="宋体"/>
          <w:kern w:val="0"/>
          <w:sz w:val="32"/>
          <w:szCs w:val="32"/>
          <w:highlight w:val="none"/>
        </w:rPr>
      </w:pPr>
      <w:r>
        <w:rPr>
          <w:rFonts w:hint="eastAsia" w:ascii="彩虹粗仿宋" w:hAnsi="微软雅黑" w:eastAsia="彩虹粗仿宋" w:cs="宋体"/>
          <w:kern w:val="0"/>
          <w:sz w:val="32"/>
          <w:szCs w:val="32"/>
          <w:highlight w:val="none"/>
        </w:rPr>
        <w:t>（二）具备一定的专业技能，能正确处理服务中出现的各种情况并进行有效处置，能够按照我行的要求完成每次的任务，遵章守纪，合规履职。</w:t>
      </w:r>
    </w:p>
    <w:p>
      <w:pPr>
        <w:adjustRightInd w:val="0"/>
        <w:snapToGrid w:val="0"/>
        <w:spacing w:line="560" w:lineRule="exact"/>
        <w:ind w:firstLine="480" w:firstLineChars="150"/>
        <w:rPr>
          <w:rFonts w:ascii="彩虹粗仿宋" w:hAnsi="微软雅黑" w:eastAsia="彩虹粗仿宋" w:cs="宋体"/>
          <w:kern w:val="0"/>
          <w:sz w:val="32"/>
          <w:szCs w:val="32"/>
          <w:highlight w:val="none"/>
        </w:rPr>
      </w:pPr>
      <w:r>
        <w:rPr>
          <w:rFonts w:hint="eastAsia" w:ascii="彩虹粗仿宋" w:hAnsi="微软雅黑" w:eastAsia="彩虹粗仿宋" w:cs="宋体"/>
          <w:kern w:val="0"/>
          <w:sz w:val="32"/>
          <w:szCs w:val="32"/>
          <w:highlight w:val="none"/>
        </w:rPr>
        <w:t>（三）所派人员须按国家规定持证上岗，必须认真执行国家有关规定及要求。如由于所派人员违反规定，造成财产损失和人员伤亡的，外包服务公司负全部责任。</w:t>
      </w:r>
    </w:p>
    <w:p>
      <w:pPr>
        <w:adjustRightInd w:val="0"/>
        <w:snapToGrid w:val="0"/>
        <w:spacing w:line="560" w:lineRule="exact"/>
        <w:ind w:firstLine="480" w:firstLineChars="150"/>
        <w:rPr>
          <w:rFonts w:ascii="彩虹粗仿宋" w:hAnsi="微软雅黑" w:eastAsia="彩虹粗仿宋" w:cs="宋体"/>
          <w:kern w:val="0"/>
          <w:sz w:val="32"/>
          <w:szCs w:val="32"/>
          <w:highlight w:val="none"/>
        </w:rPr>
      </w:pPr>
      <w:r>
        <w:rPr>
          <w:rFonts w:hint="eastAsia" w:ascii="彩虹粗仿宋" w:hAnsi="微软雅黑" w:eastAsia="彩虹粗仿宋" w:cs="宋体"/>
          <w:kern w:val="0"/>
          <w:sz w:val="32"/>
          <w:szCs w:val="32"/>
          <w:highlight w:val="none"/>
        </w:rPr>
        <w:t>（四）守押公司承诺为我行车组人员提供营运期间的支持保障及应急工作，押运公司每台制式押运车组，每车组不低于5人（含2名押运人员、2名款箱员和1名司机）（不含守押公司驻行联系人）；外包服务人员经过专业培训，符合武装守护要求，持证上岗。</w:t>
      </w:r>
    </w:p>
    <w:p>
      <w:pPr>
        <w:adjustRightInd w:val="0"/>
        <w:snapToGrid w:val="0"/>
        <w:spacing w:line="560" w:lineRule="exact"/>
        <w:ind w:firstLine="480" w:firstLineChars="150"/>
        <w:outlineLvl w:val="0"/>
        <w:rPr>
          <w:rFonts w:ascii="彩虹黑体" w:hAnsi="宋体" w:eastAsia="彩虹黑体" w:cs="Times New Roman"/>
          <w:snapToGrid w:val="0"/>
          <w:kern w:val="0"/>
          <w:sz w:val="32"/>
          <w:szCs w:val="32"/>
          <w:highlight w:val="none"/>
        </w:rPr>
      </w:pPr>
      <w:r>
        <w:rPr>
          <w:rFonts w:hint="eastAsia" w:ascii="彩虹黑体" w:hAnsi="宋体" w:eastAsia="彩虹黑体" w:cs="Times New Roman"/>
          <w:snapToGrid w:val="0"/>
          <w:kern w:val="0"/>
          <w:sz w:val="32"/>
          <w:szCs w:val="32"/>
          <w:highlight w:val="none"/>
        </w:rPr>
        <w:t>四、服务质量要求</w:t>
      </w:r>
    </w:p>
    <w:p>
      <w:pPr>
        <w:adjustRightInd w:val="0"/>
        <w:snapToGrid w:val="0"/>
        <w:spacing w:line="560" w:lineRule="exact"/>
        <w:ind w:firstLine="643" w:firstLineChars="200"/>
        <w:outlineLvl w:val="1"/>
        <w:rPr>
          <w:rFonts w:ascii="彩虹楷体" w:eastAsia="彩虹楷体"/>
          <w:b/>
          <w:sz w:val="32"/>
          <w:szCs w:val="32"/>
          <w:highlight w:val="none"/>
        </w:rPr>
      </w:pPr>
      <w:r>
        <w:rPr>
          <w:rFonts w:hint="eastAsia" w:ascii="彩虹楷体" w:eastAsia="彩虹楷体"/>
          <w:b/>
          <w:sz w:val="32"/>
          <w:szCs w:val="32"/>
          <w:highlight w:val="none"/>
        </w:rPr>
        <w:t>（一）服务质量标准</w:t>
      </w:r>
    </w:p>
    <w:p>
      <w:pPr>
        <w:adjustRightInd w:val="0"/>
        <w:snapToGrid w:val="0"/>
        <w:spacing w:line="560" w:lineRule="exact"/>
        <w:ind w:firstLine="643" w:firstLineChars="200"/>
        <w:outlineLvl w:val="2"/>
        <w:rPr>
          <w:rFonts w:ascii="彩虹楷体" w:hAnsi="宋体" w:eastAsia="彩虹楷体" w:cs="Courier New"/>
          <w:b/>
          <w:color w:val="000000"/>
          <w:sz w:val="32"/>
          <w:szCs w:val="32"/>
          <w:highlight w:val="none"/>
        </w:rPr>
      </w:pPr>
      <w:r>
        <w:rPr>
          <w:rFonts w:hint="eastAsia" w:ascii="彩虹楷体" w:eastAsia="彩虹楷体"/>
          <w:b/>
          <w:sz w:val="32"/>
          <w:szCs w:val="32"/>
          <w:highlight w:val="none"/>
        </w:rPr>
        <w:t>1.武装押运服务</w:t>
      </w:r>
    </w:p>
    <w:p>
      <w:pPr>
        <w:adjustRightInd w:val="0"/>
        <w:snapToGrid w:val="0"/>
        <w:spacing w:line="560" w:lineRule="exact"/>
        <w:ind w:firstLine="640" w:firstLineChars="2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（1）供应商承诺提供合格的服务，接受我行对其工作的指导和监督。</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（2）供应商配备必要的制式押运车辆、枪械和钞币运送人员。</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（3）供应商负责与服务人员签订符合《劳动法》的正式合同，负责劳动用工以及涉及劳动关系管理的所有事宜。并承诺基本保障性工资不低于所在工作地区最低工资标准，按照国家规定缴纳社会保险等。</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（4）供应商负责制定与受托业务相关的内控制度、操作规程、人员考核等办法，并报我行备案；未经我行书面同意，外包公司不得将其在协议约定项下全部或部分权利义务转让或分包给任意第三方。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（5）供应商派驻的服务人员应经过培训，并取得上岗资格证。</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（6）供应商派驻的服务人员未经允许，不得进入我方营业柜台等场所，不得以任何手段窃取、泄漏我方商业机密，不得干涉我方的正常经营。</w:t>
      </w:r>
    </w:p>
    <w:p>
      <w:pPr>
        <w:adjustRightInd w:val="0"/>
        <w:snapToGrid w:val="0"/>
        <w:spacing w:line="560" w:lineRule="exact"/>
        <w:ind w:firstLine="60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（7）专用运钞车内应按规定安装报警、电视监控、通讯器材、配备必要消防器材。</w:t>
      </w:r>
    </w:p>
    <w:p>
      <w:pPr>
        <w:adjustRightInd w:val="0"/>
        <w:snapToGrid w:val="0"/>
        <w:spacing w:line="560" w:lineRule="exact"/>
        <w:ind w:firstLine="600"/>
        <w:rPr>
          <w:rFonts w:ascii="彩虹粗仿宋" w:hAnsi="宋体" w:eastAsia="彩虹粗仿宋" w:cs="Times New Roman"/>
          <w:snapToGrid w:val="0"/>
          <w:kern w:val="0"/>
          <w:sz w:val="32"/>
          <w:szCs w:val="32"/>
          <w:highlight w:val="none"/>
        </w:rPr>
      </w:pPr>
      <w:r>
        <w:rPr>
          <w:rFonts w:hint="eastAsia" w:ascii="彩虹粗仿宋" w:hAnsi="宋体" w:eastAsia="彩虹粗仿宋" w:cs="Courier New"/>
          <w:sz w:val="32"/>
          <w:szCs w:val="32"/>
          <w:highlight w:val="none"/>
        </w:rPr>
        <w:t>（8）</w:t>
      </w:r>
      <w:r>
        <w:rPr>
          <w:rFonts w:hint="eastAsia" w:ascii="彩虹粗仿宋" w:hAnsi="宋体" w:eastAsia="彩虹粗仿宋" w:cs="Times New Roman"/>
          <w:snapToGrid w:val="0"/>
          <w:kern w:val="0"/>
          <w:sz w:val="32"/>
          <w:szCs w:val="32"/>
          <w:highlight w:val="none"/>
        </w:rPr>
        <w:t>运钞车应按时停靠在我行指定的地点，保证随叫随到，准时、安全地将押运物送达我行要求的地点。出入我行营业场所的押运物在该营业场所现金业务区联动互锁门以内的视频监控下进行交接，守护人员按规定着装。</w:t>
      </w:r>
    </w:p>
    <w:p>
      <w:pPr>
        <w:adjustRightInd w:val="0"/>
        <w:snapToGrid w:val="0"/>
        <w:spacing w:line="560" w:lineRule="exact"/>
        <w:ind w:firstLine="600"/>
        <w:outlineLvl w:val="2"/>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2.保安值守服务</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（1）供应商承诺按照协议约定的服务内容向我行提供合格的服务，接受我行对其工作的指导和监督。</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（2）严格按照我行的服务需求，配备和提供外包人员。不得泄漏任何我行的业务信息。</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（3）供应商负责制定与受托业务相关的内控制度、操作规程、人员考核等办法，并报我行备案；未经我行书面同意，不得将其在协议约定项下任一事项转让或分包给第三方。</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4）供应商负责与保安人员签订符合《劳动法》的正式合同，负责劳动用工以及涉及劳动关系管理的所有事宜。供应商应承诺外包人员的基本保障性工资不低于所在工作地区最低工资标准，按照国家规定缴纳社会保险等。</w:t>
      </w:r>
    </w:p>
    <w:p>
      <w:pPr>
        <w:spacing w:line="600" w:lineRule="exact"/>
        <w:ind w:firstLine="640" w:firstLineChars="200"/>
        <w:rPr>
          <w:rFonts w:ascii="彩虹黑体" w:hAnsi="Times New Roman" w:eastAsia="彩虹黑体" w:cs="Times New Roman"/>
          <w:sz w:val="32"/>
          <w:szCs w:val="32"/>
          <w:highlight w:val="none"/>
        </w:rPr>
      </w:pPr>
      <w:r>
        <w:rPr>
          <w:rFonts w:hint="eastAsia" w:ascii="彩虹粗仿宋" w:hAnsi="Times New Roman" w:eastAsia="彩虹粗仿宋" w:cs="Times New Roman"/>
          <w:sz w:val="32"/>
          <w:szCs w:val="32"/>
          <w:highlight w:val="none"/>
        </w:rPr>
        <w:t>（5）供应商应对派驻我行的人员进行业务知识培训，并达到国家承认的上岗资格，做到持证上岗。</w:t>
      </w:r>
      <w:r>
        <w:rPr>
          <w:rFonts w:hint="eastAsia" w:ascii="彩虹粗仿宋" w:eastAsia="彩虹粗仿宋"/>
          <w:sz w:val="32"/>
          <w:szCs w:val="32"/>
          <w:highlight w:val="none"/>
        </w:rPr>
        <w:t>派往我行的人员非必要，不得进入我行营业柜台等场所，不得从事本岗位工作职责以外的工作。执勤期间，按照合同约定着装持械上岗。</w:t>
      </w:r>
      <w:r>
        <w:rPr>
          <w:rFonts w:hint="eastAsia" w:ascii="彩虹粗仿宋" w:hAnsi="Times New Roman" w:eastAsia="彩虹粗仿宋" w:cs="Times New Roman"/>
          <w:sz w:val="32"/>
          <w:szCs w:val="32"/>
          <w:highlight w:val="none"/>
        </w:rPr>
        <w:t>定期进行应急预案演练。</w:t>
      </w:r>
    </w:p>
    <w:p>
      <w:pPr>
        <w:tabs>
          <w:tab w:val="left" w:pos="720"/>
        </w:tabs>
        <w:adjustRightInd w:val="0"/>
        <w:snapToGrid w:val="0"/>
        <w:spacing w:line="560" w:lineRule="atLeas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（6）供应商按照服务内容开展巡查工作，并加强巡查人员的管理，对巡查人员必须进行岗前培训。巡查过程中发现可疑情况必须立即处置上报。</w:t>
      </w:r>
    </w:p>
    <w:p>
      <w:pPr>
        <w:tabs>
          <w:tab w:val="left" w:pos="720"/>
        </w:tabs>
        <w:adjustRightInd w:val="0"/>
        <w:snapToGrid w:val="0"/>
        <w:spacing w:line="560" w:lineRule="atLeast"/>
        <w:ind w:firstLine="627" w:firstLineChars="196"/>
        <w:rPr>
          <w:rFonts w:ascii="彩虹粗仿宋" w:hAnsi="华文楷体" w:eastAsia="彩虹粗仿宋"/>
          <w:sz w:val="32"/>
          <w:szCs w:val="32"/>
          <w:highlight w:val="none"/>
        </w:rPr>
      </w:pPr>
      <w:r>
        <w:rPr>
          <w:rFonts w:hint="eastAsia" w:ascii="彩虹粗仿宋" w:hAnsi="Times New Roman" w:eastAsia="彩虹粗仿宋" w:cs="Times New Roman"/>
          <w:sz w:val="32"/>
          <w:szCs w:val="32"/>
          <w:highlight w:val="none"/>
        </w:rPr>
        <w:t>（7）</w:t>
      </w:r>
      <w:r>
        <w:rPr>
          <w:rFonts w:hint="eastAsia" w:ascii="彩虹粗仿宋" w:hAnsi="华文楷体" w:eastAsia="彩虹粗仿宋"/>
          <w:sz w:val="32"/>
          <w:szCs w:val="32"/>
          <w:highlight w:val="none"/>
        </w:rPr>
        <w:t>供应商履行的职责</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按时保质保量完服务内容，配合我行完成阶段性和临时性任务，配合完成其他与外包事项有关的合理性工作，如各类安全检查、突发事件处置等。</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1）服务人员如在为我行提供服务过程中发生一切人身意外伤害或造成我行及客户的人身、财产损失，均由供应商负全责。</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2）供应商制定符合我行要求的规章制度、工作纪律、要求，以及相关客户服务制度，并要求外包服务人员严格执行，避免因不规范服务或过度服务引发风险。</w:t>
      </w:r>
    </w:p>
    <w:p>
      <w:pPr>
        <w:tabs>
          <w:tab w:val="left" w:pos="720"/>
        </w:tabs>
        <w:adjustRightInd w:val="0"/>
        <w:snapToGrid w:val="0"/>
        <w:spacing w:line="560" w:lineRule="atLeast"/>
        <w:ind w:left="-178" w:leftChars="-85" w:firstLine="800" w:firstLineChars="25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（8） 职业道德要求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1）恪守职业道德，自觉维护我行利益。</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2）在工作中必须维护我行形象，规范服务用语、尊重客户、不得与客户发生争吵或冲突；造成客户投诉，应第一时间向服务机构负责人汇报情况，不得推诿隐瞒，不得引起客户投诉的升级。</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3）主动与我行员工相互协作、相互支持、相互配合，营造融洽的合作氛围。</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（9）仪容仪表要求</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1）发型大方，保持头发整洁，不得留怪异发型和染异色，工作时间不得佩戴墨镜。</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2）男性不得蓄长发、留胡须、佩戴项链。</w:t>
      </w:r>
    </w:p>
    <w:p>
      <w:pPr>
        <w:tabs>
          <w:tab w:val="left" w:pos="720"/>
        </w:tabs>
        <w:adjustRightInd w:val="0"/>
        <w:snapToGrid w:val="0"/>
        <w:spacing w:line="560" w:lineRule="atLeast"/>
        <w:ind w:left="-178" w:leftChars="-85"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3）女性可适度化妆，不浓妆艳抹，不使用气味强烈的化妆品；不得留长指甲，不得涂有色指甲；不得佩戴耳坠或大耳环。</w:t>
      </w:r>
    </w:p>
    <w:p>
      <w:pPr>
        <w:tabs>
          <w:tab w:val="left" w:pos="720"/>
        </w:tabs>
        <w:adjustRightInd w:val="0"/>
        <w:snapToGrid w:val="0"/>
        <w:spacing w:line="560" w:lineRule="atLeast"/>
        <w:ind w:firstLine="320" w:firstLineChars="1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4）供应商制定自身的员工礼仪规范，应要求外包服务人员严格执行。</w:t>
      </w:r>
    </w:p>
    <w:p>
      <w:pPr>
        <w:adjustRightInd w:val="0"/>
        <w:snapToGrid w:val="0"/>
        <w:spacing w:line="560" w:lineRule="exact"/>
        <w:ind w:firstLine="643" w:firstLineChars="200"/>
        <w:outlineLvl w:val="1"/>
        <w:rPr>
          <w:rFonts w:ascii="彩虹楷体" w:eastAsia="彩虹楷体"/>
          <w:b/>
          <w:sz w:val="32"/>
          <w:szCs w:val="32"/>
          <w:highlight w:val="none"/>
        </w:rPr>
      </w:pPr>
      <w:r>
        <w:rPr>
          <w:rFonts w:hint="eastAsia" w:ascii="彩虹楷体" w:eastAsia="彩虹楷体"/>
          <w:b/>
          <w:sz w:val="32"/>
          <w:szCs w:val="32"/>
          <w:highlight w:val="none"/>
        </w:rPr>
        <w:t xml:space="preserve">  （二）风险控制和应急措施</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为保证我行权益和商业机密，需采取以下风险控制和应急措施。</w:t>
      </w:r>
    </w:p>
    <w:p>
      <w:pPr>
        <w:adjustRightInd w:val="0"/>
        <w:snapToGrid w:val="0"/>
        <w:spacing w:line="560" w:lineRule="exact"/>
        <w:ind w:firstLine="656" w:firstLineChars="205"/>
        <w:outlineLvl w:val="2"/>
        <w:rPr>
          <w:rFonts w:ascii="彩虹楷体" w:hAnsi="宋体" w:eastAsia="彩虹楷体" w:cs="Times New Roman"/>
          <w:sz w:val="32"/>
          <w:szCs w:val="32"/>
          <w:highlight w:val="none"/>
        </w:rPr>
      </w:pPr>
      <w:r>
        <w:rPr>
          <w:rFonts w:hint="eastAsia" w:ascii="彩虹楷体" w:hAnsi="宋体" w:eastAsia="彩虹楷体" w:cs="Times New Roman"/>
          <w:sz w:val="32"/>
          <w:szCs w:val="32"/>
          <w:highlight w:val="none"/>
        </w:rPr>
        <w:t>1.风险控制措施</w:t>
      </w:r>
    </w:p>
    <w:p>
      <w:pPr>
        <w:adjustRightInd w:val="0"/>
        <w:snapToGrid w:val="0"/>
        <w:spacing w:line="560" w:lineRule="exact"/>
        <w:ind w:firstLine="64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严禁供应商以我行名义进行用工管理或开展生产经营活动。</w:t>
      </w:r>
    </w:p>
    <w:p>
      <w:pPr>
        <w:adjustRightInd w:val="0"/>
        <w:snapToGrid w:val="0"/>
        <w:spacing w:line="560" w:lineRule="exact"/>
        <w:ind w:firstLine="64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（1）日常管理、监督和检查。</w:t>
      </w:r>
    </w:p>
    <w:p>
      <w:pPr>
        <w:spacing w:line="560" w:lineRule="exact"/>
        <w:ind w:firstLine="640"/>
        <w:rPr>
          <w:rFonts w:ascii="彩虹粗仿宋" w:hAnsi="Times New Roman" w:eastAsia="彩虹粗仿宋" w:cs="Times New Roman"/>
          <w:sz w:val="32"/>
          <w:szCs w:val="32"/>
          <w:highlight w:val="none"/>
        </w:rPr>
      </w:pPr>
      <w:r>
        <w:rPr>
          <w:sz w:val="30"/>
          <w:szCs w:val="30"/>
          <w:highlight w:val="none"/>
        </w:rPr>
        <w:fldChar w:fldCharType="begin"/>
      </w:r>
      <w:r>
        <w:rPr>
          <w:sz w:val="30"/>
          <w:szCs w:val="30"/>
          <w:highlight w:val="none"/>
        </w:rPr>
        <w:instrText xml:space="preserve"> </w:instrText>
      </w:r>
      <w:r>
        <w:rPr>
          <w:rFonts w:hint="eastAsia"/>
          <w:sz w:val="30"/>
          <w:szCs w:val="30"/>
          <w:highlight w:val="none"/>
        </w:rPr>
        <w:instrText xml:space="preserve">eq \o\ac(</w:instrText>
      </w:r>
      <w:r>
        <w:rPr>
          <w:rFonts w:hint="eastAsia" w:ascii="宋体"/>
          <w:position w:val="-6"/>
          <w:sz w:val="45"/>
          <w:szCs w:val="30"/>
          <w:highlight w:val="none"/>
        </w:rPr>
        <w:instrText xml:space="preserve">○</w:instrText>
      </w:r>
      <w:r>
        <w:rPr>
          <w:rFonts w:hint="eastAsia"/>
          <w:sz w:val="30"/>
          <w:szCs w:val="30"/>
          <w:highlight w:val="none"/>
        </w:rPr>
        <w:instrText xml:space="preserve">,1)</w:instrText>
      </w:r>
      <w:r>
        <w:rPr>
          <w:sz w:val="30"/>
          <w:szCs w:val="30"/>
          <w:highlight w:val="none"/>
        </w:rPr>
        <w:fldChar w:fldCharType="end"/>
      </w:r>
      <w:r>
        <w:rPr>
          <w:rFonts w:hint="eastAsia" w:ascii="彩虹粗仿宋" w:hAnsi="Times New Roman" w:eastAsia="彩虹粗仿宋" w:cs="Times New Roman"/>
          <w:sz w:val="32"/>
          <w:szCs w:val="32"/>
          <w:highlight w:val="none"/>
        </w:rPr>
        <w:t>钞币运送和守护业务应按规程操作。</w:t>
      </w:r>
    </w:p>
    <w:p>
      <w:pPr>
        <w:spacing w:line="560" w:lineRule="exact"/>
        <w:ind w:firstLine="640"/>
        <w:rPr>
          <w:rFonts w:ascii="彩虹粗仿宋" w:hAnsi="Times New Roman" w:eastAsia="彩虹粗仿宋" w:cs="Times New Roman"/>
          <w:kern w:val="0"/>
          <w:sz w:val="32"/>
          <w:szCs w:val="32"/>
          <w:highlight w:val="none"/>
        </w:rPr>
      </w:pPr>
      <w:r>
        <w:rPr>
          <w:rFonts w:ascii="彩虹粗仿宋" w:hAnsi="Times New Roman" w:eastAsia="彩虹粗仿宋" w:cs="Times New Roman"/>
          <w:sz w:val="32"/>
          <w:szCs w:val="32"/>
          <w:highlight w:val="none"/>
        </w:rPr>
        <w:fldChar w:fldCharType="begin"/>
      </w:r>
      <w:r>
        <w:rPr>
          <w:rFonts w:ascii="彩虹粗仿宋" w:hAnsi="Times New Roman" w:eastAsia="彩虹粗仿宋" w:cs="Times New Roman"/>
          <w:sz w:val="32"/>
          <w:szCs w:val="32"/>
          <w:highlight w:val="none"/>
        </w:rPr>
        <w:instrText xml:space="preserve"> </w:instrText>
      </w:r>
      <w:r>
        <w:rPr>
          <w:rFonts w:hint="eastAsia" w:ascii="彩虹粗仿宋" w:hAnsi="Times New Roman" w:eastAsia="彩虹粗仿宋" w:cs="Times New Roman"/>
          <w:sz w:val="32"/>
          <w:szCs w:val="32"/>
          <w:highlight w:val="none"/>
        </w:rPr>
        <w:instrText xml:space="preserve">eq \o\ac(</w:instrText>
      </w:r>
      <w:r>
        <w:rPr>
          <w:rFonts w:hint="eastAsia" w:ascii="彩虹粗仿宋" w:hAnsi="Times New Roman" w:eastAsia="彩虹粗仿宋" w:cs="Times New Roman"/>
          <w:position w:val="-6"/>
          <w:sz w:val="48"/>
          <w:szCs w:val="32"/>
          <w:highlight w:val="none"/>
        </w:rPr>
        <w:instrText xml:space="preserve">○</w:instrText>
      </w:r>
      <w:r>
        <w:rPr>
          <w:rFonts w:hint="eastAsia" w:ascii="彩虹粗仿宋" w:hAnsi="Times New Roman" w:eastAsia="彩虹粗仿宋" w:cs="Times New Roman"/>
          <w:sz w:val="32"/>
          <w:szCs w:val="32"/>
          <w:highlight w:val="none"/>
        </w:rPr>
        <w:instrText xml:space="preserve">,2)</w:instrText>
      </w:r>
      <w:r>
        <w:rPr>
          <w:rFonts w:ascii="彩虹粗仿宋" w:hAnsi="Times New Roman" w:eastAsia="彩虹粗仿宋" w:cs="Times New Roman"/>
          <w:sz w:val="32"/>
          <w:szCs w:val="32"/>
          <w:highlight w:val="none"/>
        </w:rPr>
        <w:fldChar w:fldCharType="end"/>
      </w:r>
      <w:r>
        <w:rPr>
          <w:rFonts w:hint="eastAsia" w:ascii="彩虹粗仿宋" w:eastAsia="彩虹粗仿宋"/>
          <w:sz w:val="32"/>
          <w:szCs w:val="32"/>
          <w:highlight w:val="none"/>
        </w:rPr>
        <w:t>定期对外包服务进行检查，</w:t>
      </w:r>
      <w:r>
        <w:rPr>
          <w:rFonts w:hint="eastAsia" w:ascii="彩虹粗仿宋" w:hAnsi="Times New Roman" w:eastAsia="彩虹粗仿宋" w:cs="Times New Roman"/>
          <w:kern w:val="0"/>
          <w:sz w:val="32"/>
          <w:szCs w:val="32"/>
          <w:highlight w:val="none"/>
        </w:rPr>
        <w:t>每季度至少开展一次检查，每季度召开一次联席会，对检查发现问题及时通报供应商，限期整改和落实，每年度结束后形成年度评估报告。</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③服务监督管理实行“对事不对人”，供应商负责服务人员的招聘、管理、考核、薪酬发放等工作，我行负责监督检查外包公司服务的数量、质量、应急处置。</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（3）保密要求</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①供应商需与服务人员签订《保密协议》，防范客户信息泄露的风险，严格防范操作风险、声誉风险及其它风险。</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②服务人员只能掌握了解工作需要的相关信息，不得将我行信息资料以任何方式透露给其他任何机构或个人。</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③服务人员不得利用工作之便窃取、收买或者非法提供他人申请信息资料进行各种非法活动。</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④由于供应商原因导致我行及客户信息泄漏的，按我行将追究相关责任。</w:t>
      </w:r>
    </w:p>
    <w:p>
      <w:pPr>
        <w:tabs>
          <w:tab w:val="left" w:pos="720"/>
        </w:tabs>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⑤供应商应严守我行的商业秘密、技术秘密和其他业务信息，不得泄露。</w:t>
      </w:r>
    </w:p>
    <w:p>
      <w:pPr>
        <w:adjustRightInd w:val="0"/>
        <w:snapToGrid w:val="0"/>
        <w:spacing w:line="560" w:lineRule="exact"/>
        <w:ind w:firstLine="819" w:firstLineChars="256"/>
        <w:outlineLvl w:val="2"/>
        <w:rPr>
          <w:rFonts w:ascii="彩虹粗仿宋" w:hAnsi="宋体" w:eastAsia="彩虹粗仿宋" w:cs="Times New Roman"/>
          <w:sz w:val="32"/>
          <w:szCs w:val="32"/>
          <w:highlight w:val="none"/>
        </w:rPr>
      </w:pPr>
      <w:r>
        <w:rPr>
          <w:rFonts w:hint="eastAsia" w:ascii="彩虹粗仿宋" w:hAnsi="宋体" w:eastAsia="彩虹粗仿宋" w:cs="Times New Roman"/>
          <w:sz w:val="32"/>
          <w:szCs w:val="32"/>
          <w:highlight w:val="none"/>
        </w:rPr>
        <w:t>2.应急措施</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（1）外包公司应制定应急预案，预案场景设置、预案分工、预案演练、预案评估，并明确应急处置流程。</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（2）押运途中或守护期间如遇抢劫、事故等情况，外包服务人员应及时报告我行以及供应商，启动应急处置预案。</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（3）造成我行经济损失的，我行将进行索赔；造成我行声誉损失的，供应商应积极配合我行采取措施消除影响、恢复声誉；涉嫌违法犯罪的，及时向公安机关报案。</w:t>
      </w:r>
    </w:p>
    <w:p>
      <w:pPr>
        <w:adjustRightInd w:val="0"/>
        <w:snapToGrid w:val="0"/>
        <w:spacing w:line="560" w:lineRule="exact"/>
        <w:ind w:firstLine="640" w:firstLineChars="200"/>
        <w:rPr>
          <w:rFonts w:ascii="彩虹粗仿宋" w:hAnsi="Times New Roman" w:eastAsia="彩虹粗仿宋" w:cs="Times New Roman"/>
          <w:sz w:val="32"/>
          <w:szCs w:val="32"/>
          <w:highlight w:val="none"/>
        </w:rPr>
      </w:pPr>
      <w:r>
        <w:rPr>
          <w:rFonts w:hint="eastAsia" w:ascii="彩虹粗仿宋" w:hAnsi="Times New Roman" w:eastAsia="彩虹粗仿宋" w:cs="Times New Roman"/>
          <w:sz w:val="32"/>
          <w:szCs w:val="32"/>
          <w:highlight w:val="none"/>
        </w:rPr>
        <w:t>（5）供应商在处理事（案）件过程中要时刻向我行报告进展情况，待风险解除后，形成书面报告报送我行，我行综合评估后确定是否继续开展外包事项。</w:t>
      </w:r>
    </w:p>
    <w:p>
      <w:pPr>
        <w:adjustRightInd w:val="0"/>
        <w:snapToGrid w:val="0"/>
        <w:spacing w:line="560" w:lineRule="exact"/>
        <w:ind w:firstLine="643" w:firstLineChars="200"/>
        <w:outlineLvl w:val="1"/>
        <w:rPr>
          <w:rFonts w:ascii="彩虹楷体" w:eastAsia="彩虹楷体"/>
          <w:b/>
          <w:sz w:val="32"/>
          <w:szCs w:val="32"/>
          <w:highlight w:val="none"/>
        </w:rPr>
      </w:pPr>
      <w:r>
        <w:rPr>
          <w:rFonts w:hint="eastAsia" w:ascii="彩虹楷体" w:eastAsia="彩虹楷体"/>
          <w:b/>
          <w:sz w:val="32"/>
          <w:szCs w:val="32"/>
          <w:highlight w:val="none"/>
        </w:rPr>
        <w:t>（三）消保条款要求</w:t>
      </w:r>
    </w:p>
    <w:p>
      <w:pPr>
        <w:spacing w:line="560" w:lineRule="exact"/>
        <w:ind w:firstLine="636"/>
        <w:outlineLvl w:val="2"/>
        <w:rPr>
          <w:rFonts w:ascii="彩虹楷体" w:hAnsi="宋体" w:eastAsia="彩虹楷体"/>
          <w:sz w:val="32"/>
          <w:szCs w:val="32"/>
          <w:highlight w:val="none"/>
        </w:rPr>
      </w:pPr>
      <w:r>
        <w:rPr>
          <w:rFonts w:hint="eastAsia" w:ascii="彩虹楷体" w:hAnsi="宋体" w:eastAsia="彩虹楷体"/>
          <w:sz w:val="32"/>
          <w:szCs w:val="32"/>
          <w:highlight w:val="none"/>
        </w:rPr>
        <w:t>1.个人信息保护条款</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（1）明确双方职责、保密义务及个人信息保护条款措施、个人信息发生泄露的违约责任；约定合作机构的保密义务不因服务的终止而终止；</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（2）合作机构不得在未获得客户同意的前提下将获得的个人信息进一步提供给其他第三方；</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（3）合作机构向个人信息主体征得收集个人信息的明确同意授权；</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（4）在双方合作关系终止时，应确保其不再存储我行相关个人信息。</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（5）我行从合作机构获取个人信息时，应确保中介机构和第三方机构的数据来源合法合规、真实有效，对外提供数据不违反法律法规要求，并已获得信息主体本人的明确同意授权；</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6）合作机构承诺其所提供的数据信息已获得相关授权，信息收集合法，且对外提供信息已经被收集者同意；对所提供的外部数据信息的采集、加工、整合、提供过程符合国家相关法律法规规章的规定，具有合法使用权，并有权向我行提供。</w:t>
      </w:r>
    </w:p>
    <w:p>
      <w:pPr>
        <w:spacing w:line="560" w:lineRule="exact"/>
        <w:ind w:firstLine="640" w:firstLineChars="200"/>
        <w:outlineLvl w:val="2"/>
        <w:rPr>
          <w:rFonts w:ascii="彩虹楷体" w:hAnsi="宋体" w:eastAsia="彩虹楷体"/>
          <w:sz w:val="32"/>
          <w:szCs w:val="32"/>
          <w:highlight w:val="none"/>
        </w:rPr>
      </w:pPr>
      <w:r>
        <w:rPr>
          <w:rFonts w:hint="eastAsia" w:ascii="彩虹楷体" w:hAnsi="宋体" w:eastAsia="彩虹楷体"/>
          <w:sz w:val="32"/>
          <w:szCs w:val="32"/>
          <w:highlight w:val="none"/>
        </w:rPr>
        <w:t>2.信息披露条款</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对于我行与合作机构共同提供产品服务的，应向客户充分披露我行与合作机构信息、合作产品的信息、合作各方权利义务，按照适当性原则充分揭示合作业务风险，避免客户产生品牌混同。</w:t>
      </w:r>
    </w:p>
    <w:p>
      <w:pPr>
        <w:spacing w:line="560" w:lineRule="exact"/>
        <w:ind w:firstLine="640" w:firstLineChars="200"/>
        <w:outlineLvl w:val="2"/>
        <w:rPr>
          <w:rFonts w:ascii="彩虹楷体" w:hAnsi="宋体" w:eastAsia="彩虹楷体"/>
          <w:sz w:val="32"/>
          <w:szCs w:val="32"/>
          <w:highlight w:val="none"/>
        </w:rPr>
      </w:pPr>
      <w:r>
        <w:rPr>
          <w:rFonts w:hint="eastAsia" w:ascii="彩虹楷体" w:hAnsi="宋体" w:eastAsia="彩虹楷体"/>
          <w:sz w:val="32"/>
          <w:szCs w:val="32"/>
          <w:highlight w:val="none"/>
        </w:rPr>
        <w:t xml:space="preserve">3.消费者投诉条款 </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1）合作机构应严格落实消费投诉处理工作责任，建立内部沟通协调、信息共享、协同处理的投诉处理工作机制，落实首问负责制，在消费投诉发生的第一时问及时处理、妥善解决，依法合规开展消费投诉处理工作，避免事态扩大产生负面影响。</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（2）对涉及理赔给付的合作机构，应明确其承担的投诉处理义务和责任。</w:t>
      </w:r>
    </w:p>
    <w:p>
      <w:pPr>
        <w:spacing w:line="560" w:lineRule="exact"/>
        <w:ind w:firstLine="640" w:firstLineChars="200"/>
        <w:outlineLvl w:val="2"/>
        <w:rPr>
          <w:rFonts w:ascii="彩虹楷体" w:hAnsi="宋体" w:eastAsia="彩虹楷体"/>
          <w:sz w:val="32"/>
          <w:szCs w:val="32"/>
          <w:highlight w:val="none"/>
        </w:rPr>
      </w:pPr>
      <w:r>
        <w:rPr>
          <w:rFonts w:hint="eastAsia" w:ascii="彩虹楷体" w:hAnsi="宋体" w:eastAsia="彩虹楷体"/>
          <w:sz w:val="32"/>
          <w:szCs w:val="32"/>
          <w:highlight w:val="none"/>
        </w:rPr>
        <w:t xml:space="preserve">4.其他行为监督 </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我行有权根据监管要求和形势发展变化，不断完善合作机构消费者权益保护监督内容，加强对中介机构和第三方机构涉及我行消费者的其他方面监督，督促中介机构和第三方机构经营行为合法合规，避免发生侵犯消费者权益事件。</w:t>
      </w:r>
    </w:p>
    <w:p>
      <w:pPr>
        <w:spacing w:line="560" w:lineRule="exact"/>
        <w:ind w:firstLine="640" w:firstLineChars="200"/>
        <w:outlineLvl w:val="2"/>
        <w:rPr>
          <w:rFonts w:ascii="彩虹楷体" w:hAnsi="宋体" w:eastAsia="彩虹楷体"/>
          <w:sz w:val="32"/>
          <w:szCs w:val="32"/>
          <w:highlight w:val="none"/>
        </w:rPr>
      </w:pPr>
      <w:r>
        <w:rPr>
          <w:rFonts w:hint="eastAsia" w:ascii="彩虹楷体" w:hAnsi="宋体" w:eastAsia="彩虹楷体"/>
          <w:sz w:val="32"/>
          <w:szCs w:val="32"/>
          <w:highlight w:val="none"/>
        </w:rPr>
        <w:t>5.黑名单退出机制</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对有下列情形之一的，应取消准入资格；已经准入的，应予以退出。</w:t>
      </w:r>
    </w:p>
    <w:p>
      <w:pPr>
        <w:spacing w:line="560" w:lineRule="exact"/>
        <w:ind w:left="210" w:leftChars="100" w:firstLine="320" w:firstLineChars="100"/>
        <w:rPr>
          <w:rFonts w:ascii="彩虹粗仿宋" w:hAnsi="宋体" w:eastAsia="彩虹粗仿宋"/>
          <w:sz w:val="32"/>
          <w:szCs w:val="32"/>
          <w:highlight w:val="none"/>
        </w:rPr>
      </w:pPr>
      <w:r>
        <w:rPr>
          <w:rFonts w:hint="eastAsia" w:ascii="彩虹粗仿宋" w:hAnsi="宋体" w:eastAsia="彩虹粗仿宋"/>
          <w:sz w:val="32"/>
          <w:szCs w:val="32"/>
          <w:highlight w:val="none"/>
        </w:rPr>
        <w:t>（1）</w:t>
      </w:r>
      <w:r>
        <w:rPr>
          <w:rFonts w:ascii="彩虹粗仿宋" w:hAnsi="宋体" w:eastAsia="彩虹粗仿宋"/>
          <w:sz w:val="32"/>
          <w:szCs w:val="32"/>
          <w:highlight w:val="none"/>
        </w:rPr>
        <w:t>存在消费者权益侵权行为，引发较大舆情或重大投诉在社会上造成严重不良影响的；</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（2）</w:t>
      </w:r>
      <w:r>
        <w:rPr>
          <w:rFonts w:ascii="彩虹粗仿宋" w:hAnsi="宋体" w:eastAsia="彩虹粗仿宋"/>
          <w:sz w:val="32"/>
          <w:szCs w:val="32"/>
          <w:highlight w:val="none"/>
        </w:rPr>
        <w:t>存在消费者权益侵权行为，受到监管处罚，给我行造成严重不良影响的；</w:t>
      </w:r>
    </w:p>
    <w:p>
      <w:pPr>
        <w:spacing w:line="560" w:lineRule="exact"/>
        <w:ind w:firstLine="640" w:firstLineChars="200"/>
        <w:rPr>
          <w:rFonts w:ascii="彩虹粗仿宋" w:hAnsi="宋体" w:eastAsia="彩虹粗仿宋"/>
          <w:sz w:val="32"/>
          <w:szCs w:val="32"/>
          <w:highlight w:val="none"/>
        </w:rPr>
      </w:pPr>
      <w:r>
        <w:rPr>
          <w:rFonts w:hint="eastAsia" w:ascii="彩虹粗仿宋" w:hAnsi="宋体" w:eastAsia="彩虹粗仿宋"/>
          <w:sz w:val="32"/>
          <w:szCs w:val="32"/>
          <w:highlight w:val="none"/>
        </w:rPr>
        <w:t>（3）</w:t>
      </w:r>
      <w:r>
        <w:rPr>
          <w:rFonts w:ascii="彩虹粗仿宋" w:hAnsi="宋体" w:eastAsia="彩虹粗仿宋"/>
          <w:sz w:val="32"/>
          <w:szCs w:val="32"/>
          <w:highlight w:val="none"/>
        </w:rPr>
        <w:t>存在消费者权益侵权行为，受到公安立案或法院判决，给我行造成严重不良影响的；</w:t>
      </w:r>
    </w:p>
    <w:p>
      <w:pPr>
        <w:spacing w:line="600" w:lineRule="exact"/>
        <w:ind w:firstLine="640" w:firstLineChars="200"/>
        <w:jc w:val="left"/>
        <w:rPr>
          <w:rFonts w:ascii="彩虹粗仿宋" w:hAnsi="宋体" w:eastAsia="彩虹粗仿宋"/>
          <w:sz w:val="32"/>
          <w:szCs w:val="32"/>
          <w:highlight w:val="none"/>
        </w:rPr>
      </w:pPr>
      <w:r>
        <w:rPr>
          <w:rFonts w:hint="eastAsia" w:ascii="彩虹粗仿宋" w:hAnsi="宋体" w:eastAsia="彩虹粗仿宋"/>
          <w:sz w:val="32"/>
          <w:szCs w:val="32"/>
          <w:highlight w:val="none"/>
        </w:rPr>
        <w:t>（4）</w:t>
      </w:r>
      <w:r>
        <w:rPr>
          <w:rFonts w:ascii="彩虹粗仿宋" w:hAnsi="宋体" w:eastAsia="彩虹粗仿宋"/>
          <w:sz w:val="32"/>
          <w:szCs w:val="32"/>
          <w:highlight w:val="none"/>
        </w:rPr>
        <w:t>违反法律法规和监管机构规定的其他严重情形</w:t>
      </w:r>
      <w:r>
        <w:rPr>
          <w:rFonts w:hint="eastAsia" w:ascii="彩虹粗仿宋" w:hAnsi="宋体" w:eastAsia="彩虹粗仿宋"/>
          <w:sz w:val="32"/>
          <w:szCs w:val="32"/>
          <w:highlight w:val="none"/>
        </w:rPr>
        <w:t>。</w:t>
      </w:r>
    </w:p>
    <w:p>
      <w:pPr>
        <w:spacing w:line="600" w:lineRule="exact"/>
        <w:ind w:firstLine="643" w:firstLineChars="200"/>
        <w:jc w:val="left"/>
        <w:outlineLvl w:val="1"/>
        <w:rPr>
          <w:rFonts w:ascii="彩虹楷体" w:hAnsi="彩虹楷体" w:eastAsia="彩虹楷体" w:cs="彩虹楷体"/>
          <w:b/>
          <w:bCs/>
          <w:kern w:val="0"/>
          <w:sz w:val="32"/>
          <w:szCs w:val="32"/>
          <w:highlight w:val="none"/>
        </w:rPr>
      </w:pPr>
      <w:r>
        <w:rPr>
          <w:rFonts w:hint="eastAsia" w:ascii="彩虹楷体" w:hAnsi="彩虹楷体" w:eastAsia="彩虹楷体" w:cs="彩虹楷体"/>
          <w:b/>
          <w:bCs/>
          <w:kern w:val="0"/>
          <w:sz w:val="32"/>
          <w:szCs w:val="32"/>
          <w:highlight w:val="none"/>
        </w:rPr>
        <w:t>（四）验收标准和验收方法</w:t>
      </w:r>
    </w:p>
    <w:p>
      <w:pPr>
        <w:spacing w:line="600" w:lineRule="exact"/>
        <w:ind w:firstLine="640" w:firstLineChars="200"/>
        <w:jc w:val="left"/>
        <w:outlineLvl w:val="2"/>
        <w:rPr>
          <w:rFonts w:ascii="彩虹粗仿宋" w:hAnsi="宋体" w:eastAsia="彩虹粗仿宋"/>
          <w:sz w:val="32"/>
          <w:szCs w:val="32"/>
          <w:highlight w:val="none"/>
        </w:rPr>
      </w:pPr>
      <w:r>
        <w:rPr>
          <w:rFonts w:hint="eastAsia" w:ascii="彩虹粗仿宋" w:hAnsi="宋体" w:eastAsia="彩虹粗仿宋"/>
          <w:sz w:val="32"/>
          <w:szCs w:val="32"/>
          <w:highlight w:val="none"/>
        </w:rPr>
        <w:t>1.武装押运服务</w:t>
      </w:r>
    </w:p>
    <w:p>
      <w:pPr>
        <w:spacing w:line="600" w:lineRule="exact"/>
        <w:ind w:firstLine="640" w:firstLineChars="200"/>
        <w:jc w:val="left"/>
        <w:rPr>
          <w:rFonts w:ascii="彩虹粗仿宋" w:hAnsi="宋体" w:eastAsia="彩虹粗仿宋"/>
          <w:sz w:val="32"/>
          <w:szCs w:val="32"/>
          <w:highlight w:val="none"/>
        </w:rPr>
      </w:pPr>
      <w:r>
        <w:rPr>
          <w:rFonts w:hint="eastAsia" w:ascii="彩虹粗仿宋" w:hAnsi="宋体" w:eastAsia="彩虹粗仿宋"/>
          <w:sz w:val="32"/>
          <w:szCs w:val="32"/>
          <w:highlight w:val="none"/>
        </w:rPr>
        <w:t>供应商应按照我行要求准确及时运送标的物并保证其正常，全部正常为合格；如出现标的物的遗失或损坏为不合格，供应商应照价赔偿并接受每次10000元的考核。</w:t>
      </w:r>
    </w:p>
    <w:p>
      <w:pPr>
        <w:spacing w:line="600" w:lineRule="exact"/>
        <w:ind w:firstLine="640" w:firstLineChars="200"/>
        <w:jc w:val="left"/>
        <w:outlineLvl w:val="2"/>
        <w:rPr>
          <w:rFonts w:ascii="彩虹粗仿宋" w:hAnsi="宋体" w:eastAsia="彩虹粗仿宋"/>
          <w:sz w:val="32"/>
          <w:szCs w:val="32"/>
          <w:highlight w:val="none"/>
        </w:rPr>
      </w:pPr>
      <w:r>
        <w:rPr>
          <w:rFonts w:hint="eastAsia" w:ascii="彩虹粗仿宋" w:hAnsi="宋体" w:eastAsia="彩虹粗仿宋"/>
          <w:sz w:val="32"/>
          <w:szCs w:val="32"/>
          <w:highlight w:val="none"/>
        </w:rPr>
        <w:t>2.保安值守服务</w:t>
      </w:r>
    </w:p>
    <w:p>
      <w:pPr>
        <w:adjustRightInd w:val="0"/>
        <w:snapToGrid w:val="0"/>
        <w:spacing w:line="560" w:lineRule="exact"/>
        <w:ind w:firstLine="640" w:firstLineChars="200"/>
        <w:rPr>
          <w:rFonts w:ascii="彩虹粗仿宋" w:hAnsi="宋体" w:eastAsia="彩虹粗仿宋" w:cs="Times New Roman"/>
          <w:kern w:val="0"/>
          <w:sz w:val="32"/>
          <w:szCs w:val="32"/>
          <w:highlight w:val="none"/>
        </w:rPr>
      </w:pPr>
      <w:r>
        <w:rPr>
          <w:rFonts w:hint="eastAsia" w:ascii="彩虹粗仿宋" w:hAnsi="黑体" w:eastAsia="彩虹粗仿宋" w:cs="Times New Roman"/>
          <w:sz w:val="32"/>
          <w:szCs w:val="32"/>
          <w:highlight w:val="none"/>
        </w:rPr>
        <w:t>安全保卫部每月组织开展服务测评，并根据《保安服务测评表》出具测评结果，</w:t>
      </w:r>
      <w:r>
        <w:rPr>
          <w:rFonts w:hint="eastAsia" w:ascii="彩虹粗仿宋" w:hAnsi="宋体" w:eastAsia="彩虹粗仿宋" w:cs="Times New Roman"/>
          <w:sz w:val="32"/>
          <w:szCs w:val="32"/>
          <w:highlight w:val="none"/>
        </w:rPr>
        <w:t>合格岗位占服务总岗位90%（含）以上为总体合格、80%（含）以上90%以下为基本合格、80%以下为不合格，按总体合格、基本合格、不合格三个档次支付服务费用</w:t>
      </w:r>
      <w:r>
        <w:rPr>
          <w:rFonts w:hint="eastAsia" w:ascii="彩虹粗仿宋" w:hAnsi="宋体" w:eastAsia="彩虹粗仿宋" w:cs="Times New Roman"/>
          <w:kern w:val="0"/>
          <w:sz w:val="32"/>
          <w:szCs w:val="32"/>
          <w:highlight w:val="none"/>
        </w:rPr>
        <w:t>。合格档次支付全额服务费用，基本合格、不合格档次所有岗位均分别调减50元、100元服务费用支付，并进行约谈，连续三次不合格甲方有权终止合同。</w:t>
      </w:r>
    </w:p>
    <w:p>
      <w:pPr>
        <w:spacing w:line="560" w:lineRule="exact"/>
        <w:ind w:firstLine="640" w:firstLineChars="200"/>
        <w:outlineLvl w:val="0"/>
        <w:rPr>
          <w:rFonts w:ascii="彩虹黑体" w:eastAsia="彩虹黑体"/>
          <w:sz w:val="32"/>
          <w:szCs w:val="32"/>
          <w:highlight w:val="none"/>
        </w:rPr>
      </w:pPr>
      <w:r>
        <w:rPr>
          <w:rFonts w:hint="eastAsia" w:ascii="彩虹黑体" w:eastAsia="彩虹黑体"/>
          <w:sz w:val="32"/>
          <w:szCs w:val="32"/>
          <w:highlight w:val="none"/>
        </w:rPr>
        <w:t>五、服务供应安排</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（一）办公营业场所安保值守服务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1、负责为中牟支行本部和5个网点提供安保值守服务。</w:t>
      </w:r>
    </w:p>
    <w:p>
      <w:pPr>
        <w:adjustRightInd w:val="0"/>
        <w:snapToGrid w:val="0"/>
        <w:spacing w:line="560" w:lineRule="exact"/>
        <w:ind w:firstLine="480" w:firstLineChars="15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2、中牟支行本部实行24小时轮班制值守，5个网点保安人员执勤的工作时间与网点营业时间保持一致，每人每周工作时间符合国家法定工作时间。</w:t>
      </w:r>
    </w:p>
    <w:p>
      <w:pPr>
        <w:adjustRightInd w:val="0"/>
        <w:snapToGrid w:val="0"/>
        <w:spacing w:line="560" w:lineRule="exact"/>
        <w:ind w:firstLine="320" w:firstLineChars="100"/>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（二）武装守押服务</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1、外包服务公司承诺按照协议约定的服务内容向我行提供合格的服务，接受我行对其工作的指导和监督。</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2、外包服务公司保证按照我行的服务需求，配备必要的制式押运车辆、枪械和武装押运人员。</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3、外包服务公司负责与外包人员签订符合《劳动法》的正式合同，负责劳动用工以及涉及劳动关系管理的所有事宜。外包公司承诺外包人员基本保障性工资不低于所工作地区最低工资标准，按照国家规定缴纳社会保险等。</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4、外包服务公司负责制定与受托业务相关的内控制度、操作规程、人员考核等办法，并报我行备案；未经我行书面同意，外包公司不得将其在协议约定项下全部或部分权利义务转让或分包给任意第三方。</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5、外包服务公司派往我方工作的外包服务人员应经过培训，并取得上岗资格证。</w:t>
      </w:r>
    </w:p>
    <w:p>
      <w:pPr>
        <w:adjustRightInd w:val="0"/>
        <w:snapToGrid w:val="0"/>
        <w:spacing w:line="560" w:lineRule="exact"/>
        <w:ind w:firstLine="480" w:firstLineChars="150"/>
        <w:rPr>
          <w:rFonts w:ascii="彩虹粗仿宋" w:hAnsi="宋体" w:eastAsia="彩虹粗仿宋" w:cs="Courier New"/>
          <w:sz w:val="32"/>
          <w:szCs w:val="32"/>
          <w:highlight w:val="none"/>
        </w:rPr>
      </w:pPr>
      <w:r>
        <w:rPr>
          <w:rFonts w:hint="eastAsia" w:ascii="彩虹粗仿宋" w:hAnsi="宋体" w:eastAsia="彩虹粗仿宋" w:cs="Courier New"/>
          <w:sz w:val="32"/>
          <w:szCs w:val="32"/>
          <w:highlight w:val="none"/>
        </w:rPr>
        <w:t>6、外包服务公司派往我方工作的外包服务人员未经允许，不得进入我方营业柜台等场所，不得以任何手段窃取、泄漏我方商业机密，不得干涉我方的正常经营。</w:t>
      </w:r>
    </w:p>
    <w:p>
      <w:pPr>
        <w:adjustRightInd w:val="0"/>
        <w:snapToGrid w:val="0"/>
        <w:spacing w:line="560" w:lineRule="exact"/>
        <w:ind w:firstLine="480" w:firstLineChars="150"/>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7、</w:t>
      </w:r>
      <w:r>
        <w:rPr>
          <w:rFonts w:hint="eastAsia" w:ascii="彩虹粗仿宋" w:hAnsi="Times New Roman" w:eastAsia="彩虹粗仿宋" w:cs="Times New Roman"/>
          <w:sz w:val="32"/>
          <w:szCs w:val="32"/>
          <w:highlight w:val="none"/>
        </w:rPr>
        <w:t>外包服务公司</w:t>
      </w:r>
      <w:r>
        <w:rPr>
          <w:rFonts w:hint="eastAsia" w:ascii="彩虹粗仿宋" w:hAnsi="宋体" w:eastAsia="彩虹粗仿宋" w:cs="Times New Roman"/>
          <w:snapToGrid w:val="0"/>
          <w:kern w:val="0"/>
          <w:sz w:val="32"/>
          <w:szCs w:val="32"/>
          <w:highlight w:val="none"/>
        </w:rPr>
        <w:t>应该按照我行的要求，为中牟支行5个营业网点（自助）和6个离行式自助银行提供武装守押服务。</w:t>
      </w:r>
    </w:p>
    <w:p>
      <w:pPr>
        <w:spacing w:line="560" w:lineRule="exact"/>
        <w:ind w:firstLine="640" w:firstLineChars="200"/>
        <w:outlineLvl w:val="0"/>
        <w:rPr>
          <w:rFonts w:ascii="彩虹黑体" w:eastAsia="彩虹黑体"/>
          <w:sz w:val="32"/>
          <w:szCs w:val="32"/>
          <w:highlight w:val="none"/>
        </w:rPr>
      </w:pPr>
      <w:r>
        <w:rPr>
          <w:rFonts w:hint="eastAsia" w:ascii="彩虹黑体" w:eastAsia="彩虹黑体"/>
          <w:sz w:val="32"/>
          <w:szCs w:val="32"/>
          <w:highlight w:val="none"/>
        </w:rPr>
        <w:t>六、服务数量要求</w:t>
      </w:r>
    </w:p>
    <w:p>
      <w:pPr>
        <w:adjustRightInd w:val="0"/>
        <w:snapToGrid w:val="0"/>
        <w:spacing w:line="560" w:lineRule="exact"/>
        <w:ind w:firstLine="320" w:firstLineChars="100"/>
        <w:outlineLvl w:val="1"/>
        <w:rPr>
          <w:rFonts w:ascii="彩虹粗仿宋" w:hAnsi="黑体" w:eastAsia="彩虹粗仿宋" w:cs="彩虹粗仿宋"/>
          <w:snapToGrid w:val="0"/>
          <w:kern w:val="0"/>
          <w:sz w:val="32"/>
          <w:szCs w:val="32"/>
          <w:highlight w:val="none"/>
        </w:rPr>
      </w:pPr>
      <w:r>
        <w:rPr>
          <w:rFonts w:hint="eastAsia" w:ascii="彩虹粗仿宋" w:hAnsi="黑体" w:eastAsia="彩虹粗仿宋" w:cs="彩虹粗仿宋"/>
          <w:snapToGrid w:val="0"/>
          <w:kern w:val="0"/>
          <w:sz w:val="32"/>
          <w:szCs w:val="32"/>
          <w:highlight w:val="none"/>
        </w:rPr>
        <w:t>（一）服务区域</w:t>
      </w:r>
    </w:p>
    <w:p>
      <w:pPr>
        <w:spacing w:line="560" w:lineRule="exact"/>
        <w:ind w:firstLine="480" w:firstLineChars="150"/>
        <w:rPr>
          <w:rFonts w:ascii="彩虹粗仿宋" w:hAnsi="黑体" w:eastAsia="彩虹粗仿宋" w:cs="Times New Roman"/>
          <w:sz w:val="32"/>
          <w:szCs w:val="32"/>
          <w:highlight w:val="none"/>
        </w:rPr>
      </w:pPr>
      <w:r>
        <w:rPr>
          <w:rFonts w:hint="eastAsia" w:ascii="彩虹粗仿宋" w:hAnsi="黑体" w:eastAsia="彩虹粗仿宋" w:cs="Times New Roman"/>
          <w:sz w:val="32"/>
          <w:szCs w:val="32"/>
          <w:highlight w:val="none"/>
        </w:rPr>
        <w:t>1、安保服务：中牟支行本部办公楼及所辖营业部等5个营业机构。</w:t>
      </w:r>
    </w:p>
    <w:p>
      <w:pPr>
        <w:spacing w:line="560" w:lineRule="exact"/>
        <w:ind w:firstLine="480" w:firstLineChars="150"/>
        <w:rPr>
          <w:rFonts w:ascii="彩虹粗仿宋" w:hAnsi="黑体" w:eastAsia="彩虹粗仿宋" w:cs="Times New Roman"/>
          <w:sz w:val="32"/>
          <w:szCs w:val="32"/>
          <w:highlight w:val="none"/>
        </w:rPr>
      </w:pPr>
      <w:r>
        <w:rPr>
          <w:rFonts w:hint="eastAsia" w:ascii="彩虹粗仿宋" w:hAnsi="黑体" w:eastAsia="彩虹粗仿宋" w:cs="Times New Roman"/>
          <w:sz w:val="32"/>
          <w:szCs w:val="32"/>
          <w:highlight w:val="none"/>
        </w:rPr>
        <w:t>2、武装守押服务：中牟支行所辖5个营业网点及6处离行自助银行。</w:t>
      </w:r>
    </w:p>
    <w:p>
      <w:pPr>
        <w:spacing w:line="560" w:lineRule="exact"/>
        <w:ind w:firstLine="320" w:firstLineChars="100"/>
        <w:outlineLvl w:val="1"/>
        <w:rPr>
          <w:rFonts w:ascii="彩虹粗仿宋" w:hAnsi="黑体" w:eastAsia="彩虹粗仿宋" w:cs="Times New Roman"/>
          <w:sz w:val="32"/>
          <w:szCs w:val="32"/>
          <w:highlight w:val="none"/>
        </w:rPr>
      </w:pPr>
      <w:r>
        <w:rPr>
          <w:rFonts w:hint="eastAsia" w:ascii="彩虹粗仿宋" w:hAnsi="黑体" w:eastAsia="彩虹粗仿宋" w:cs="Times New Roman"/>
          <w:sz w:val="32"/>
          <w:szCs w:val="32"/>
          <w:highlight w:val="none"/>
        </w:rPr>
        <w:t>（二）岗位数量</w:t>
      </w:r>
    </w:p>
    <w:p>
      <w:pPr>
        <w:spacing w:line="560" w:lineRule="exact"/>
        <w:ind w:firstLine="480" w:firstLineChars="150"/>
        <w:rPr>
          <w:rFonts w:ascii="彩虹粗仿宋" w:hAnsi="Times New Roman" w:eastAsia="彩虹粗仿宋" w:cs="Times New Roman"/>
          <w:sz w:val="32"/>
          <w:szCs w:val="32"/>
          <w:highlight w:val="none"/>
        </w:rPr>
      </w:pPr>
      <w:r>
        <w:rPr>
          <w:rFonts w:ascii="彩虹粗仿宋" w:hAnsi="黑体" w:eastAsia="彩虹粗仿宋" w:cs="Times New Roman"/>
          <w:sz w:val="32"/>
          <w:szCs w:val="32"/>
          <w:highlight w:val="none"/>
        </w:rPr>
        <w:t>1</w:t>
      </w:r>
      <w:r>
        <w:rPr>
          <w:rFonts w:hint="eastAsia" w:ascii="彩虹粗仿宋" w:hAnsi="黑体" w:eastAsia="彩虹粗仿宋" w:cs="Times New Roman"/>
          <w:sz w:val="32"/>
          <w:szCs w:val="32"/>
          <w:highlight w:val="none"/>
        </w:rPr>
        <w:t>、中牟支行办公楼需要保安服务3个岗位；营业部、商都大道支行、郑开大道支行、万邦物流园支行和中牟新悦城支行</w:t>
      </w:r>
      <w:r>
        <w:rPr>
          <w:rFonts w:hint="eastAsia" w:ascii="彩虹粗仿宋" w:hAnsi="Times New Roman" w:eastAsia="彩虹粗仿宋" w:cs="Times New Roman"/>
          <w:sz w:val="32"/>
          <w:szCs w:val="32"/>
          <w:highlight w:val="none"/>
        </w:rPr>
        <w:t>各需要保安服务2个岗位，共需要13个岗位。</w:t>
      </w:r>
    </w:p>
    <w:p>
      <w:pPr>
        <w:spacing w:line="560" w:lineRule="exact"/>
        <w:ind w:firstLine="480" w:firstLineChars="150"/>
        <w:rPr>
          <w:rFonts w:ascii="彩虹粗仿宋" w:hAnsi="黑体" w:eastAsia="彩虹粗仿宋" w:cs="Times New Roman"/>
          <w:sz w:val="32"/>
          <w:szCs w:val="32"/>
          <w:highlight w:val="none"/>
        </w:rPr>
      </w:pPr>
      <w:r>
        <w:rPr>
          <w:rFonts w:hint="eastAsia" w:ascii="彩虹粗仿宋" w:hAnsi="Times New Roman" w:eastAsia="彩虹粗仿宋" w:cs="Times New Roman"/>
          <w:sz w:val="32"/>
          <w:szCs w:val="32"/>
          <w:highlight w:val="none"/>
        </w:rPr>
        <w:t>2、</w:t>
      </w:r>
      <w:r>
        <w:rPr>
          <w:rFonts w:hint="eastAsia" w:ascii="彩虹粗仿宋" w:hAnsi="黑体" w:eastAsia="彩虹粗仿宋" w:cs="Times New Roman"/>
          <w:sz w:val="32"/>
          <w:szCs w:val="32"/>
          <w:highlight w:val="none"/>
        </w:rPr>
        <w:t>对中牟支行5个营网点和6个离行式自助（设备）银行提供武装守押服务。</w:t>
      </w:r>
    </w:p>
    <w:p>
      <w:pPr>
        <w:adjustRightInd w:val="0"/>
        <w:snapToGrid w:val="0"/>
        <w:spacing w:line="560" w:lineRule="exact"/>
        <w:ind w:firstLine="640" w:firstLineChars="200"/>
        <w:outlineLvl w:val="0"/>
        <w:rPr>
          <w:rFonts w:ascii="彩虹黑体" w:hAnsi="宋体" w:eastAsia="彩虹黑体" w:cs="Times New Roman"/>
          <w:snapToGrid w:val="0"/>
          <w:color w:val="000000" w:themeColor="text1"/>
          <w:kern w:val="0"/>
          <w:sz w:val="32"/>
          <w:szCs w:val="32"/>
          <w:highlight w:val="none"/>
          <w14:textFill>
            <w14:solidFill>
              <w14:schemeClr w14:val="tx1"/>
            </w14:solidFill>
          </w14:textFill>
        </w:rPr>
      </w:pPr>
      <w:r>
        <w:rPr>
          <w:rFonts w:hint="eastAsia" w:ascii="彩虹黑体" w:eastAsia="彩虹黑体"/>
          <w:sz w:val="32"/>
          <w:szCs w:val="32"/>
          <w:highlight w:val="none"/>
        </w:rPr>
        <w:t>七、</w:t>
      </w:r>
      <w:r>
        <w:rPr>
          <w:rFonts w:hint="eastAsia" w:ascii="彩虹黑体" w:hAnsi="宋体" w:eastAsia="彩虹黑体" w:cs="Times New Roman"/>
          <w:snapToGrid w:val="0"/>
          <w:color w:val="000000" w:themeColor="text1"/>
          <w:kern w:val="0"/>
          <w:sz w:val="32"/>
          <w:szCs w:val="32"/>
          <w:highlight w:val="none"/>
          <w14:textFill>
            <w14:solidFill>
              <w14:schemeClr w14:val="tx1"/>
            </w14:solidFill>
          </w14:textFill>
        </w:rPr>
        <w:t>款项支付要求</w:t>
      </w:r>
    </w:p>
    <w:p>
      <w:pPr>
        <w:adjustRightInd w:val="0"/>
        <w:snapToGrid w:val="0"/>
        <w:spacing w:line="560" w:lineRule="exact"/>
        <w:ind w:firstLine="640" w:firstLineChars="200"/>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1.保安值守服务</w:t>
      </w:r>
    </w:p>
    <w:p>
      <w:pPr>
        <w:spacing w:line="600" w:lineRule="exact"/>
        <w:ind w:firstLine="640" w:firstLineChars="200"/>
        <w:jc w:val="left"/>
        <w:rPr>
          <w:rFonts w:ascii="彩虹粗仿宋" w:hAnsi="宋体" w:eastAsia="彩虹粗仿宋" w:cs="Times New Roman"/>
          <w:snapToGrid w:val="0"/>
          <w:kern w:val="0"/>
          <w:sz w:val="32"/>
          <w:szCs w:val="32"/>
          <w:highlight w:val="none"/>
        </w:rPr>
      </w:pPr>
      <w:r>
        <w:rPr>
          <w:rFonts w:hint="eastAsia" w:ascii="彩虹粗仿宋" w:hAnsi="黑体" w:eastAsia="彩虹粗仿宋" w:cs="彩虹粗仿宋"/>
          <w:snapToGrid w:val="0"/>
          <w:kern w:val="0"/>
          <w:sz w:val="32"/>
          <w:szCs w:val="32"/>
          <w:highlight w:val="none"/>
        </w:rPr>
        <w:t>按月根据保安岗位实际增减情况据实支付</w:t>
      </w:r>
      <w:r>
        <w:rPr>
          <w:rFonts w:hint="eastAsia" w:ascii="彩虹粗仿宋" w:hAnsi="黑体" w:eastAsia="彩虹粗仿宋" w:cs="Times New Roman"/>
          <w:snapToGrid w:val="0"/>
          <w:sz w:val="32"/>
          <w:szCs w:val="32"/>
          <w:highlight w:val="none"/>
        </w:rPr>
        <w:t>，根据月度考核情况，</w:t>
      </w:r>
      <w:r>
        <w:rPr>
          <w:rFonts w:hint="eastAsia" w:ascii="彩虹粗仿宋" w:hAnsi="黑体" w:eastAsia="彩虹粗仿宋" w:cs="Times New Roman"/>
          <w:sz w:val="32"/>
          <w:szCs w:val="32"/>
          <w:highlight w:val="none"/>
        </w:rPr>
        <w:t>供应商出具相应的增值税专用发票，</w:t>
      </w:r>
      <w:r>
        <w:rPr>
          <w:rFonts w:hint="eastAsia" w:ascii="彩虹粗仿宋" w:hAnsi="宋体" w:eastAsia="彩虹粗仿宋" w:cs="Times New Roman"/>
          <w:snapToGrid w:val="0"/>
          <w:kern w:val="0"/>
          <w:sz w:val="32"/>
          <w:szCs w:val="32"/>
          <w:highlight w:val="none"/>
        </w:rPr>
        <w:t>如遇增加或减少岗位数量,服务金额按对应岗位价格和数量进行增减。</w:t>
      </w:r>
    </w:p>
    <w:p>
      <w:pPr>
        <w:adjustRightInd w:val="0"/>
        <w:snapToGrid w:val="0"/>
        <w:spacing w:line="560" w:lineRule="exact"/>
        <w:ind w:firstLine="640" w:firstLineChars="200"/>
        <w:outlineLvl w:val="1"/>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2.武装押运服务</w:t>
      </w:r>
    </w:p>
    <w:p>
      <w:pPr>
        <w:adjustRightInd w:val="0"/>
        <w:snapToGrid w:val="0"/>
        <w:spacing w:line="560" w:lineRule="exact"/>
        <w:ind w:firstLine="640" w:firstLineChars="200"/>
        <w:rPr>
          <w:rFonts w:ascii="彩虹粗仿宋" w:hAnsi="宋体" w:eastAsia="彩虹粗仿宋" w:cs="Times New Roman"/>
          <w:snapToGrid w:val="0"/>
          <w:kern w:val="0"/>
          <w:sz w:val="32"/>
          <w:szCs w:val="32"/>
          <w:highlight w:val="none"/>
        </w:rPr>
      </w:pPr>
      <w:r>
        <w:rPr>
          <w:rFonts w:ascii="彩虹粗仿宋" w:hAnsi="微软雅黑" w:eastAsia="彩虹粗仿宋" w:cs="宋体"/>
          <w:kern w:val="0"/>
          <w:sz w:val="32"/>
          <w:szCs w:val="32"/>
          <w:highlight w:val="none"/>
        </w:rPr>
        <w:t>按月对</w:t>
      </w:r>
      <w:r>
        <w:rPr>
          <w:rFonts w:hint="eastAsia" w:ascii="彩虹粗仿宋" w:hAnsi="宋体" w:eastAsia="彩虹粗仿宋"/>
          <w:snapToGrid w:val="0"/>
          <w:sz w:val="32"/>
          <w:szCs w:val="32"/>
          <w:highlight w:val="none"/>
        </w:rPr>
        <w:t>押运</w:t>
      </w:r>
      <w:r>
        <w:rPr>
          <w:rFonts w:ascii="彩虹粗仿宋" w:hAnsi="微软雅黑" w:eastAsia="彩虹粗仿宋" w:cs="宋体"/>
          <w:kern w:val="0"/>
          <w:sz w:val="32"/>
          <w:szCs w:val="32"/>
          <w:highlight w:val="none"/>
        </w:rPr>
        <w:t>公司的</w:t>
      </w:r>
      <w:r>
        <w:rPr>
          <w:rFonts w:hint="eastAsia" w:ascii="彩虹粗仿宋" w:hAnsi="微软雅黑" w:eastAsia="彩虹粗仿宋" w:cs="宋体"/>
          <w:kern w:val="0"/>
          <w:sz w:val="32"/>
          <w:szCs w:val="32"/>
          <w:highlight w:val="none"/>
        </w:rPr>
        <w:t>钞币运送和金库守护</w:t>
      </w:r>
      <w:r>
        <w:rPr>
          <w:rFonts w:ascii="彩虹粗仿宋" w:hAnsi="微软雅黑" w:eastAsia="彩虹粗仿宋" w:cs="宋体"/>
          <w:kern w:val="0"/>
          <w:sz w:val="32"/>
          <w:szCs w:val="32"/>
          <w:highlight w:val="none"/>
        </w:rPr>
        <w:t>服务情况进行考核，</w:t>
      </w:r>
      <w:r>
        <w:rPr>
          <w:rFonts w:hint="eastAsia" w:ascii="彩虹粗仿宋" w:hAnsi="微软雅黑" w:eastAsia="彩虹粗仿宋" w:cs="宋体"/>
          <w:kern w:val="0"/>
          <w:sz w:val="32"/>
          <w:szCs w:val="32"/>
          <w:highlight w:val="none"/>
        </w:rPr>
        <w:t>供应商</w:t>
      </w:r>
      <w:r>
        <w:rPr>
          <w:rFonts w:ascii="彩虹粗仿宋" w:hAnsi="微软雅黑" w:eastAsia="彩虹粗仿宋" w:cs="宋体"/>
          <w:kern w:val="0"/>
          <w:sz w:val="32"/>
          <w:szCs w:val="32"/>
          <w:highlight w:val="none"/>
        </w:rPr>
        <w:t>根据考核结果</w:t>
      </w:r>
      <w:r>
        <w:rPr>
          <w:rFonts w:hint="eastAsia" w:ascii="彩虹粗仿宋" w:hAnsi="微软雅黑" w:eastAsia="彩虹粗仿宋" w:cs="宋体"/>
          <w:kern w:val="0"/>
          <w:sz w:val="32"/>
          <w:szCs w:val="32"/>
          <w:highlight w:val="none"/>
        </w:rPr>
        <w:t>为“合格”根据</w:t>
      </w:r>
      <w:r>
        <w:rPr>
          <w:rFonts w:ascii="彩虹粗仿宋" w:hAnsi="微软雅黑" w:eastAsia="彩虹粗仿宋" w:cs="宋体"/>
          <w:kern w:val="0"/>
          <w:sz w:val="32"/>
          <w:szCs w:val="32"/>
          <w:highlight w:val="none"/>
        </w:rPr>
        <w:t>出具的增值税专用发票</w:t>
      </w:r>
      <w:r>
        <w:rPr>
          <w:rFonts w:hint="eastAsia" w:ascii="彩虹粗仿宋" w:hAnsi="微软雅黑" w:eastAsia="彩虹粗仿宋" w:cs="宋体"/>
          <w:kern w:val="0"/>
          <w:sz w:val="32"/>
          <w:szCs w:val="32"/>
          <w:highlight w:val="none"/>
        </w:rPr>
        <w:t>付款，考核结果为“不合格”扣除考核款项后付款</w:t>
      </w:r>
      <w:r>
        <w:rPr>
          <w:rFonts w:ascii="彩虹粗仿宋" w:hAnsi="微软雅黑" w:eastAsia="彩虹粗仿宋" w:cs="宋体"/>
          <w:kern w:val="0"/>
          <w:sz w:val="32"/>
          <w:szCs w:val="32"/>
          <w:highlight w:val="none"/>
        </w:rPr>
        <w:t>，</w:t>
      </w:r>
      <w:r>
        <w:rPr>
          <w:rFonts w:hint="eastAsia" w:ascii="彩虹粗仿宋" w:hAnsi="宋体" w:eastAsia="彩虹粗仿宋" w:cs="Times New Roman"/>
          <w:snapToGrid w:val="0"/>
          <w:kern w:val="0"/>
          <w:sz w:val="32"/>
          <w:szCs w:val="32"/>
          <w:highlight w:val="none"/>
        </w:rPr>
        <w:t>按月根据车辆增减情况据实结算。</w:t>
      </w:r>
    </w:p>
    <w:p>
      <w:pPr>
        <w:spacing w:line="560" w:lineRule="exact"/>
        <w:ind w:firstLine="640" w:firstLineChars="200"/>
        <w:outlineLvl w:val="0"/>
        <w:rPr>
          <w:rFonts w:ascii="彩虹黑体" w:hAnsi="彩虹黑体" w:eastAsia="彩虹黑体" w:cs="彩虹黑体"/>
          <w:sz w:val="32"/>
          <w:szCs w:val="32"/>
          <w:highlight w:val="none"/>
        </w:rPr>
      </w:pPr>
      <w:r>
        <w:rPr>
          <w:rFonts w:hint="eastAsia" w:ascii="彩虹黑体" w:hAnsi="彩虹黑体" w:eastAsia="彩虹黑体" w:cs="彩虹黑体"/>
          <w:sz w:val="32"/>
          <w:szCs w:val="32"/>
          <w:highlight w:val="none"/>
        </w:rPr>
        <w:t>八、报价要求</w:t>
      </w:r>
    </w:p>
    <w:p>
      <w:pPr>
        <w:adjustRightInd w:val="0"/>
        <w:snapToGrid w:val="0"/>
        <w:spacing w:line="560" w:lineRule="exact"/>
        <w:ind w:firstLine="633" w:firstLineChars="198"/>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本次采购项目为郑州中牟支行的安保、武装守押，待采购价格及其他服务项目确定后与入选供应商签署外包合同。按照郑州中牟支行安保服务人次、武装守押服务要求，按元/岗/月、年度大包之单价和总价费用报含税单价和服务含税总价，保安值守服务超过预算</w:t>
      </w:r>
      <w:r>
        <w:rPr>
          <w:rFonts w:hint="eastAsia" w:ascii="彩虹粗仿宋" w:hAnsi="宋体" w:eastAsia="彩虹粗仿宋" w:cs="Times New Roman"/>
          <w:snapToGrid w:val="0"/>
          <w:kern w:val="0"/>
          <w:sz w:val="32"/>
          <w:szCs w:val="32"/>
          <w:highlight w:val="none"/>
          <w:lang w:val="en-US" w:eastAsia="zh-CN"/>
        </w:rPr>
        <w:t>4000</w:t>
      </w:r>
      <w:r>
        <w:rPr>
          <w:rFonts w:hint="eastAsia" w:ascii="彩虹粗仿宋" w:hAnsi="宋体" w:eastAsia="彩虹粗仿宋" w:cs="Times New Roman"/>
          <w:snapToGrid w:val="0"/>
          <w:kern w:val="0"/>
          <w:sz w:val="32"/>
          <w:szCs w:val="32"/>
          <w:highlight w:val="none"/>
        </w:rPr>
        <w:t>元/岗/月的报价为无效报价，武装押运报价超</w:t>
      </w:r>
      <w:r>
        <w:rPr>
          <w:rFonts w:hint="eastAsia" w:ascii="彩虹粗仿宋" w:hAnsi="宋体" w:eastAsia="彩虹粗仿宋" w:cs="Times New Roman"/>
          <w:snapToGrid w:val="0"/>
          <w:color w:val="FF0000"/>
          <w:kern w:val="0"/>
          <w:sz w:val="32"/>
          <w:szCs w:val="32"/>
          <w:highlight w:val="none"/>
        </w:rPr>
        <w:t>过</w:t>
      </w:r>
      <w:r>
        <w:rPr>
          <w:rFonts w:hint="eastAsia" w:ascii="彩虹粗仿宋" w:hAnsi="宋体" w:eastAsia="彩虹粗仿宋" w:cs="Times New Roman"/>
          <w:snapToGrid w:val="0"/>
          <w:color w:val="FF0000"/>
          <w:kern w:val="0"/>
          <w:sz w:val="32"/>
          <w:szCs w:val="32"/>
          <w:highlight w:val="none"/>
          <w:lang w:val="en-US" w:eastAsia="zh-CN"/>
        </w:rPr>
        <w:t>115</w:t>
      </w:r>
      <w:r>
        <w:rPr>
          <w:rFonts w:hint="eastAsia" w:ascii="彩虹粗仿宋" w:hAnsi="宋体" w:eastAsia="彩虹粗仿宋" w:cs="Times New Roman"/>
          <w:snapToGrid w:val="0"/>
          <w:color w:val="FF0000"/>
          <w:kern w:val="0"/>
          <w:sz w:val="32"/>
          <w:szCs w:val="32"/>
          <w:highlight w:val="none"/>
        </w:rPr>
        <w:t>万元/</w:t>
      </w:r>
      <w:r>
        <w:rPr>
          <w:rFonts w:hint="eastAsia" w:ascii="彩虹粗仿宋" w:hAnsi="宋体" w:eastAsia="彩虹粗仿宋" w:cs="Times New Roman"/>
          <w:snapToGrid w:val="0"/>
          <w:kern w:val="0"/>
          <w:sz w:val="32"/>
          <w:szCs w:val="32"/>
          <w:highlight w:val="none"/>
        </w:rPr>
        <w:t>年的报价为无效报价。</w:t>
      </w:r>
    </w:p>
    <w:p>
      <w:pPr>
        <w:adjustRightInd w:val="0"/>
        <w:snapToGrid w:val="0"/>
        <w:spacing w:line="560" w:lineRule="exact"/>
        <w:ind w:firstLine="633" w:firstLineChars="198"/>
        <w:rPr>
          <w:rFonts w:ascii="彩虹粗仿宋" w:hAnsi="宋体" w:eastAsia="彩虹粗仿宋" w:cs="Times New Roman"/>
          <w:snapToGrid w:val="0"/>
          <w:kern w:val="0"/>
          <w:sz w:val="32"/>
          <w:szCs w:val="32"/>
          <w:highlight w:val="yellow"/>
        </w:rPr>
      </w:pPr>
    </w:p>
    <w:tbl>
      <w:tblPr>
        <w:tblStyle w:val="3"/>
        <w:tblW w:w="8980" w:type="dxa"/>
        <w:tblInd w:w="93" w:type="dxa"/>
        <w:tblLayout w:type="autofit"/>
        <w:tblCellMar>
          <w:top w:w="0" w:type="dxa"/>
          <w:left w:w="108" w:type="dxa"/>
          <w:bottom w:w="0" w:type="dxa"/>
          <w:right w:w="108" w:type="dxa"/>
        </w:tblCellMar>
      </w:tblPr>
      <w:tblGrid>
        <w:gridCol w:w="740"/>
        <w:gridCol w:w="740"/>
        <w:gridCol w:w="720"/>
        <w:gridCol w:w="1080"/>
        <w:gridCol w:w="740"/>
        <w:gridCol w:w="1120"/>
        <w:gridCol w:w="920"/>
        <w:gridCol w:w="740"/>
        <w:gridCol w:w="700"/>
        <w:gridCol w:w="720"/>
        <w:gridCol w:w="760"/>
      </w:tblGrid>
      <w:tr>
        <w:tblPrEx>
          <w:tblCellMar>
            <w:top w:w="0" w:type="dxa"/>
            <w:left w:w="108" w:type="dxa"/>
            <w:bottom w:w="0" w:type="dxa"/>
            <w:right w:w="108" w:type="dxa"/>
          </w:tblCellMar>
        </w:tblPrEx>
        <w:trPr>
          <w:trHeight w:val="456" w:hRule="atLeast"/>
        </w:trPr>
        <w:tc>
          <w:tcPr>
            <w:tcW w:w="8980" w:type="dxa"/>
            <w:gridSpan w:val="11"/>
            <w:tcBorders>
              <w:top w:val="nil"/>
              <w:left w:val="nil"/>
              <w:bottom w:val="nil"/>
              <w:right w:val="nil"/>
            </w:tcBorders>
            <w:noWrap/>
            <w:vAlign w:val="center"/>
          </w:tcPr>
          <w:p>
            <w:pPr>
              <w:widowControl/>
              <w:jc w:val="center"/>
              <w:rPr>
                <w:rFonts w:ascii="彩虹粗仿宋" w:hAnsi="宋体" w:eastAsia="彩虹粗仿宋" w:cs="Times New Roman"/>
                <w:snapToGrid w:val="0"/>
                <w:kern w:val="0"/>
                <w:sz w:val="32"/>
                <w:szCs w:val="32"/>
                <w:highlight w:val="none"/>
              </w:rPr>
            </w:pPr>
            <w:r>
              <w:rPr>
                <w:rFonts w:hint="eastAsia" w:ascii="彩虹粗仿宋" w:hAnsi="宋体" w:eastAsia="彩虹粗仿宋" w:cs="Times New Roman"/>
                <w:snapToGrid w:val="0"/>
                <w:kern w:val="0"/>
                <w:sz w:val="32"/>
                <w:szCs w:val="32"/>
                <w:highlight w:val="none"/>
              </w:rPr>
              <w:t>附件：</w:t>
            </w:r>
          </w:p>
          <w:p>
            <w:pPr>
              <w:widowControl/>
              <w:jc w:val="center"/>
              <w:rPr>
                <w:rFonts w:ascii="Times New Roman" w:hAnsi="Times New Roman"/>
                <w:b/>
                <w:bCs/>
                <w:kern w:val="0"/>
                <w:sz w:val="36"/>
                <w:szCs w:val="36"/>
                <w:highlight w:val="none"/>
              </w:rPr>
            </w:pPr>
            <w:r>
              <w:rPr>
                <w:rFonts w:ascii="彩虹粗仿宋" w:hAnsi="宋体" w:eastAsia="彩虹粗仿宋" w:cs="Times New Roman"/>
                <w:snapToGrid w:val="0"/>
                <w:kern w:val="0"/>
                <w:sz w:val="32"/>
                <w:szCs w:val="32"/>
                <w:highlight w:val="none"/>
              </w:rPr>
              <w:br w:type="page"/>
            </w:r>
            <w:r>
              <w:rPr>
                <w:rFonts w:hint="eastAsia" w:ascii="宋体" w:hAnsi="宋体"/>
                <w:b/>
                <w:bCs/>
                <w:kern w:val="0"/>
                <w:sz w:val="36"/>
                <w:szCs w:val="36"/>
                <w:highlight w:val="none"/>
              </w:rPr>
              <w:t>保安服务测评表</w:t>
            </w:r>
          </w:p>
        </w:tc>
      </w:tr>
      <w:tr>
        <w:tblPrEx>
          <w:tblCellMar>
            <w:top w:w="0" w:type="dxa"/>
            <w:left w:w="108" w:type="dxa"/>
            <w:bottom w:w="0" w:type="dxa"/>
            <w:right w:w="108" w:type="dxa"/>
          </w:tblCellMar>
        </w:tblPrEx>
        <w:trPr>
          <w:trHeight w:val="135"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r>
      <w:tr>
        <w:tblPrEx>
          <w:tblCellMar>
            <w:top w:w="0" w:type="dxa"/>
            <w:left w:w="108" w:type="dxa"/>
            <w:bottom w:w="0" w:type="dxa"/>
            <w:right w:w="108" w:type="dxa"/>
          </w:tblCellMar>
        </w:tblPrEx>
        <w:trPr>
          <w:trHeight w:val="600" w:hRule="atLeast"/>
        </w:trPr>
        <w:tc>
          <w:tcPr>
            <w:tcW w:w="1480" w:type="dxa"/>
            <w:gridSpan w:val="2"/>
            <w:tcBorders>
              <w:top w:val="nil"/>
              <w:left w:val="nil"/>
              <w:bottom w:val="single" w:color="auto" w:sz="4" w:space="0"/>
              <w:right w:val="nil"/>
            </w:tcBorders>
            <w:noWrap/>
            <w:vAlign w:val="center"/>
          </w:tcPr>
          <w:p>
            <w:pPr>
              <w:widowControl/>
              <w:jc w:val="center"/>
              <w:rPr>
                <w:rFonts w:ascii="宋体" w:hAnsi="宋体" w:cs="宋体"/>
                <w:kern w:val="0"/>
                <w:szCs w:val="28"/>
                <w:highlight w:val="none"/>
              </w:rPr>
            </w:pPr>
            <w:r>
              <w:rPr>
                <w:rFonts w:hint="eastAsia" w:ascii="宋体" w:hAnsi="宋体" w:cs="宋体"/>
                <w:kern w:val="0"/>
                <w:szCs w:val="28"/>
                <w:highlight w:val="none"/>
              </w:rPr>
              <w:t>网点：</w:t>
            </w:r>
          </w:p>
        </w:tc>
        <w:tc>
          <w:tcPr>
            <w:tcW w:w="720" w:type="dxa"/>
            <w:tcBorders>
              <w:top w:val="nil"/>
              <w:left w:val="nil"/>
              <w:bottom w:val="nil"/>
              <w:right w:val="nil"/>
            </w:tcBorders>
            <w:noWrap/>
            <w:vAlign w:val="center"/>
          </w:tcPr>
          <w:p>
            <w:pPr>
              <w:widowControl/>
              <w:jc w:val="left"/>
              <w:rPr>
                <w:rFonts w:ascii="宋体" w:hAnsi="宋体" w:cs="宋体"/>
                <w:kern w:val="0"/>
                <w:szCs w:val="28"/>
                <w:highlight w:val="none"/>
              </w:rPr>
            </w:pPr>
          </w:p>
        </w:tc>
        <w:tc>
          <w:tcPr>
            <w:tcW w:w="1080" w:type="dxa"/>
            <w:tcBorders>
              <w:top w:val="nil"/>
              <w:left w:val="nil"/>
              <w:bottom w:val="nil"/>
              <w:right w:val="nil"/>
            </w:tcBorders>
            <w:noWrap/>
            <w:vAlign w:val="center"/>
          </w:tcPr>
          <w:p>
            <w:pPr>
              <w:widowControl/>
              <w:jc w:val="left"/>
              <w:rPr>
                <w:rFonts w:ascii="宋体" w:hAnsi="宋体" w:cs="宋体"/>
                <w:kern w:val="0"/>
                <w:szCs w:val="28"/>
                <w:highlight w:val="none"/>
              </w:rPr>
            </w:pPr>
          </w:p>
        </w:tc>
        <w:tc>
          <w:tcPr>
            <w:tcW w:w="1860" w:type="dxa"/>
            <w:gridSpan w:val="2"/>
            <w:tcBorders>
              <w:top w:val="nil"/>
              <w:left w:val="nil"/>
              <w:bottom w:val="nil"/>
              <w:right w:val="nil"/>
            </w:tcBorders>
            <w:noWrap/>
            <w:vAlign w:val="center"/>
          </w:tcPr>
          <w:p>
            <w:pPr>
              <w:widowControl/>
              <w:jc w:val="left"/>
              <w:rPr>
                <w:rFonts w:ascii="宋体" w:hAnsi="宋体" w:cs="宋体"/>
                <w:kern w:val="0"/>
                <w:szCs w:val="28"/>
                <w:highlight w:val="none"/>
              </w:rPr>
            </w:pPr>
            <w:r>
              <w:rPr>
                <w:rFonts w:hint="eastAsia" w:ascii="宋体" w:hAnsi="宋体" w:cs="宋体"/>
                <w:kern w:val="0"/>
                <w:szCs w:val="28"/>
                <w:highlight w:val="none"/>
              </w:rPr>
              <w:t>保安姓名：</w:t>
            </w:r>
          </w:p>
        </w:tc>
        <w:tc>
          <w:tcPr>
            <w:tcW w:w="920" w:type="dxa"/>
            <w:tcBorders>
              <w:top w:val="nil"/>
              <w:left w:val="nil"/>
              <w:bottom w:val="nil"/>
              <w:right w:val="nil"/>
            </w:tcBorders>
            <w:noWrap/>
            <w:vAlign w:val="center"/>
          </w:tcPr>
          <w:p>
            <w:pPr>
              <w:widowControl/>
              <w:jc w:val="left"/>
              <w:rPr>
                <w:rFonts w:ascii="宋体" w:hAnsi="宋体" w:cs="宋体"/>
                <w:kern w:val="0"/>
                <w:szCs w:val="28"/>
                <w:highlight w:val="none"/>
              </w:rPr>
            </w:pPr>
          </w:p>
        </w:tc>
        <w:tc>
          <w:tcPr>
            <w:tcW w:w="740" w:type="dxa"/>
            <w:tcBorders>
              <w:top w:val="nil"/>
              <w:left w:val="nil"/>
              <w:bottom w:val="nil"/>
              <w:right w:val="nil"/>
            </w:tcBorders>
            <w:noWrap/>
            <w:vAlign w:val="center"/>
          </w:tcPr>
          <w:p>
            <w:pPr>
              <w:widowControl/>
              <w:jc w:val="left"/>
              <w:rPr>
                <w:rFonts w:ascii="宋体" w:hAnsi="宋体" w:cs="宋体"/>
                <w:kern w:val="0"/>
                <w:szCs w:val="28"/>
                <w:highlight w:val="none"/>
              </w:rPr>
            </w:pPr>
          </w:p>
        </w:tc>
        <w:tc>
          <w:tcPr>
            <w:tcW w:w="1420" w:type="dxa"/>
            <w:gridSpan w:val="2"/>
            <w:tcBorders>
              <w:top w:val="nil"/>
              <w:left w:val="nil"/>
              <w:bottom w:val="nil"/>
              <w:right w:val="nil"/>
            </w:tcBorders>
            <w:noWrap/>
            <w:vAlign w:val="center"/>
          </w:tcPr>
          <w:p>
            <w:pPr>
              <w:widowControl/>
              <w:jc w:val="left"/>
              <w:rPr>
                <w:rFonts w:ascii="宋体" w:hAnsi="宋体" w:cs="宋体"/>
                <w:kern w:val="0"/>
                <w:szCs w:val="28"/>
                <w:highlight w:val="none"/>
              </w:rPr>
            </w:pPr>
            <w:r>
              <w:rPr>
                <w:rFonts w:hint="eastAsia" w:ascii="宋体" w:hAnsi="宋体" w:cs="宋体"/>
                <w:kern w:val="0"/>
                <w:szCs w:val="28"/>
                <w:highlight w:val="none"/>
              </w:rPr>
              <w:t>日期：</w:t>
            </w:r>
          </w:p>
        </w:tc>
        <w:tc>
          <w:tcPr>
            <w:tcW w:w="760" w:type="dxa"/>
            <w:tcBorders>
              <w:top w:val="nil"/>
              <w:left w:val="nil"/>
              <w:bottom w:val="nil"/>
              <w:right w:val="nil"/>
            </w:tcBorders>
            <w:noWrap/>
            <w:vAlign w:val="bottom"/>
          </w:tcPr>
          <w:p>
            <w:pPr>
              <w:widowControl/>
              <w:jc w:val="left"/>
              <w:rPr>
                <w:rFonts w:ascii="宋体" w:hAnsi="宋体" w:cs="宋体"/>
                <w:kern w:val="0"/>
                <w:szCs w:val="28"/>
                <w:highlight w:val="none"/>
              </w:rPr>
            </w:pPr>
          </w:p>
        </w:tc>
      </w:tr>
      <w:tr>
        <w:tblPrEx>
          <w:tblCellMar>
            <w:top w:w="0" w:type="dxa"/>
            <w:left w:w="108" w:type="dxa"/>
            <w:bottom w:w="0" w:type="dxa"/>
            <w:right w:w="108" w:type="dxa"/>
          </w:tblCellMar>
        </w:tblPrEx>
        <w:trPr>
          <w:trHeight w:val="360" w:hRule="atLeast"/>
        </w:trPr>
        <w:tc>
          <w:tcPr>
            <w:tcW w:w="740"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日</w:t>
            </w:r>
            <w:r>
              <w:rPr>
                <w:rFonts w:ascii="Times New Roman" w:hAnsi="Times New Roman"/>
                <w:kern w:val="0"/>
                <w:sz w:val="24"/>
                <w:szCs w:val="24"/>
                <w:highlight w:val="none"/>
              </w:rPr>
              <w:t xml:space="preserve">   </w:t>
            </w:r>
            <w:r>
              <w:rPr>
                <w:rFonts w:hint="eastAsia" w:ascii="宋体" w:hAnsi="宋体" w:cs="宋体"/>
                <w:kern w:val="0"/>
                <w:sz w:val="24"/>
                <w:szCs w:val="24"/>
                <w:highlight w:val="none"/>
              </w:rPr>
              <w:t>期</w:t>
            </w:r>
          </w:p>
        </w:tc>
        <w:tc>
          <w:tcPr>
            <w:tcW w:w="7480" w:type="dxa"/>
            <w:gridSpan w:val="9"/>
            <w:tcBorders>
              <w:top w:val="single" w:color="auto" w:sz="4" w:space="0"/>
              <w:left w:val="nil"/>
              <w:bottom w:val="single" w:color="auto" w:sz="4" w:space="0"/>
              <w:right w:val="single" w:color="auto" w:sz="4" w:space="0"/>
            </w:tcBorders>
            <w:noWrap/>
            <w:vAlign w:val="bottom"/>
          </w:tcPr>
          <w:p>
            <w:pPr>
              <w:widowControl/>
              <w:jc w:val="center"/>
              <w:rPr>
                <w:rFonts w:ascii="宋体" w:hAnsi="宋体" w:cs="宋体"/>
                <w:b/>
                <w:bCs/>
                <w:kern w:val="0"/>
                <w:szCs w:val="28"/>
                <w:highlight w:val="none"/>
              </w:rPr>
            </w:pPr>
            <w:r>
              <w:rPr>
                <w:rFonts w:hint="eastAsia" w:ascii="宋体" w:hAnsi="宋体" w:cs="宋体"/>
                <w:b/>
                <w:bCs/>
                <w:kern w:val="0"/>
                <w:szCs w:val="28"/>
                <w:highlight w:val="none"/>
              </w:rPr>
              <w:t>违犯规定内容及次数</w:t>
            </w:r>
          </w:p>
        </w:tc>
        <w:tc>
          <w:tcPr>
            <w:tcW w:w="760" w:type="dxa"/>
            <w:tcBorders>
              <w:top w:val="single" w:color="auto" w:sz="4" w:space="0"/>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1014"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highlight w:val="none"/>
              </w:rPr>
            </w:pP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着装</w:t>
            </w:r>
            <w:r>
              <w:rPr>
                <w:rFonts w:ascii="Times New Roman" w:hAnsi="Times New Roman"/>
                <w:kern w:val="0"/>
                <w:sz w:val="22"/>
                <w:highlight w:val="none"/>
              </w:rPr>
              <w:t xml:space="preserve">    </w:t>
            </w:r>
            <w:r>
              <w:rPr>
                <w:rFonts w:hint="eastAsia" w:ascii="宋体" w:hAnsi="宋体" w:cs="宋体"/>
                <w:kern w:val="0"/>
                <w:sz w:val="22"/>
                <w:highlight w:val="none"/>
              </w:rPr>
              <w:t>不整</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警具</w:t>
            </w:r>
            <w:r>
              <w:rPr>
                <w:rFonts w:ascii="Times New Roman" w:hAnsi="Times New Roman"/>
                <w:kern w:val="0"/>
                <w:sz w:val="22"/>
                <w:highlight w:val="none"/>
              </w:rPr>
              <w:t xml:space="preserve">      </w:t>
            </w:r>
            <w:r>
              <w:rPr>
                <w:rFonts w:hint="eastAsia" w:ascii="宋体" w:hAnsi="宋体" w:cs="宋体"/>
                <w:kern w:val="0"/>
                <w:sz w:val="22"/>
                <w:highlight w:val="none"/>
              </w:rPr>
              <w:t>乱放</w:t>
            </w:r>
          </w:p>
        </w:tc>
        <w:tc>
          <w:tcPr>
            <w:tcW w:w="108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迟到、早退  脱岗、旷工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不服从          领 导</w:t>
            </w:r>
          </w:p>
        </w:tc>
        <w:tc>
          <w:tcPr>
            <w:tcW w:w="11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睡觉、看报会客、聊天</w:t>
            </w:r>
          </w:p>
        </w:tc>
        <w:tc>
          <w:tcPr>
            <w:tcW w:w="9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警惕性差松懈怠工</w:t>
            </w:r>
          </w:p>
        </w:tc>
        <w:tc>
          <w:tcPr>
            <w:tcW w:w="74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客户</w:t>
            </w:r>
            <w:r>
              <w:rPr>
                <w:rFonts w:ascii="Times New Roman" w:hAnsi="Times New Roman"/>
                <w:kern w:val="0"/>
                <w:sz w:val="22"/>
                <w:highlight w:val="none"/>
              </w:rPr>
              <w:t xml:space="preserve">       </w:t>
            </w:r>
            <w:r>
              <w:rPr>
                <w:rFonts w:hint="eastAsia" w:ascii="宋体" w:hAnsi="宋体" w:cs="宋体"/>
                <w:kern w:val="0"/>
                <w:sz w:val="22"/>
                <w:highlight w:val="none"/>
              </w:rPr>
              <w:t>投诉</w:t>
            </w:r>
          </w:p>
        </w:tc>
        <w:tc>
          <w:tcPr>
            <w:tcW w:w="70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与客户发生纠纷</w:t>
            </w:r>
          </w:p>
        </w:tc>
        <w:tc>
          <w:tcPr>
            <w:tcW w:w="72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其   他</w:t>
            </w:r>
          </w:p>
        </w:tc>
        <w:tc>
          <w:tcPr>
            <w:tcW w:w="760" w:type="dxa"/>
            <w:tcBorders>
              <w:top w:val="nil"/>
              <w:left w:val="nil"/>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当日合计</w:t>
            </w:r>
          </w:p>
        </w:tc>
      </w:tr>
      <w:tr>
        <w:tblPrEx>
          <w:tblCellMar>
            <w:top w:w="0" w:type="dxa"/>
            <w:left w:w="108" w:type="dxa"/>
            <w:bottom w:w="0" w:type="dxa"/>
            <w:right w:w="108" w:type="dxa"/>
          </w:tblCellMar>
        </w:tblPrEx>
        <w:trPr>
          <w:trHeight w:val="312" w:hRule="atLeast"/>
        </w:trPr>
        <w:tc>
          <w:tcPr>
            <w:tcW w:w="74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kern w:val="0"/>
                <w:sz w:val="24"/>
                <w:szCs w:val="24"/>
                <w:highlight w:val="none"/>
              </w:rPr>
            </w:pP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108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11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9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4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0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2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c>
          <w:tcPr>
            <w:tcW w:w="760" w:type="dxa"/>
            <w:tcBorders>
              <w:top w:val="nil"/>
              <w:left w:val="nil"/>
              <w:bottom w:val="single" w:color="auto" w:sz="4" w:space="0"/>
              <w:right w:val="single" w:color="auto"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次数</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2</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4</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5</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6</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eastAsia="宋体" w:cs="宋体"/>
                <w:kern w:val="0"/>
                <w:sz w:val="24"/>
                <w:szCs w:val="24"/>
                <w:highlight w:val="none"/>
              </w:rPr>
            </w:pPr>
            <w:r>
              <w:rPr>
                <w:rFonts w:hint="eastAsia" w:ascii="宋体" w:hAnsi="宋体" w:cs="宋体"/>
                <w:kern w:val="0"/>
                <w:sz w:val="24"/>
                <w:szCs w:val="24"/>
                <w:highlight w:val="none"/>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318"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31</w:t>
            </w:r>
          </w:p>
        </w:tc>
        <w:tc>
          <w:tcPr>
            <w:tcW w:w="74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08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112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92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4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0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20" w:type="dxa"/>
            <w:tcBorders>
              <w:top w:val="nil"/>
              <w:left w:val="nil"/>
              <w:bottom w:val="nil"/>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c>
          <w:tcPr>
            <w:tcW w:w="760" w:type="dxa"/>
            <w:tcBorders>
              <w:top w:val="nil"/>
              <w:left w:val="nil"/>
              <w:bottom w:val="single" w:color="auto" w:sz="4" w:space="0"/>
              <w:right w:val="single" w:color="auto" w:sz="4" w:space="0"/>
            </w:tcBorders>
            <w:noWrap/>
            <w:vAlign w:val="bottom"/>
          </w:tcPr>
          <w:p>
            <w:pPr>
              <w:widowControl/>
              <w:jc w:val="left"/>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600" w:hRule="atLeast"/>
        </w:trPr>
        <w:tc>
          <w:tcPr>
            <w:tcW w:w="740" w:type="dxa"/>
            <w:tcBorders>
              <w:top w:val="nil"/>
              <w:left w:val="single" w:color="auto" w:sz="4" w:space="0"/>
              <w:bottom w:val="single" w:color="auto" w:sz="4" w:space="0"/>
              <w:right w:val="single" w:color="auto" w:sz="4" w:space="0"/>
            </w:tcBorders>
            <w:noWrap/>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总评</w:t>
            </w:r>
          </w:p>
        </w:tc>
        <w:tc>
          <w:tcPr>
            <w:tcW w:w="8240" w:type="dxa"/>
            <w:gridSpan w:val="10"/>
            <w:tcBorders>
              <w:top w:val="single" w:color="auto" w:sz="4" w:space="0"/>
              <w:left w:val="nil"/>
              <w:bottom w:val="single" w:color="auto" w:sz="4" w:space="0"/>
              <w:right w:val="single" w:color="000000" w:sz="4" w:space="0"/>
            </w:tcBorders>
            <w:noWrap/>
            <w:vAlign w:val="bottom"/>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　</w:t>
            </w:r>
          </w:p>
        </w:tc>
      </w:tr>
      <w:tr>
        <w:tblPrEx>
          <w:tblCellMar>
            <w:top w:w="0" w:type="dxa"/>
            <w:left w:w="108" w:type="dxa"/>
            <w:bottom w:w="0" w:type="dxa"/>
            <w:right w:w="108" w:type="dxa"/>
          </w:tblCellMar>
        </w:tblPrEx>
        <w:trPr>
          <w:trHeight w:val="570" w:hRule="atLeast"/>
        </w:trPr>
        <w:tc>
          <w:tcPr>
            <w:tcW w:w="740"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kern w:val="0"/>
                <w:sz w:val="22"/>
                <w:highlight w:val="none"/>
              </w:rPr>
            </w:pPr>
            <w:r>
              <w:rPr>
                <w:rFonts w:hint="eastAsia" w:ascii="宋体" w:hAnsi="宋体" w:cs="宋体"/>
                <w:kern w:val="0"/>
                <w:sz w:val="22"/>
                <w:highlight w:val="none"/>
              </w:rPr>
              <w:t>备注</w:t>
            </w:r>
          </w:p>
        </w:tc>
        <w:tc>
          <w:tcPr>
            <w:tcW w:w="8240" w:type="dxa"/>
            <w:gridSpan w:val="10"/>
            <w:tcBorders>
              <w:top w:val="single" w:color="auto" w:sz="4" w:space="0"/>
              <w:left w:val="nil"/>
              <w:bottom w:val="single" w:color="auto" w:sz="4" w:space="0"/>
              <w:right w:val="single" w:color="000000" w:sz="4" w:space="0"/>
            </w:tcBorders>
            <w:vAlign w:val="center"/>
          </w:tcPr>
          <w:p>
            <w:pPr>
              <w:widowControl/>
              <w:jc w:val="center"/>
              <w:rPr>
                <w:rFonts w:ascii="宋体" w:hAnsi="宋体" w:cs="宋体"/>
                <w:kern w:val="0"/>
                <w:sz w:val="24"/>
                <w:szCs w:val="24"/>
                <w:highlight w:val="none"/>
              </w:rPr>
            </w:pPr>
            <w:r>
              <w:rPr>
                <w:rFonts w:hint="eastAsia" w:ascii="宋体" w:hAnsi="宋体" w:cs="宋体"/>
                <w:kern w:val="0"/>
                <w:sz w:val="24"/>
                <w:szCs w:val="24"/>
                <w:highlight w:val="none"/>
              </w:rPr>
              <w:t>违犯规定10次以下为合格；10次（不含）以上20次以下为基本合格；20次（不含）以上为不合格。</w:t>
            </w:r>
          </w:p>
        </w:tc>
      </w:tr>
      <w:tr>
        <w:tblPrEx>
          <w:tblCellMar>
            <w:top w:w="0" w:type="dxa"/>
            <w:left w:w="108" w:type="dxa"/>
            <w:bottom w:w="0" w:type="dxa"/>
            <w:right w:w="108" w:type="dxa"/>
          </w:tblCellMar>
        </w:tblPrEx>
        <w:trPr>
          <w:trHeight w:val="312"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108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9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0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r>
      <w:tr>
        <w:tblPrEx>
          <w:tblCellMar>
            <w:top w:w="0" w:type="dxa"/>
            <w:left w:w="108" w:type="dxa"/>
            <w:bottom w:w="0" w:type="dxa"/>
            <w:right w:w="108" w:type="dxa"/>
          </w:tblCellMar>
        </w:tblPrEx>
        <w:trPr>
          <w:trHeight w:val="348" w:hRule="atLeast"/>
        </w:trPr>
        <w:tc>
          <w:tcPr>
            <w:tcW w:w="740" w:type="dxa"/>
            <w:tcBorders>
              <w:top w:val="nil"/>
              <w:left w:val="nil"/>
              <w:bottom w:val="nil"/>
              <w:right w:val="nil"/>
            </w:tcBorders>
            <w:noWrap/>
            <w:vAlign w:val="center"/>
          </w:tcPr>
          <w:p>
            <w:pPr>
              <w:widowControl/>
              <w:jc w:val="center"/>
              <w:rPr>
                <w:rFonts w:ascii="宋体" w:hAnsi="宋体" w:cs="宋体"/>
                <w:kern w:val="0"/>
                <w:sz w:val="24"/>
                <w:szCs w:val="24"/>
                <w:highlight w:val="none"/>
              </w:rPr>
            </w:pPr>
          </w:p>
        </w:tc>
        <w:tc>
          <w:tcPr>
            <w:tcW w:w="2540" w:type="dxa"/>
            <w:gridSpan w:val="3"/>
            <w:tcBorders>
              <w:top w:val="nil"/>
              <w:left w:val="nil"/>
              <w:bottom w:val="nil"/>
              <w:right w:val="nil"/>
            </w:tcBorders>
            <w:noWrap/>
            <w:vAlign w:val="bottom"/>
          </w:tcPr>
          <w:p>
            <w:pPr>
              <w:widowControl/>
              <w:jc w:val="left"/>
              <w:rPr>
                <w:rFonts w:ascii="宋体" w:hAnsi="宋体" w:cs="宋体"/>
                <w:kern w:val="0"/>
                <w:szCs w:val="28"/>
                <w:highlight w:val="none"/>
              </w:rPr>
            </w:pPr>
            <w:r>
              <w:rPr>
                <w:rFonts w:hint="eastAsia" w:ascii="宋体" w:hAnsi="宋体" w:cs="宋体"/>
                <w:kern w:val="0"/>
                <w:szCs w:val="28"/>
                <w:highlight w:val="none"/>
              </w:rPr>
              <w:t>网点负责人：</w:t>
            </w:r>
          </w:p>
        </w:tc>
        <w:tc>
          <w:tcPr>
            <w:tcW w:w="74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11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2360" w:type="dxa"/>
            <w:gridSpan w:val="3"/>
            <w:tcBorders>
              <w:top w:val="nil"/>
              <w:left w:val="nil"/>
              <w:bottom w:val="nil"/>
              <w:right w:val="nil"/>
            </w:tcBorders>
            <w:noWrap/>
            <w:vAlign w:val="bottom"/>
          </w:tcPr>
          <w:p>
            <w:pPr>
              <w:widowControl/>
              <w:jc w:val="left"/>
              <w:rPr>
                <w:rFonts w:ascii="宋体" w:hAnsi="宋体" w:cs="宋体"/>
                <w:kern w:val="0"/>
                <w:szCs w:val="28"/>
                <w:highlight w:val="none"/>
              </w:rPr>
            </w:pPr>
            <w:r>
              <w:rPr>
                <w:rFonts w:hint="eastAsia" w:ascii="宋体" w:hAnsi="宋体" w:cs="宋体"/>
                <w:kern w:val="0"/>
                <w:szCs w:val="28"/>
                <w:highlight w:val="none"/>
              </w:rPr>
              <w:t>被考评人签字：</w:t>
            </w:r>
          </w:p>
        </w:tc>
        <w:tc>
          <w:tcPr>
            <w:tcW w:w="72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c>
          <w:tcPr>
            <w:tcW w:w="760" w:type="dxa"/>
            <w:tcBorders>
              <w:top w:val="nil"/>
              <w:left w:val="nil"/>
              <w:bottom w:val="nil"/>
              <w:right w:val="nil"/>
            </w:tcBorders>
            <w:noWrap/>
            <w:vAlign w:val="bottom"/>
          </w:tcPr>
          <w:p>
            <w:pPr>
              <w:widowControl/>
              <w:jc w:val="left"/>
              <w:rPr>
                <w:rFonts w:ascii="宋体" w:hAnsi="宋体" w:cs="宋体"/>
                <w:kern w:val="0"/>
                <w:sz w:val="24"/>
                <w:szCs w:val="24"/>
                <w:highlight w:val="none"/>
              </w:rPr>
            </w:pPr>
          </w:p>
        </w:tc>
      </w:tr>
    </w:tbl>
    <w:p>
      <w:pPr>
        <w:adjustRightInd w:val="0"/>
        <w:snapToGrid w:val="0"/>
        <w:spacing w:line="560" w:lineRule="exact"/>
        <w:ind w:firstLine="633" w:firstLineChars="198"/>
        <w:rPr>
          <w:rFonts w:ascii="彩虹粗仿宋" w:hAnsi="宋体" w:eastAsia="彩虹粗仿宋" w:cs="Times New Roman"/>
          <w:snapToGrid w:val="0"/>
          <w:kern w:val="0"/>
          <w:sz w:val="32"/>
          <w:szCs w:val="32"/>
          <w:highlight w:val="yellow"/>
        </w:rPr>
      </w:pPr>
    </w:p>
    <w:p>
      <w:pPr>
        <w:widowControl/>
        <w:jc w:val="left"/>
        <w:rPr>
          <w:rFonts w:ascii="彩虹黑体" w:eastAsia="彩虹黑体"/>
          <w:b/>
          <w:bCs/>
          <w:kern w:val="44"/>
          <w:sz w:val="44"/>
          <w:szCs w:val="44"/>
          <w:highlight w:val="yellow"/>
        </w:rPr>
      </w:pPr>
      <w:r>
        <w:rPr>
          <w:rFonts w:ascii="彩虹黑体" w:eastAsia="彩虹黑体"/>
          <w:highlight w:val="yellow"/>
        </w:rPr>
        <w:br w:type="page"/>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黑体">
    <w:panose1 w:val="03000509000000000000"/>
    <w:charset w:val="86"/>
    <w:family w:val="script"/>
    <w:pitch w:val="default"/>
    <w:sig w:usb0="00000001" w:usb1="080E0000" w:usb2="00000000" w:usb3="00000000" w:csb0="00040000" w:csb1="00000000"/>
  </w:font>
  <w:font w:name="彩虹粗仿宋">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彩虹楷体">
    <w:panose1 w:val="03000509000000000000"/>
    <w:charset w:val="86"/>
    <w:family w:val="script"/>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0162B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table" w:styleId="4">
    <w:name w:val="Table Grid"/>
    <w:basedOn w:val="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2024-05-22T10:10:04Z</dcterms:created>
  <dc:creator>haccb</dc:creator>
  <cp:lastModifiedBy>haccb</cp:lastModifiedBy>
  <dcterms:modified xsi:type="dcterms:W3CDTF">2024-05-22T10:10:34Z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B9ABA8E9A7C1406B901CF5AF3189338B_12</vt:lpwstr>
  </property>
</Properties>
</file>