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outlineLvl w:val="0"/>
        <w:rPr>
          <w:rFonts w:ascii="彩虹小标宋" w:hAnsi="宋体" w:eastAsia="彩虹小标宋"/>
          <w:bCs/>
          <w:snapToGrid w:val="0"/>
          <w:kern w:val="0"/>
          <w:sz w:val="36"/>
          <w:szCs w:val="36"/>
        </w:rPr>
      </w:pPr>
      <w:r>
        <w:rPr>
          <w:rFonts w:hint="eastAsia" w:ascii="彩虹小标宋" w:hAnsi="宋体" w:eastAsia="彩虹小标宋"/>
          <w:bCs/>
          <w:snapToGrid w:val="0"/>
          <w:kern w:val="0"/>
          <w:sz w:val="36"/>
          <w:szCs w:val="36"/>
          <w:highlight w:val="yellow"/>
        </w:rPr>
        <w:t>舞钢支行公安110联网报警服务、舞钢支行钞币押运服务、舞钢支行保安服务外包项目</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rPr>
          <w:rStyle w:val="4"/>
          <w:rFonts w:ascii="彩虹粗仿宋" w:hAnsi="微软雅黑" w:eastAsia="彩虹粗仿宋"/>
          <w:sz w:val="32"/>
          <w:szCs w:val="32"/>
        </w:rPr>
      </w:pPr>
      <w:r>
        <w:rPr>
          <w:rStyle w:val="4"/>
          <w:rFonts w:hint="eastAsia" w:ascii="彩虹粗仿宋" w:hAnsi="微软雅黑" w:eastAsia="彩虹粗仿宋"/>
          <w:sz w:val="32"/>
          <w:szCs w:val="32"/>
        </w:rPr>
        <w:t xml:space="preserve">   （一）具有独立法人资格，有效的营业执照，以及公安机关颁发的武装守护、押运、和保安服务等保安服务许可证；</w:t>
      </w:r>
    </w:p>
    <w:p>
      <w:pPr>
        <w:adjustRightInd w:val="0"/>
        <w:snapToGrid w:val="0"/>
        <w:spacing w:line="560" w:lineRule="exact"/>
        <w:rPr>
          <w:rStyle w:val="4"/>
          <w:rFonts w:ascii="彩虹粗仿宋" w:hAnsi="微软雅黑" w:eastAsia="彩虹粗仿宋"/>
          <w:sz w:val="32"/>
          <w:szCs w:val="32"/>
        </w:rPr>
      </w:pPr>
      <w:r>
        <w:rPr>
          <w:rStyle w:val="4"/>
          <w:rFonts w:hint="eastAsia" w:ascii="彩虹粗仿宋" w:hAnsi="微软雅黑" w:eastAsia="彩虹粗仿宋"/>
          <w:sz w:val="32"/>
          <w:szCs w:val="32"/>
        </w:rPr>
        <w:t xml:space="preserve">   （二）正常经营，财务状况良好，提供近三年（202</w:t>
      </w:r>
      <w:r>
        <w:rPr>
          <w:rStyle w:val="4"/>
          <w:rFonts w:hint="eastAsia" w:ascii="彩虹粗仿宋" w:hAnsi="微软雅黑" w:eastAsia="彩虹粗仿宋"/>
          <w:sz w:val="32"/>
          <w:szCs w:val="32"/>
          <w:lang w:val="en-US" w:eastAsia="zh-CN"/>
        </w:rPr>
        <w:t>0</w:t>
      </w:r>
      <w:r>
        <w:rPr>
          <w:rStyle w:val="4"/>
          <w:rFonts w:ascii="彩虹粗仿宋" w:hAnsi="微软雅黑" w:eastAsia="彩虹粗仿宋"/>
          <w:sz w:val="32"/>
          <w:szCs w:val="32"/>
        </w:rPr>
        <w:t>年-202</w:t>
      </w:r>
      <w:r>
        <w:rPr>
          <w:rStyle w:val="4"/>
          <w:rFonts w:hint="eastAsia" w:ascii="彩虹粗仿宋" w:hAnsi="微软雅黑" w:eastAsia="彩虹粗仿宋"/>
          <w:sz w:val="32"/>
          <w:szCs w:val="32"/>
          <w:lang w:val="en-US" w:eastAsia="zh-CN"/>
        </w:rPr>
        <w:t>2</w:t>
      </w:r>
      <w:r>
        <w:rPr>
          <w:rStyle w:val="4"/>
          <w:rFonts w:ascii="彩虹粗仿宋" w:hAnsi="微软雅黑" w:eastAsia="彩虹粗仿宋"/>
          <w:sz w:val="32"/>
          <w:szCs w:val="32"/>
        </w:rPr>
        <w:t>年）的经审计的财务报告或财务报表（新成立企业从成立日计算）</w:t>
      </w:r>
    </w:p>
    <w:p>
      <w:pPr>
        <w:adjustRightInd w:val="0"/>
        <w:snapToGrid w:val="0"/>
        <w:spacing w:line="560" w:lineRule="exact"/>
        <w:rPr>
          <w:rStyle w:val="4"/>
          <w:rFonts w:ascii="彩虹粗仿宋" w:hAnsi="微软雅黑" w:eastAsia="彩虹粗仿宋"/>
          <w:sz w:val="32"/>
          <w:szCs w:val="32"/>
        </w:rPr>
      </w:pPr>
      <w:r>
        <w:rPr>
          <w:rStyle w:val="4"/>
          <w:rFonts w:hint="eastAsia" w:ascii="彩虹粗仿宋" w:hAnsi="微软雅黑" w:eastAsia="彩虹粗仿宋"/>
          <w:sz w:val="32"/>
          <w:szCs w:val="32"/>
        </w:rPr>
        <w:t xml:space="preserve">   （三）具有固定的办公场所、健全的组织管理机构。</w:t>
      </w:r>
    </w:p>
    <w:p>
      <w:pPr>
        <w:adjustRightInd w:val="0"/>
        <w:snapToGrid w:val="0"/>
        <w:spacing w:line="560" w:lineRule="exact"/>
        <w:ind w:firstLine="420"/>
        <w:rPr>
          <w:rStyle w:val="4"/>
          <w:rFonts w:ascii="彩虹粗仿宋" w:hAnsi="微软雅黑" w:eastAsia="彩虹粗仿宋"/>
          <w:sz w:val="32"/>
          <w:szCs w:val="32"/>
        </w:rPr>
      </w:pPr>
      <w:r>
        <w:rPr>
          <w:rStyle w:val="4"/>
          <w:rFonts w:hint="eastAsia" w:ascii="彩虹粗仿宋" w:hAnsi="微软雅黑" w:eastAsia="彩虹粗仿宋"/>
          <w:sz w:val="32"/>
          <w:szCs w:val="32"/>
        </w:rPr>
        <w:t>（四）2021年1月1日以来具有</w:t>
      </w:r>
      <w:r>
        <w:rPr>
          <w:rStyle w:val="4"/>
          <w:rFonts w:ascii="彩虹粗仿宋" w:hAnsi="微软雅黑" w:eastAsia="彩虹粗仿宋"/>
          <w:sz w:val="32"/>
          <w:szCs w:val="32"/>
        </w:rPr>
        <w:t>同类项目经验（提供合同）。</w:t>
      </w:r>
    </w:p>
    <w:p>
      <w:pPr>
        <w:adjustRightInd w:val="0"/>
        <w:snapToGrid w:val="0"/>
        <w:spacing w:line="560" w:lineRule="exact"/>
        <w:ind w:firstLine="420"/>
        <w:rPr>
          <w:rStyle w:val="4"/>
          <w:rFonts w:hint="eastAsia" w:ascii="彩虹粗仿宋" w:hAnsi="微软雅黑" w:eastAsia="彩虹粗仿宋"/>
          <w:sz w:val="32"/>
          <w:szCs w:val="32"/>
        </w:rPr>
      </w:pPr>
      <w:r>
        <w:rPr>
          <w:rStyle w:val="4"/>
          <w:rFonts w:hint="eastAsia" w:ascii="彩虹粗仿宋" w:hAnsi="微软雅黑" w:eastAsia="彩虹粗仿宋"/>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420"/>
        <w:rPr>
          <w:rStyle w:val="4"/>
          <w:rFonts w:hint="eastAsia" w:ascii="彩虹粗仿宋" w:hAnsi="微软雅黑" w:eastAsia="彩虹粗仿宋"/>
          <w:sz w:val="32"/>
          <w:szCs w:val="32"/>
        </w:rPr>
      </w:pPr>
      <w:r>
        <w:rPr>
          <w:rStyle w:val="4"/>
          <w:rFonts w:hint="eastAsia" w:ascii="彩虹粗仿宋" w:hAnsi="微软雅黑" w:eastAsia="彩虹粗仿宋"/>
          <w:sz w:val="32"/>
          <w:szCs w:val="32"/>
        </w:rPr>
        <w:t>（六）本项目不允许联合体投标，不允许分包或转包。</w:t>
      </w:r>
    </w:p>
    <w:p>
      <w:pPr>
        <w:adjustRightInd w:val="0"/>
        <w:snapToGrid w:val="0"/>
        <w:spacing w:line="560" w:lineRule="exact"/>
        <w:ind w:firstLine="420"/>
        <w:rPr>
          <w:rStyle w:val="4"/>
          <w:rFonts w:hint="eastAsia" w:ascii="彩虹粗仿宋" w:hAnsi="微软雅黑" w:eastAsia="彩虹粗仿宋"/>
          <w:sz w:val="32"/>
          <w:szCs w:val="32"/>
        </w:rPr>
      </w:pPr>
      <w:r>
        <w:rPr>
          <w:rStyle w:val="4"/>
          <w:rFonts w:hint="eastAsia" w:ascii="彩虹粗仿宋" w:hAnsi="微软雅黑" w:eastAsia="彩虹粗仿宋"/>
          <w:sz w:val="32"/>
          <w:szCs w:val="32"/>
        </w:rPr>
        <w:t>（七）</w:t>
      </w:r>
      <w:bookmarkStart w:id="0" w:name="_GoBack"/>
      <w:r>
        <w:rPr>
          <w:rStyle w:val="4"/>
          <w:rFonts w:hint="eastAsia" w:ascii="彩虹粗仿宋" w:hAnsi="微软雅黑" w:eastAsia="彩虹粗仿宋"/>
          <w:sz w:val="32"/>
          <w:szCs w:val="32"/>
        </w:rPr>
        <w:t>外商独资、中外合资、中外合作的保安公司不得参与（根据保安服务管理条例第二十二条规定）。</w:t>
      </w:r>
      <w:bookmarkEnd w:id="0"/>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2"/>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品类编码</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品类编码</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安防、值守及巡查服务</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C2109</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监控报警专线服务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C1303</w:t>
            </w:r>
          </w:p>
        </w:tc>
        <w:tc>
          <w:tcPr>
            <w:tcW w:w="3240"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押运服务</w:t>
            </w:r>
          </w:p>
        </w:tc>
        <w:tc>
          <w:tcPr>
            <w:tcW w:w="1659"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C130301</w:t>
            </w:r>
          </w:p>
        </w:tc>
        <w:tc>
          <w:tcPr>
            <w:tcW w:w="2686"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shd w:val="clear" w:color="auto" w:fill="auto"/>
            <w:vAlign w:val="center"/>
          </w:tcPr>
          <w:p>
            <w:pPr>
              <w:adjustRightInd w:val="0"/>
              <w:snapToGrid w:val="0"/>
              <w:spacing w:line="560" w:lineRule="exact"/>
              <w:jc w:val="center"/>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napToGrid w:val="0"/>
          <w:color w:val="000000"/>
          <w:kern w:val="0"/>
          <w:sz w:val="32"/>
          <w:szCs w:val="32"/>
        </w:rPr>
        <w:t>1、公安110联网报警服务：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2、钞币押运服务：供应商负责向业务点（上门服务点）早、晚营业尾款箱（包）的按时接送、解款、押运，尾款箱（包）的入库守护；自助设备加钞、清机的武装押运；上门服务。</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注：业务点（是指营业场所、自助设备、上门服务点）的早、晚营业尾款箱（包）接送；业务点营业期间提缴现金；业务点配送外币、实物黄金；离行式自助（设备）银行收、送现金；我行客户上门收、送现金；业务点之间的票据、紧急公文等重要物品传递或者因业务需要产生的临时押运事项等提供武装押运服务。</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3、保安服务：营业网点营业期间保安值守和消防控制室值守服务；包括但不限于：</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（1）对指定的营业网点保安值守，维护场所的正常营业和办公秩序。</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2）营业前款车送款包清场、警戒、护送及突发事件时处置；营业期间柜台外警戒巡查、自助设备巡查、进入营业网点可疑人员盘查、遇有不法分子侵害时的应急处置；营业终了场所清场、款车接款包警戒、护送及突发事件时处置。</w:t>
      </w:r>
    </w:p>
    <w:p>
      <w:pPr>
        <w:adjustRightInd w:val="0"/>
        <w:snapToGrid w:val="0"/>
        <w:spacing w:line="560" w:lineRule="exact"/>
        <w:ind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（3）对发生的群体性事件的应急响应。（四）负责：其它临时性的工作。</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（4）值勤保安应着装整齐、文明执勤、尽职尽责。如遇突发事件，应履职尽责，依法处理。</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600" w:lineRule="exact"/>
        <w:ind w:firstLine="640" w:firstLineChars="200"/>
        <w:jc w:val="left"/>
        <w:rPr>
          <w:rFonts w:hint="eastAsia"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1、人员政治上可靠，遵守国家法律、法规，无不良行为记录、身体健康、着统一服装，年龄在55周岁以下。</w:t>
      </w:r>
    </w:p>
    <w:p>
      <w:pPr>
        <w:adjustRightInd w:val="0"/>
        <w:snapToGrid w:val="0"/>
        <w:spacing w:line="600" w:lineRule="exact"/>
        <w:ind w:firstLine="640" w:firstLineChars="200"/>
        <w:jc w:val="left"/>
        <w:rPr>
          <w:rFonts w:hint="eastAsia"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2、团队人员经过专业培训，具备一定的专业技能，能正确处理服务中出现的各种情况并进行有效处置。</w:t>
      </w:r>
    </w:p>
    <w:p>
      <w:pPr>
        <w:adjustRightInd w:val="0"/>
        <w:snapToGrid w:val="0"/>
        <w:spacing w:line="600" w:lineRule="exact"/>
        <w:ind w:firstLine="640" w:firstLineChars="200"/>
        <w:jc w:val="left"/>
        <w:rPr>
          <w:rFonts w:hint="eastAsia"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3、所派人员须按国家规定持证上岗，必须认真执行国家有关规定及要求。如由于所派人员违反规定，造成财产损失和人员伤亡的，供应商负全部责任。</w:t>
      </w:r>
    </w:p>
    <w:p>
      <w:pPr>
        <w:adjustRightInd w:val="0"/>
        <w:snapToGrid w:val="0"/>
        <w:spacing w:line="600" w:lineRule="exact"/>
        <w:ind w:firstLine="640" w:firstLineChars="200"/>
        <w:jc w:val="left"/>
        <w:rPr>
          <w:rFonts w:hint="eastAsia"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4、供应商公司服务人员按照我行的要求完成每次的工作任务，遵章守纪，合规履职；</w:t>
      </w:r>
    </w:p>
    <w:p>
      <w:pPr>
        <w:adjustRightInd w:val="0"/>
        <w:snapToGrid w:val="0"/>
        <w:spacing w:line="600" w:lineRule="exact"/>
        <w:ind w:firstLine="640" w:firstLineChars="200"/>
        <w:jc w:val="left"/>
        <w:rPr>
          <w:rFonts w:hint="eastAsia"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5、（1）公安110联网报警服务：（一）团队负责人开展110联网报警服务2年以上；（二）团队人员经过专业培训，能正常维修设备故障；（三）供应商公司服务人员按照我行的要求完成每次的工作任务，遵章守纪，合规履职；（四）服务团队为我行服务人员提供营运期间的支持保障及应急工作；（五）团队人员具备一定的专业技能，能正确处理服务中出现的各种情况并进行有效处置。（2）武装押运服务：（一）服务团队人员经过专业培训，符合武装守护要求，持保安员证上岗。（二）押运公司应提供至少2路制式押运车组，全部采用符合规定的制式防弹运钞车，并配备符号当地公安要求的通讯系统设备和视频监控系统设备或卫星定位系统设备。每车组不低于5人（含2名押运人员、2名款箱员和1名驾驶员），总数不低于10人（不含守押公司驻行联系人）；外包服务人员经过专业培训，符合武装守护要求，持证上岗。（三）驻行车组及人员按照我行的要求完成每次的任务，遵章守纪，合规履职。（四）所用车辆办理有车险、押运标底物办理有保险、从业人员办理有人身意外险。（五）守押公司承诺为我行车组人员提供营运期间的支持保障及应急工作。（3）保安服务：（一）人员政治上可靠，遵守国家法律、法规，无不良行为记录、身体健康、着统一服装，年龄在55周岁以下。（二）具备一定的专业技能，能正确处理服务中出现的各种情况并进行有效处置。（三）所派人员须按国家规定持证上岗，必须认真执行国家有关规定及要求。如由于所派人员违反规定，造成财产损失和人员伤亡的，供应商负全部责任。</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1）公安110联网报警服务：供应商应确保与公安局“110”报警服务平台的信息畅通，达到公安部门服务的要求。做好所辖110报警设备日常的故障排查工作，确保技术人员配备，保障设备良好运行。（2）武装押运服务：（一）供应商承诺提供合格的服务，接受我行对其工作的指导和监督。（二）供应商配备必要的制式押运车辆、枪械和钞币运送人员。（三）供应商负责与服务人员签订符合《劳动法》的正式合同，负责劳动用工以及涉及劳动关系管理的所有事宜。并承诺基本保障性工资不低于所在工作地区最低工资标准，按照国家规定缴纳社会保险等。（四）.供应商负责制定与受托业务相关的内控制度、操作规程、人员考核等办法，并报我行备案；未经我行书面同意，外包公司不得将其在协议约定项下全部或部分权利义务转让或分包给任意第三方。（五）供应商派驻的服务人员应经过培训，并取得上岗资格证。（六）供应商派驻的服务人员未经允许，不得进入我方营业柜台等场所，不得以任何手段窃取、泄漏我方商业机密，不得干涉我方的正常经营。（七）专用运钞车内应按规定安装报警、电视监控、通讯器材、配备必要消防器材。（八）运钞车应按时停靠在我行指定的地点，保证随叫随到，准时、安全地将押运物送达我行要求的地点。出入我行营业场所的押运物在该营业场所现金业务区联动互锁门以内的视频监控下进行交接，守护人员按规定着装。（3）保安服务：（一）严格按照我行的服务需求，配备和提供外包人员。不得泄漏任何我行的业务信息。（二）供应商负责制定与受托业务相关的内控制度、操作规程、人员考核等办法，并报我行备案；未经我行书面同意，不得将其在协议约定项下任一事项转让或分包给第三方。（三）供应商负责与保安人员签订符合《劳动法》的正式合同，负责劳动用工以及涉及劳动关系管理的所有事宜。供应商应承诺外包人员的基本保障性工资不低于所在工作地区最低工资标准，按照国家规定缴纳社会保险等。（四）供应商应对派驻我行的人员进行业务知识培训，并达到国家承认的上岗资格，做到持证上岗。派往我行的人员非必要，不得进入我行营业柜台等场所，不得从事本岗位工作职责以外的工作。执勤期间，按照合同约定着装持械上岗。定期进行应急预案演练。（五）供应商按照服务内容开展巡查工作，并加强巡查人员的管理，对巡查人员必须进行岗前培训。巡查过程中发现可疑情况必须立即处置上报。（六）供应商履行的职责，按时保质保量完服务内容，配合我行完成阶段性和临时性任务，配合完成其他与外包事项有关的合理性工作，如各类安全检查、突发事件处置等。服务人员如在为我行提供服务过程中发生一切人身意外伤害或造成我行及客户的人身、财产损失，均由供应商负全责。供应商制定符合我行要求的规章制度、工作纪律、要求，以及相关客户服务制度，并要求外包服务人员严格执行，避免因不规范服务或过度服务引发风险。（七）职业道德要求，自觉维护我行利益，在工作中必须维护我行形象，规范服务用语、尊重客户、不得与客户发生争吵或冲突；造成客户投诉，应第一时间向服务机构负责人汇报情况，不得推诿隐瞒，不得引起客户投诉的升级。主动与我行员工相互协作、相互支持、相互配合，营造融洽的合作氛围。仪容仪表要求：发型大方，保持头发整洁，不得留怪异发型和染异色，工作时间不得佩戴墨镜。男性不得蓄长发、留胡须、佩戴项链。女性可适度化妆，不浓妆艳抹，不使用气味强烈的化妆品；不得留长指甲，不得涂有色指甲；不得佩戴耳坠或大耳环。供应商制定自身的员工礼仪规范，应要求外包服务人员严格执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公安110联网报警服务：（1）日常管理、监督和检查。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2）明确责任，防范风险。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2"/>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武装押运服务：（1）日常管理、监督和检查。钞币运送和守护业务应按规程操作。定期对外包服务进行检查，每季度至少开展一次检查，每季度召开一次联席会，对检查发现问题及时通报供应商，限期整改和落实，每年度结束后形成年度评估报告。服务监督管理实行“对事不对人”，供应商负责服务人员的招聘、管理、考核、薪酬发放等工作，我行负责监督检查外包公司服务的数量、质量、应急处置。</w:t>
      </w:r>
    </w:p>
    <w:p>
      <w:pPr>
        <w:adjustRightInd w:val="0"/>
        <w:snapToGrid w:val="0"/>
        <w:spacing w:line="600" w:lineRule="exact"/>
        <w:ind w:firstLine="640" w:firstLineChars="200"/>
        <w:jc w:val="left"/>
        <w:outlineLvl w:val="2"/>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保安服务：（1）日常管理、监督和检查。我行负责外包人员的业务培训和规范操作，指导、监督保安服务人员按章办事，在安保服务过程中协助做好办公、营业场所经营秩序的同时，维护员工、客户的人身和财产安全，不得从事岗位职责以外的工作。按照我行的要求，每季度至少开展一次服务检查，并形成检查报告，召开联席会对检查中发现的问题及时通报供应商，限期整改和落实，每年度结束后形成年度评估报告。（2）明确责任，防范风险。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监督管理实行“对事不对人”，明确人员招聘、管理、考核、薪酬发放等均由供应商负责，我行负责监督检查服务质量和应急处置。供应商通过工作合同、规章对外包服务人员的行为做出约束，与服务人员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kern w:val="0"/>
          <w:sz w:val="32"/>
          <w:szCs w:val="32"/>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公安110联网报警：（1）每个点报警主机联网率达到100%,探测设备故障能在24小时内解决按“合格”，总体合格档次支付全额服务费用。（2）单点报警主机联网率未达到100%,探测设备故障不能在24小时内解决按“不合格”，扣除该点报警服务费。（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600" w:lineRule="exact"/>
        <w:ind w:firstLine="640" w:firstLineChars="200"/>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2、武装押运服务：供应商应按照我行要求准确及时运送标的物并保证其正常，全部正常为合格；如出现标的物的遗失或损坏为不合格，供应商应照价赔偿并接受每次10000元的考核。</w:t>
      </w:r>
    </w:p>
    <w:p>
      <w:pPr>
        <w:adjustRightInd w:val="0"/>
        <w:snapToGrid w:val="0"/>
        <w:spacing w:line="600" w:lineRule="exact"/>
        <w:ind w:firstLine="640" w:firstLineChars="200"/>
        <w:jc w:val="left"/>
        <w:rPr>
          <w:rFonts w:hint="eastAsia" w:ascii="彩虹粗仿宋" w:hAnsi="彩虹粗仿宋" w:eastAsia="彩虹粗仿宋" w:cs="彩虹粗仿宋"/>
          <w:snapToGrid w:val="0"/>
          <w:kern w:val="0"/>
          <w:sz w:val="32"/>
          <w:szCs w:val="32"/>
        </w:rPr>
      </w:pPr>
      <w:r>
        <w:rPr>
          <w:rFonts w:ascii="彩虹粗仿宋" w:hAnsi="彩虹粗仿宋" w:eastAsia="彩虹粗仿宋" w:cs="彩虹粗仿宋"/>
          <w:snapToGrid w:val="0"/>
          <w:kern w:val="0"/>
          <w:sz w:val="32"/>
          <w:szCs w:val="32"/>
        </w:rPr>
        <w:t>3</w:t>
      </w:r>
      <w:r>
        <w:rPr>
          <w:rFonts w:hint="eastAsia" w:ascii="彩虹粗仿宋" w:hAnsi="彩虹粗仿宋" w:eastAsia="彩虹粗仿宋" w:cs="彩虹粗仿宋"/>
          <w:snapToGrid w:val="0"/>
          <w:kern w:val="0"/>
          <w:sz w:val="32"/>
          <w:szCs w:val="32"/>
        </w:rPr>
        <w:t>、保安服务：安全保卫部每月组织开展服务测评，并根据《保安服务测评表》出具测评结果，合格岗位占服务总岗位90%（含）以上为总体合格、80%（含）以上90%以下为基本合格、80%以下为不合格，按总体合格、基本合格、不合格三个档次支付服务费用。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600" w:lineRule="exact"/>
        <w:ind w:firstLine="640" w:firstLineChars="200"/>
        <w:jc w:val="left"/>
        <w:outlineLvl w:val="1"/>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1、公安110联网服务：（一）报警监控：</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二）设备巡检：全年为我行网点的联网报警系统每季度进行1次全面的检修。（三）设备日常维修维护：做好营业场所和办公楼等重点部位110联网线路设备和报警系统的的日常维护。（四）人员培训：对我行人员每季度提供1次安保设施设备维护使用培训。（五）警情处置：供应商与“110”指挥中心24小时共同接收紧急报警信号，及时通知反馈处理。</w:t>
      </w:r>
    </w:p>
    <w:p>
      <w:pPr>
        <w:adjustRightInd w:val="0"/>
        <w:snapToGrid w:val="0"/>
        <w:spacing w:line="600" w:lineRule="exact"/>
        <w:ind w:firstLine="640" w:firstLineChars="200"/>
        <w:jc w:val="left"/>
        <w:outlineLvl w:val="1"/>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武装押运服务：供应商应在每天早上根据我行营业场所营业时间之前将款箱（包）准时送到；在每天约定的时间内将营业场所营业用款箱（包）准时接回金库、负责清机加钞、上门收款等业务服务。押运人员执勤的工作时间与网点营业时间保持一致，接受我行的安全业务检查，每人每周工作时间符合国家法定工作时间。</w:t>
      </w:r>
    </w:p>
    <w:p>
      <w:pPr>
        <w:adjustRightInd w:val="0"/>
        <w:snapToGrid w:val="0"/>
        <w:spacing w:line="600" w:lineRule="exact"/>
        <w:ind w:firstLine="640" w:firstLineChars="200"/>
        <w:jc w:val="left"/>
        <w:outlineLvl w:val="1"/>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保安服务：负责舞钢支行及其辖属石漫滩支行、寺坡支行共3个营业网点营业期间保安值守服务和舞钢支行消防控制室值守服务。上述“网点营业期间保安值守服务”保安人员执勤的工作时间与网点营业时间保持一致。</w:t>
      </w:r>
    </w:p>
    <w:p>
      <w:pPr>
        <w:adjustRightInd w:val="0"/>
        <w:snapToGrid w:val="0"/>
        <w:spacing w:line="560" w:lineRule="exact"/>
        <w:ind w:firstLine="640" w:firstLineChars="200"/>
        <w:outlineLvl w:val="0"/>
        <w:rPr>
          <w:rFonts w:hint="eastAsia"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1、公安110联网报警服务：</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rPr>
          <w:trHeight w:val="540" w:hRule="atLeast"/>
        </w:trPr>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备注</w:t>
            </w:r>
          </w:p>
        </w:tc>
      </w:tr>
      <w:tr>
        <w:tblPrEx>
          <w:tblCellMar>
            <w:top w:w="0" w:type="dxa"/>
            <w:left w:w="108" w:type="dxa"/>
            <w:bottom w:w="0" w:type="dxa"/>
            <w:right w:w="108" w:type="dxa"/>
          </w:tblCellMar>
        </w:tblPrEx>
        <w:trPr>
          <w:trHeight w:val="1500" w:hRule="atLeast"/>
        </w:trPr>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平顶山分行</w:t>
            </w:r>
          </w:p>
        </w:tc>
        <w:tc>
          <w:tcPr>
            <w:tcW w:w="1602"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对平顶山分行</w:t>
            </w:r>
            <w:r>
              <w:rPr>
                <w:rFonts w:hint="eastAsia" w:ascii="宋体" w:hAnsi="宋体" w:cs="宋体"/>
                <w:color w:val="000000"/>
                <w:kern w:val="0"/>
                <w:sz w:val="22"/>
                <w:highlight w:val="yellow"/>
                <w:lang w:bidi="ar"/>
              </w:rPr>
              <w:t>舞钢网点</w:t>
            </w:r>
            <w:r>
              <w:rPr>
                <w:rFonts w:hint="eastAsia" w:ascii="宋体" w:hAnsi="宋体" w:cs="宋体"/>
                <w:color w:val="000000"/>
                <w:kern w:val="0"/>
                <w:sz w:val="22"/>
                <w:lang w:bidi="ar"/>
              </w:rPr>
              <w:t>、辖属离行式自助银行等，提供监控、处置、维护等服务</w:t>
            </w:r>
          </w:p>
        </w:tc>
        <w:tc>
          <w:tcPr>
            <w:tcW w:w="75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5</w:t>
            </w:r>
          </w:p>
        </w:tc>
        <w:tc>
          <w:tcPr>
            <w:tcW w:w="163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舞钢3营业网点（含附行自助）、2个离行式自助银行的报警设施维护巡检服务项目，</w:t>
            </w:r>
            <w:r>
              <w:rPr>
                <w:rFonts w:hint="eastAsia" w:ascii="宋体" w:hAnsi="宋体" w:cs="宋体"/>
                <w:color w:val="000000"/>
                <w:kern w:val="0"/>
                <w:sz w:val="22"/>
                <w:highlight w:val="yellow"/>
                <w:lang w:bidi="ar"/>
              </w:rPr>
              <w:t>共计5个物理点位</w:t>
            </w:r>
            <w:r>
              <w:rPr>
                <w:rFonts w:hint="eastAsia" w:ascii="宋体" w:hAnsi="宋体" w:cs="宋体"/>
                <w:color w:val="000000"/>
                <w:kern w:val="0"/>
                <w:sz w:val="22"/>
                <w:lang w:bidi="ar"/>
              </w:rPr>
              <w:t>。</w:t>
            </w:r>
          </w:p>
        </w:tc>
      </w:tr>
    </w:tbl>
    <w:p>
      <w:pPr>
        <w:adjustRightInd w:val="0"/>
        <w:snapToGrid w:val="0"/>
        <w:spacing w:line="600" w:lineRule="exact"/>
        <w:ind w:firstLine="640" w:firstLineChars="200"/>
        <w:jc w:val="left"/>
        <w:outlineLvl w:val="1"/>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2、武装押运服务：为保障我行业务安全运营，预计本年度共需求2台押运车辆。</w:t>
      </w:r>
    </w:p>
    <w:p>
      <w:pPr>
        <w:adjustRightInd w:val="0"/>
        <w:snapToGrid w:val="0"/>
        <w:spacing w:line="600" w:lineRule="exact"/>
        <w:ind w:firstLine="640" w:firstLineChars="200"/>
        <w:jc w:val="left"/>
        <w:outlineLvl w:val="1"/>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保安服务：（一）服务区域：上述保安值守服务区域均要求为我行营业网点。（二）岗位数量：上述保安值守服务要求每值守岗位保安人员不少于2人次，值守时间为我行营业网点开门营业时间；每人每周工作时间符合国家法定工作时间。</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每月服务费为年度服务费用的1/12，按月对供应商服务情况进行考核，供应商根据考核结果为“合格”根据出具的增值税专用发票付款，考核结果为“不合格”扣除考核款项后付款，按月结算支付。</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33" w:firstLineChars="198"/>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本次采购项目三个标的按照下表计量单位和数量、单价进行含税报价，超过预算为无效报价。</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7"/>
        <w:gridCol w:w="1217"/>
        <w:gridCol w:w="162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0" w:type="dxa"/>
            <w:gridSpan w:val="6"/>
            <w:shd w:val="clear" w:color="auto" w:fill="auto"/>
          </w:tcPr>
          <w:p>
            <w:pPr>
              <w:adjustRightInd w:val="0"/>
              <w:snapToGrid w:val="0"/>
              <w:spacing w:line="560" w:lineRule="exac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预算价：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商品名称</w:t>
            </w:r>
          </w:p>
        </w:tc>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商品描述</w:t>
            </w:r>
          </w:p>
        </w:tc>
        <w:tc>
          <w:tcPr>
            <w:tcW w:w="1217"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计量单位</w:t>
            </w:r>
          </w:p>
        </w:tc>
        <w:tc>
          <w:tcPr>
            <w:tcW w:w="1217"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数量</w:t>
            </w:r>
          </w:p>
        </w:tc>
        <w:tc>
          <w:tcPr>
            <w:tcW w:w="162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单价（元）</w:t>
            </w:r>
          </w:p>
        </w:tc>
        <w:tc>
          <w:tcPr>
            <w:tcW w:w="1843"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舞钢110联网报警项目</w:t>
            </w:r>
          </w:p>
        </w:tc>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公安110联网报警</w:t>
            </w:r>
          </w:p>
        </w:tc>
        <w:tc>
          <w:tcPr>
            <w:tcW w:w="1217"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元/月/点</w:t>
            </w:r>
          </w:p>
        </w:tc>
        <w:tc>
          <w:tcPr>
            <w:tcW w:w="1217"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60</w:t>
            </w:r>
          </w:p>
        </w:tc>
        <w:tc>
          <w:tcPr>
            <w:tcW w:w="162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324</w:t>
            </w:r>
          </w:p>
        </w:tc>
        <w:tc>
          <w:tcPr>
            <w:tcW w:w="1843"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19440.00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舞钢支行钞币运送服务项目</w:t>
            </w:r>
          </w:p>
        </w:tc>
        <w:tc>
          <w:tcPr>
            <w:tcW w:w="1216" w:type="dxa"/>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钞币运送服务</w:t>
            </w:r>
          </w:p>
        </w:tc>
        <w:tc>
          <w:tcPr>
            <w:tcW w:w="1217" w:type="dxa"/>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元/车组/年</w:t>
            </w:r>
          </w:p>
        </w:tc>
        <w:tc>
          <w:tcPr>
            <w:tcW w:w="1217" w:type="dxa"/>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2</w:t>
            </w:r>
          </w:p>
        </w:tc>
        <w:tc>
          <w:tcPr>
            <w:tcW w:w="162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140000</w:t>
            </w:r>
          </w:p>
        </w:tc>
        <w:tc>
          <w:tcPr>
            <w:tcW w:w="1843"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舞钢支行保安服务项目</w:t>
            </w:r>
          </w:p>
        </w:tc>
        <w:tc>
          <w:tcPr>
            <w:tcW w:w="1216" w:type="dxa"/>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保安服务</w:t>
            </w:r>
          </w:p>
        </w:tc>
        <w:tc>
          <w:tcPr>
            <w:tcW w:w="1217" w:type="dxa"/>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元/岗/月</w:t>
            </w:r>
          </w:p>
        </w:tc>
        <w:tc>
          <w:tcPr>
            <w:tcW w:w="1217"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10</w:t>
            </w:r>
          </w:p>
        </w:tc>
        <w:tc>
          <w:tcPr>
            <w:tcW w:w="162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2100</w:t>
            </w:r>
          </w:p>
        </w:tc>
        <w:tc>
          <w:tcPr>
            <w:tcW w:w="1843"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252000.00</w:t>
            </w:r>
          </w:p>
        </w:tc>
      </w:tr>
    </w:tbl>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91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im-content1"/>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2024-05-22T01:06:30Z</dcterms:created>
  <dc:creator>haccb</dc:creator>
  <cp:lastModifiedBy>haccb</cp:lastModifiedBy>
  <dcterms:modified xsi:type="dcterms:W3CDTF">2024-05-22T01:10:22Z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2943082CF98A4F4082791E1276CA595C_12</vt:lpwstr>
  </property>
</Properties>
</file>