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25F5BE">
      <w:pPr>
        <w:spacing w:line="360" w:lineRule="auto"/>
        <w:jc w:val="center"/>
        <w:rPr>
          <w:rFonts w:hint="default" w:ascii="Times New Roman Regular" w:hAnsi="Times New Roman Regular" w:eastAsia="宋体" w:cs="Times New Roman Regular"/>
          <w:b/>
          <w:color w:val="000000" w:themeColor="text1"/>
          <w:sz w:val="52"/>
          <w:szCs w:val="52"/>
          <w:highlight w:val="none"/>
          <w:lang w:eastAsia="zh-CN"/>
          <w14:textFill>
            <w14:solidFill>
              <w14:schemeClr w14:val="tx1"/>
            </w14:solidFill>
          </w14:textFill>
        </w:rPr>
      </w:pPr>
      <w:bookmarkStart w:id="0" w:name="OLE_LINK20"/>
    </w:p>
    <w:p w14:paraId="22B5BC33">
      <w:pPr>
        <w:spacing w:line="360" w:lineRule="auto"/>
        <w:jc w:val="center"/>
        <w:rPr>
          <w:rFonts w:hint="default" w:ascii="Times New Roman Regular" w:hAnsi="Times New Roman Regular" w:eastAsia="宋体" w:cs="Times New Roman Regular"/>
          <w:b/>
          <w:color w:val="000000" w:themeColor="text1"/>
          <w:sz w:val="52"/>
          <w:szCs w:val="52"/>
          <w:highlight w:val="none"/>
          <w:lang w:eastAsia="zh-CN"/>
          <w14:textFill>
            <w14:solidFill>
              <w14:schemeClr w14:val="tx1"/>
            </w14:solidFill>
          </w14:textFill>
        </w:rPr>
      </w:pPr>
    </w:p>
    <w:p w14:paraId="1CF0AF3A">
      <w:pPr>
        <w:spacing w:line="360" w:lineRule="auto"/>
        <w:jc w:val="center"/>
        <w:rPr>
          <w:rFonts w:hint="default" w:ascii="Times New Roman Regular" w:hAnsi="Times New Roman Regular" w:eastAsia="宋体" w:cs="Times New Roman Regular"/>
          <w:b/>
          <w:color w:val="000000" w:themeColor="text1"/>
          <w:sz w:val="52"/>
          <w:szCs w:val="52"/>
          <w:highlight w:val="none"/>
          <w:lang w:val="en-US" w:eastAsia="zh-CN"/>
          <w14:textFill>
            <w14:solidFill>
              <w14:schemeClr w14:val="tx1"/>
            </w14:solidFill>
          </w14:textFill>
        </w:rPr>
      </w:pPr>
      <w:r>
        <w:rPr>
          <w:rFonts w:hint="eastAsia" w:ascii="Times New Roman Regular" w:hAnsi="Times New Roman Regular" w:cs="Times New Roman Regular"/>
          <w:b/>
          <w:color w:val="000000" w:themeColor="text1"/>
          <w:sz w:val="52"/>
          <w:szCs w:val="52"/>
          <w:highlight w:val="none"/>
          <w:lang w:eastAsia="zh-CN"/>
          <w14:textFill>
            <w14:solidFill>
              <w14:schemeClr w14:val="tx1"/>
            </w14:solidFill>
          </w14:textFill>
        </w:rPr>
        <w:t>成方金科上海分公司数据平台系统实时监测技术服务采购项目</w:t>
      </w:r>
    </w:p>
    <w:bookmarkEnd w:id="0"/>
    <w:p w14:paraId="5B6C92A7">
      <w:pPr>
        <w:spacing w:line="360" w:lineRule="auto"/>
        <w:jc w:val="center"/>
        <w:rPr>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pPr>
    </w:p>
    <w:p w14:paraId="7924E11D">
      <w:pPr>
        <w:spacing w:line="360" w:lineRule="auto"/>
        <w:jc w:val="center"/>
        <w:rPr>
          <w:rFonts w:hint="default" w:ascii="Times New Roman Regular" w:hAnsi="Times New Roman Regular" w:eastAsia="宋体" w:cs="Times New Roman Regular"/>
          <w:b/>
          <w:color w:val="000000" w:themeColor="text1"/>
          <w:sz w:val="52"/>
          <w:szCs w:val="52"/>
          <w:highlight w:val="none"/>
          <w14:textFill>
            <w14:solidFill>
              <w14:schemeClr w14:val="tx1"/>
            </w14:solidFill>
          </w14:textFill>
        </w:rPr>
      </w:pPr>
    </w:p>
    <w:p w14:paraId="16DD143E">
      <w:pPr>
        <w:spacing w:line="360" w:lineRule="auto"/>
        <w:jc w:val="center"/>
        <w:rPr>
          <w:rFonts w:hint="default" w:ascii="Times New Roman Regular" w:hAnsi="Times New Roman Regular" w:eastAsia="宋体" w:cs="Times New Roman Regular"/>
          <w:b/>
          <w:color w:val="000000" w:themeColor="text1"/>
          <w:sz w:val="84"/>
          <w:szCs w:val="84"/>
          <w:highlight w:val="none"/>
          <w14:textFill>
            <w14:solidFill>
              <w14:schemeClr w14:val="tx1"/>
            </w14:solidFill>
          </w14:textFill>
        </w:rPr>
      </w:pPr>
      <w:r>
        <w:rPr>
          <w:rFonts w:hint="default" w:ascii="Times New Roman Regular" w:hAnsi="Times New Roman Regular" w:eastAsia="宋体" w:cs="Times New Roman Regular"/>
          <w:b/>
          <w:color w:val="000000" w:themeColor="text1"/>
          <w:sz w:val="84"/>
          <w:szCs w:val="84"/>
          <w:highlight w:val="none"/>
          <w14:textFill>
            <w14:solidFill>
              <w14:schemeClr w14:val="tx1"/>
            </w14:solidFill>
          </w14:textFill>
        </w:rPr>
        <w:t>招标文件</w:t>
      </w:r>
    </w:p>
    <w:p w14:paraId="3A5E47FE">
      <w:pPr>
        <w:spacing w:line="360" w:lineRule="auto"/>
        <w:jc w:val="center"/>
        <w:rPr>
          <w:rFonts w:hint="default" w:ascii="Times New Roman Regular" w:hAnsi="Times New Roman Regular" w:eastAsia="宋体" w:cs="Times New Roman Regular"/>
          <w:b/>
          <w:color w:val="000000" w:themeColor="text1"/>
          <w:sz w:val="36"/>
          <w:szCs w:val="36"/>
          <w:highlight w:val="none"/>
          <w:lang w:eastAsia="zh-CN"/>
          <w14:textFill>
            <w14:solidFill>
              <w14:schemeClr w14:val="tx1"/>
            </w14:solidFill>
          </w14:textFill>
        </w:rPr>
      </w:pPr>
      <w:r>
        <w:rPr>
          <w:rFonts w:hint="default" w:ascii="Times New Roman Regular" w:hAnsi="Times New Roman Regular" w:eastAsia="宋体" w:cs="Times New Roman Regular"/>
          <w:b/>
          <w:color w:val="000000" w:themeColor="text1"/>
          <w:sz w:val="36"/>
          <w:szCs w:val="36"/>
          <w:highlight w:val="none"/>
          <w:lang w:val="en-US" w:eastAsia="zh-CN"/>
          <w14:textFill>
            <w14:solidFill>
              <w14:schemeClr w14:val="tx1"/>
            </w14:solidFill>
          </w14:textFill>
        </w:rPr>
        <w:t>项目</w:t>
      </w:r>
      <w:r>
        <w:rPr>
          <w:rFonts w:hint="default" w:ascii="Times New Roman Regular" w:hAnsi="Times New Roman Regular" w:eastAsia="宋体" w:cs="Times New Roman Regular"/>
          <w:b/>
          <w:color w:val="000000" w:themeColor="text1"/>
          <w:sz w:val="36"/>
          <w:szCs w:val="36"/>
          <w:highlight w:val="none"/>
          <w14:textFill>
            <w14:solidFill>
              <w14:schemeClr w14:val="tx1"/>
            </w14:solidFill>
          </w14:textFill>
        </w:rPr>
        <w:t>编号：</w:t>
      </w:r>
      <w:r>
        <w:rPr>
          <w:rFonts w:hint="eastAsia" w:ascii="Times New Roman Regular" w:hAnsi="Times New Roman Regular" w:cs="Times New Roman Regular"/>
          <w:b/>
          <w:color w:val="000000" w:themeColor="text1"/>
          <w:sz w:val="36"/>
          <w:szCs w:val="36"/>
          <w:highlight w:val="none"/>
          <w:lang w:eastAsia="zh-CN"/>
          <w14:textFill>
            <w14:solidFill>
              <w14:schemeClr w14:val="tx1"/>
            </w14:solidFill>
          </w14:textFill>
        </w:rPr>
        <w:t>JSTCC26025202531</w:t>
      </w:r>
    </w:p>
    <w:p w14:paraId="0B4CF31E">
      <w:pPr>
        <w:spacing w:line="360" w:lineRule="auto"/>
        <w:jc w:val="center"/>
        <w:rPr>
          <w:rFonts w:hint="default" w:ascii="Times New Roman Regular" w:hAnsi="Times New Roman Regular" w:eastAsia="宋体" w:cs="Times New Roman Regular"/>
          <w:b/>
          <w:color w:val="000000" w:themeColor="text1"/>
          <w:sz w:val="52"/>
          <w:highlight w:val="none"/>
          <w:lang w:val="en-US" w:eastAsia="zh-CN"/>
          <w14:textFill>
            <w14:solidFill>
              <w14:schemeClr w14:val="tx1"/>
            </w14:solidFill>
          </w14:textFill>
        </w:rPr>
      </w:pPr>
      <w:r>
        <w:rPr>
          <w:rFonts w:hint="default" w:ascii="Times New Roman Regular" w:hAnsi="Times New Roman Regular" w:eastAsia="宋体" w:cs="Times New Roman Regular"/>
          <w:b/>
          <w:color w:val="000000" w:themeColor="text1"/>
          <w:sz w:val="36"/>
          <w:szCs w:val="36"/>
          <w:highlight w:val="none"/>
          <w:lang w:val="en-US" w:eastAsia="zh-CN"/>
          <w14:textFill>
            <w14:solidFill>
              <w14:schemeClr w14:val="tx1"/>
            </w14:solidFill>
          </w14:textFill>
        </w:rPr>
        <w:t>采购人</w:t>
      </w:r>
      <w:r>
        <w:rPr>
          <w:rFonts w:hint="default" w:ascii="Times New Roman Regular" w:hAnsi="Times New Roman Regular" w:eastAsia="宋体" w:cs="Times New Roman Regular"/>
          <w:b/>
          <w:color w:val="000000" w:themeColor="text1"/>
          <w:sz w:val="36"/>
          <w:szCs w:val="36"/>
          <w:highlight w:val="none"/>
          <w14:textFill>
            <w14:solidFill>
              <w14:schemeClr w14:val="tx1"/>
            </w14:solidFill>
          </w14:textFill>
        </w:rPr>
        <w:t>编号：</w:t>
      </w:r>
      <w:r>
        <w:rPr>
          <w:rFonts w:hint="default" w:ascii="Times New Roman Regular" w:hAnsi="Times New Roman Regular" w:eastAsia="宋体" w:cs="Times New Roman Regular"/>
          <w:b/>
          <w:color w:val="000000" w:themeColor="text1"/>
          <w:sz w:val="36"/>
          <w:szCs w:val="36"/>
          <w:highlight w:val="none"/>
          <w:lang w:eastAsia="zh-CN"/>
          <w14:textFill>
            <w14:solidFill>
              <w14:schemeClr w14:val="tx1"/>
            </w14:solidFill>
          </w14:textFill>
        </w:rPr>
        <w:t>PT2026</w:t>
      </w:r>
      <w:r>
        <w:rPr>
          <w:rFonts w:hint="eastAsia" w:ascii="Times New Roman Regular" w:hAnsi="Times New Roman Regular" w:cs="Times New Roman Regular"/>
          <w:b/>
          <w:color w:val="000000" w:themeColor="text1"/>
          <w:sz w:val="36"/>
          <w:szCs w:val="36"/>
          <w:highlight w:val="none"/>
          <w:lang w:val="en-US" w:eastAsia="zh-CN"/>
          <w14:textFill>
            <w14:solidFill>
              <w14:schemeClr w14:val="tx1"/>
            </w14:solidFill>
          </w14:textFill>
        </w:rPr>
        <w:t>016</w:t>
      </w:r>
    </w:p>
    <w:p w14:paraId="6E2D53FA">
      <w:pPr>
        <w:spacing w:line="360" w:lineRule="auto"/>
        <w:jc w:val="center"/>
        <w:rPr>
          <w:rFonts w:hint="default" w:ascii="Times New Roman Regular" w:hAnsi="Times New Roman Regular" w:eastAsia="宋体" w:cs="Times New Roman Regular"/>
          <w:b/>
          <w:color w:val="000000" w:themeColor="text1"/>
          <w:sz w:val="48"/>
          <w:szCs w:val="18"/>
          <w:highlight w:val="none"/>
          <w:lang w:eastAsia="zh-CN"/>
          <w14:textFill>
            <w14:solidFill>
              <w14:schemeClr w14:val="tx1"/>
            </w14:solidFill>
          </w14:textFill>
        </w:rPr>
      </w:pPr>
    </w:p>
    <w:p w14:paraId="4DFCC153">
      <w:pPr>
        <w:spacing w:line="360" w:lineRule="auto"/>
        <w:jc w:val="center"/>
        <w:rPr>
          <w:rFonts w:hint="default" w:ascii="Times New Roman Regular" w:hAnsi="Times New Roman Regular" w:eastAsia="宋体" w:cs="Times New Roman Regular"/>
          <w:b/>
          <w:color w:val="000000" w:themeColor="text1"/>
          <w:sz w:val="48"/>
          <w:szCs w:val="48"/>
          <w:highlight w:val="none"/>
          <w14:textFill>
            <w14:solidFill>
              <w14:schemeClr w14:val="tx1"/>
            </w14:solidFill>
          </w14:textFill>
        </w:rPr>
      </w:pPr>
    </w:p>
    <w:p w14:paraId="74917620">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0B6D95D3">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06197E39">
      <w:pPr>
        <w:spacing w:line="360" w:lineRule="auto"/>
        <w:jc w:val="center"/>
        <w:rPr>
          <w:rFonts w:hint="default" w:ascii="Times New Roman Regular" w:hAnsi="Times New Roman Regular" w:eastAsia="宋体" w:cs="Times New Roman Regular"/>
          <w:b/>
          <w:color w:val="000000" w:themeColor="text1"/>
          <w:sz w:val="44"/>
          <w:highlight w:val="none"/>
          <w:u w:val="single"/>
          <w14:textFill>
            <w14:solidFill>
              <w14:schemeClr w14:val="tx1"/>
            </w14:solidFill>
          </w14:textFill>
        </w:rPr>
      </w:pPr>
    </w:p>
    <w:p w14:paraId="3A0A1640">
      <w:pPr>
        <w:tabs>
          <w:tab w:val="left" w:pos="360"/>
        </w:tabs>
        <w:spacing w:line="360" w:lineRule="auto"/>
        <w:ind w:left="420" w:leftChars="200"/>
        <w:jc w:val="center"/>
        <w:rPr>
          <w:rFonts w:hint="default" w:ascii="Times New Roman Regular" w:hAnsi="Times New Roman Regular" w:eastAsia="宋体" w:cs="Times New Roman Regular"/>
          <w:b/>
          <w:color w:val="000000" w:themeColor="text1"/>
          <w:sz w:val="32"/>
          <w:highlight w:val="none"/>
          <w:lang w:eastAsia="zh-CN"/>
          <w14:textFill>
            <w14:solidFill>
              <w14:schemeClr w14:val="tx1"/>
            </w14:solidFill>
          </w14:textFill>
        </w:rPr>
      </w:pPr>
      <w:r>
        <w:rPr>
          <w:rFonts w:hint="default" w:ascii="Times New Roman Regular" w:hAnsi="Times New Roman Regular" w:eastAsia="宋体" w:cs="Times New Roman Regular"/>
          <w:b/>
          <w:color w:val="000000" w:themeColor="text1"/>
          <w:sz w:val="32"/>
          <w:highlight w:val="none"/>
          <w14:textFill>
            <w14:solidFill>
              <w14:schemeClr w14:val="tx1"/>
            </w14:solidFill>
          </w14:textFill>
        </w:rPr>
        <w:t>招标人：</w:t>
      </w:r>
      <w:r>
        <w:rPr>
          <w:rFonts w:hint="default" w:ascii="Times New Roman Regular" w:hAnsi="Times New Roman Regular" w:eastAsia="宋体" w:cs="Times New Roman Regular"/>
          <w:b/>
          <w:color w:val="000000" w:themeColor="text1"/>
          <w:sz w:val="32"/>
          <w:highlight w:val="none"/>
          <w:lang w:eastAsia="zh-CN"/>
          <w14:textFill>
            <w14:solidFill>
              <w14:schemeClr w14:val="tx1"/>
            </w14:solidFill>
          </w14:textFill>
        </w:rPr>
        <w:t>成方金融科技有限公司</w:t>
      </w:r>
    </w:p>
    <w:p w14:paraId="300474B6">
      <w:pPr>
        <w:tabs>
          <w:tab w:val="left" w:pos="360"/>
        </w:tabs>
        <w:spacing w:line="360" w:lineRule="auto"/>
        <w:ind w:left="420" w:leftChars="200"/>
        <w:jc w:val="center"/>
        <w:rPr>
          <w:rFonts w:hint="default" w:ascii="Times New Roman Regular" w:hAnsi="Times New Roman Regular" w:eastAsia="宋体" w:cs="Times New Roman Regular"/>
          <w:b/>
          <w:color w:val="000000" w:themeColor="text1"/>
          <w:sz w:val="32"/>
          <w:highlight w:val="none"/>
          <w14:textFill>
            <w14:solidFill>
              <w14:schemeClr w14:val="tx1"/>
            </w14:solidFill>
          </w14:textFill>
        </w:rPr>
      </w:pPr>
      <w:r>
        <w:rPr>
          <w:rFonts w:hint="default" w:ascii="Times New Roman Regular" w:hAnsi="Times New Roman Regular" w:eastAsia="宋体" w:cs="Times New Roman Regular"/>
          <w:b/>
          <w:color w:val="000000" w:themeColor="text1"/>
          <w:sz w:val="32"/>
          <w:highlight w:val="none"/>
          <w14:textFill>
            <w14:solidFill>
              <w14:schemeClr w14:val="tx1"/>
            </w14:solidFill>
          </w14:textFill>
        </w:rPr>
        <w:t>招标代理：江苏省招标中心有限公司</w:t>
      </w:r>
    </w:p>
    <w:p w14:paraId="35FE2D54">
      <w:pPr>
        <w:spacing w:line="360" w:lineRule="auto"/>
        <w:jc w:val="center"/>
        <w:rPr>
          <w:rFonts w:hint="default" w:ascii="Times New Roman Regular" w:hAnsi="Times New Roman Regular" w:eastAsia="宋体" w:cs="Times New Roman Regular"/>
          <w:b/>
          <w:color w:val="000000" w:themeColor="text1"/>
          <w:sz w:val="44"/>
          <w:highlight w:val="none"/>
          <w14:textFill>
            <w14:solidFill>
              <w14:schemeClr w14:val="tx1"/>
            </w14:solidFill>
          </w14:textFill>
        </w:rPr>
      </w:pPr>
      <w:r>
        <w:rPr>
          <w:rFonts w:hint="default" w:ascii="Times New Roman Regular" w:hAnsi="Times New Roman Regular" w:eastAsia="宋体" w:cs="Times New Roman Regular"/>
          <w:b/>
          <w:color w:val="000000" w:themeColor="text1"/>
          <w:sz w:val="32"/>
          <w:highlight w:val="none"/>
          <w14:textFill>
            <w14:solidFill>
              <w14:schemeClr w14:val="tx1"/>
            </w14:solidFill>
          </w14:textFill>
        </w:rPr>
        <w:t>二</w:t>
      </w:r>
      <w:r>
        <w:rPr>
          <w:rFonts w:hint="eastAsia" w:ascii="Times New Roman Regular" w:hAnsi="Times New Roman Regular" w:cs="Times New Roman Regular"/>
          <w:b/>
          <w:color w:val="000000" w:themeColor="text1"/>
          <w:sz w:val="32"/>
          <w:highlight w:val="none"/>
          <w:lang w:val="en-US" w:eastAsia="zh-CN"/>
          <w14:textFill>
            <w14:solidFill>
              <w14:schemeClr w14:val="tx1"/>
            </w14:solidFill>
          </w14:textFill>
        </w:rPr>
        <w:t>〇</w:t>
      </w:r>
      <w:r>
        <w:rPr>
          <w:rFonts w:hint="default" w:ascii="Times New Roman Regular" w:hAnsi="Times New Roman Regular" w:eastAsia="宋体" w:cs="Times New Roman Regular"/>
          <w:b/>
          <w:color w:val="000000" w:themeColor="text1"/>
          <w:sz w:val="32"/>
          <w:highlight w:val="none"/>
          <w14:textFill>
            <w14:solidFill>
              <w14:schemeClr w14:val="tx1"/>
            </w14:solidFill>
          </w14:textFill>
        </w:rPr>
        <w:t>二</w:t>
      </w:r>
      <w:r>
        <w:rPr>
          <w:rFonts w:hint="default" w:ascii="Times New Roman Regular" w:hAnsi="Times New Roman Regular" w:eastAsia="宋体" w:cs="Times New Roman Regular"/>
          <w:b/>
          <w:color w:val="000000" w:themeColor="text1"/>
          <w:sz w:val="32"/>
          <w:highlight w:val="none"/>
          <w:lang w:val="en-US" w:eastAsia="zh-CN"/>
          <w14:textFill>
            <w14:solidFill>
              <w14:schemeClr w14:val="tx1"/>
            </w14:solidFill>
          </w14:textFill>
        </w:rPr>
        <w:t>六</w:t>
      </w:r>
      <w:r>
        <w:rPr>
          <w:rFonts w:hint="default" w:ascii="Times New Roman Regular" w:hAnsi="Times New Roman Regular" w:eastAsia="宋体" w:cs="Times New Roman Regular"/>
          <w:b/>
          <w:color w:val="000000" w:themeColor="text1"/>
          <w:sz w:val="32"/>
          <w:highlight w:val="none"/>
          <w14:textFill>
            <w14:solidFill>
              <w14:schemeClr w14:val="tx1"/>
            </w14:solidFill>
          </w14:textFill>
        </w:rPr>
        <w:t>年</w:t>
      </w:r>
      <w:r>
        <w:rPr>
          <w:rFonts w:hint="eastAsia" w:ascii="Times New Roman Regular" w:hAnsi="Times New Roman Regular" w:cs="Times New Roman Regular"/>
          <w:b/>
          <w:color w:val="000000" w:themeColor="text1"/>
          <w:sz w:val="32"/>
          <w:highlight w:val="none"/>
          <w:lang w:val="en-US" w:eastAsia="zh-CN"/>
          <w14:textFill>
            <w14:solidFill>
              <w14:schemeClr w14:val="tx1"/>
            </w14:solidFill>
          </w14:textFill>
        </w:rPr>
        <w:t>四</w:t>
      </w:r>
      <w:r>
        <w:rPr>
          <w:rFonts w:hint="default" w:ascii="Times New Roman Regular" w:hAnsi="Times New Roman Regular" w:eastAsia="宋体" w:cs="Times New Roman Regular"/>
          <w:b/>
          <w:color w:val="000000" w:themeColor="text1"/>
          <w:sz w:val="32"/>
          <w:highlight w:val="none"/>
          <w14:textFill>
            <w14:solidFill>
              <w14:schemeClr w14:val="tx1"/>
            </w14:solidFill>
          </w14:textFill>
        </w:rPr>
        <w:t>月</w:t>
      </w:r>
    </w:p>
    <w:p w14:paraId="731DC6BB">
      <w:pPr>
        <w:spacing w:line="360" w:lineRule="auto"/>
        <w:jc w:val="center"/>
        <w:rPr>
          <w:rFonts w:hint="eastAsia" w:ascii="Times New Roman Regular" w:hAnsi="Times New Roman Regular" w:eastAsia="宋体" w:cs="Times New Roman Regular"/>
          <w:b/>
          <w:color w:val="000000" w:themeColor="text1"/>
          <w:sz w:val="44"/>
          <w:highlight w:val="none"/>
          <w:lang w:val="en-US" w:eastAsia="zh-CN"/>
          <w14:textFill>
            <w14:solidFill>
              <w14:schemeClr w14:val="tx1"/>
            </w14:solidFill>
          </w14:textFill>
        </w:rPr>
        <w:sectPr>
          <w:headerReference r:id="rId3" w:type="default"/>
          <w:pgSz w:w="11905" w:h="16838"/>
          <w:pgMar w:top="1440" w:right="1228" w:bottom="1440" w:left="1217" w:header="850" w:footer="992" w:gutter="0"/>
          <w:cols w:space="720" w:num="1"/>
          <w:docGrid w:type="lines" w:linePitch="317" w:charSpace="0"/>
        </w:sectPr>
      </w:pPr>
    </w:p>
    <w:p w14:paraId="585DDE41">
      <w:pPr>
        <w:spacing w:line="360" w:lineRule="auto"/>
        <w:jc w:val="center"/>
        <w:rPr>
          <w:rFonts w:hint="default" w:ascii="Times New Roman Regular" w:hAnsi="Times New Roman Regular" w:eastAsia="宋体" w:cs="Times New Roman Regular"/>
          <w:b/>
          <w:color w:val="000000" w:themeColor="text1"/>
          <w:sz w:val="44"/>
          <w:highlight w:val="none"/>
          <w14:textFill>
            <w14:solidFill>
              <w14:schemeClr w14:val="tx1"/>
            </w14:solidFill>
          </w14:textFill>
        </w:rPr>
      </w:pPr>
      <w:r>
        <w:rPr>
          <w:rFonts w:hint="default" w:ascii="Times New Roman Regular" w:hAnsi="Times New Roman Regular" w:eastAsia="宋体" w:cs="Times New Roman Regular"/>
          <w:b/>
          <w:color w:val="000000" w:themeColor="text1"/>
          <w:sz w:val="44"/>
          <w:highlight w:val="none"/>
          <w14:textFill>
            <w14:solidFill>
              <w14:schemeClr w14:val="tx1"/>
            </w14:solidFill>
          </w14:textFill>
        </w:rPr>
        <w:t>目录</w:t>
      </w:r>
    </w:p>
    <w:p w14:paraId="24245A3A">
      <w:pPr>
        <w:spacing w:line="360" w:lineRule="auto"/>
        <w:jc w:val="center"/>
        <w:rPr>
          <w:rFonts w:hint="default" w:ascii="Times New Roman Regular" w:hAnsi="Times New Roman Regular" w:eastAsia="宋体" w:cs="Times New Roman Regular"/>
          <w:b/>
          <w:color w:val="000000" w:themeColor="text1"/>
          <w:sz w:val="44"/>
          <w:highlight w:val="none"/>
          <w14:textFill>
            <w14:solidFill>
              <w14:schemeClr w14:val="tx1"/>
            </w14:solidFill>
          </w14:textFill>
        </w:rPr>
      </w:pPr>
    </w:p>
    <w:p w14:paraId="38F794AE">
      <w:pPr>
        <w:pStyle w:val="17"/>
        <w:tabs>
          <w:tab w:val="right" w:leader="dot" w:pos="9071"/>
        </w:tabs>
        <w:spacing w:line="480" w:lineRule="auto"/>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pPr>
      <w:r>
        <w:rPr>
          <w:rFonts w:hint="default" w:ascii="Times New Roman Regular" w:hAnsi="Times New Roman Regular" w:eastAsia="宋体" w:cs="Times New Roman Regular"/>
          <w:bCs w:val="0"/>
          <w:color w:val="000000" w:themeColor="text1"/>
          <w:sz w:val="24"/>
          <w:szCs w:val="24"/>
          <w:highlight w:val="none"/>
          <w14:textFill>
            <w14:solidFill>
              <w14:schemeClr w14:val="tx1"/>
            </w14:solidFill>
          </w14:textFill>
        </w:rPr>
        <w:fldChar w:fldCharType="begin"/>
      </w:r>
      <w:r>
        <w:rPr>
          <w:rFonts w:hint="default" w:ascii="Times New Roman Regular" w:hAnsi="Times New Roman Regular" w:eastAsia="宋体" w:cs="Times New Roman Regular"/>
          <w:bCs w:val="0"/>
          <w:color w:val="000000" w:themeColor="text1"/>
          <w:sz w:val="24"/>
          <w:szCs w:val="24"/>
          <w:highlight w:val="none"/>
          <w14:textFill>
            <w14:solidFill>
              <w14:schemeClr w14:val="tx1"/>
            </w14:solidFill>
          </w14:textFill>
        </w:rPr>
        <w:instrText xml:space="preserve"> TOC \o "1-1" \h \z \u </w:instrText>
      </w:r>
      <w:r>
        <w:rPr>
          <w:rFonts w:hint="default" w:ascii="Times New Roman Regular" w:hAnsi="Times New Roman Regular" w:eastAsia="宋体" w:cs="Times New Roman Regular"/>
          <w:bCs w:val="0"/>
          <w:color w:val="000000" w:themeColor="text1"/>
          <w:sz w:val="24"/>
          <w:szCs w:val="24"/>
          <w:highlight w:val="none"/>
          <w14:textFill>
            <w14:solidFill>
              <w14:schemeClr w14:val="tx1"/>
            </w14:solidFill>
          </w14:textFill>
        </w:rPr>
        <w:fldChar w:fldCharType="separate"/>
      </w:r>
      <w:r>
        <w:rPr>
          <w:rFonts w:hint="default" w:ascii="Times New Roman Regular" w:hAnsi="Times New Roman Regular" w:eastAsia="宋体" w:cs="Times New Roman Regular"/>
          <w:bCs w:val="0"/>
          <w:color w:val="000000" w:themeColor="text1"/>
          <w:sz w:val="32"/>
          <w:szCs w:val="44"/>
          <w:highlight w:val="none"/>
          <w14:textFill>
            <w14:solidFill>
              <w14:schemeClr w14:val="tx1"/>
            </w14:solidFill>
          </w14:textFill>
        </w:rPr>
        <w:fldChar w:fldCharType="begin"/>
      </w:r>
      <w:r>
        <w:rPr>
          <w:rFonts w:hint="default" w:ascii="Times New Roman Regular" w:hAnsi="Times New Roman Regular" w:eastAsia="宋体" w:cs="Times New Roman Regular"/>
          <w:bCs w:val="0"/>
          <w:color w:val="000000" w:themeColor="text1"/>
          <w:sz w:val="32"/>
          <w:szCs w:val="44"/>
          <w:highlight w:val="none"/>
          <w14:textFill>
            <w14:solidFill>
              <w14:schemeClr w14:val="tx1"/>
            </w14:solidFill>
          </w14:textFill>
        </w:rPr>
        <w:instrText xml:space="preserve"> HYPERLINK \l _Toc1762689677 </w:instrText>
      </w:r>
      <w:r>
        <w:rPr>
          <w:rFonts w:hint="default" w:ascii="Times New Roman Regular" w:hAnsi="Times New Roman Regular" w:eastAsia="宋体" w:cs="Times New Roman Regular"/>
          <w:bCs w:val="0"/>
          <w:color w:val="000000" w:themeColor="text1"/>
          <w:sz w:val="32"/>
          <w:szCs w:val="44"/>
          <w:highlight w:val="none"/>
          <w14:textFill>
            <w14:solidFill>
              <w14:schemeClr w14:val="tx1"/>
            </w14:solidFill>
          </w14:textFill>
        </w:rPr>
        <w:fldChar w:fldCharType="separate"/>
      </w:r>
      <w:r>
        <w:rPr>
          <w:rFonts w:hint="default" w:ascii="Times New Roman Regular" w:hAnsi="Times New Roman Regular" w:eastAsia="宋体" w:cs="Times New Roman Regular"/>
          <w:bCs/>
          <w:color w:val="000000" w:themeColor="text1"/>
          <w:sz w:val="32"/>
          <w:szCs w:val="112"/>
          <w:highlight w:val="none"/>
          <w14:textFill>
            <w14:solidFill>
              <w14:schemeClr w14:val="tx1"/>
            </w14:solidFill>
          </w14:textFill>
        </w:rPr>
        <w:t>第一章 招标公告</w:t>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tab/>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fldChar w:fldCharType="begin"/>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instrText xml:space="preserve"> PAGEREF _Toc1762689677 \h </w:instrText>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fldChar w:fldCharType="separate"/>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t>3</w:t>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fldChar w:fldCharType="end"/>
      </w:r>
      <w:r>
        <w:rPr>
          <w:rFonts w:hint="default" w:ascii="Times New Roman Regular" w:hAnsi="Times New Roman Regular" w:eastAsia="宋体" w:cs="Times New Roman Regular"/>
          <w:bCs w:val="0"/>
          <w:color w:val="000000" w:themeColor="text1"/>
          <w:sz w:val="32"/>
          <w:szCs w:val="44"/>
          <w:highlight w:val="none"/>
          <w14:textFill>
            <w14:solidFill>
              <w14:schemeClr w14:val="tx1"/>
            </w14:solidFill>
          </w14:textFill>
        </w:rPr>
        <w:fldChar w:fldCharType="end"/>
      </w:r>
    </w:p>
    <w:p w14:paraId="37CB7831">
      <w:pPr>
        <w:pStyle w:val="17"/>
        <w:tabs>
          <w:tab w:val="right" w:leader="dot" w:pos="9071"/>
        </w:tabs>
        <w:spacing w:line="480" w:lineRule="auto"/>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pPr>
      <w:r>
        <w:rPr>
          <w:rFonts w:hint="default" w:ascii="Times New Roman Regular" w:hAnsi="Times New Roman Regular" w:eastAsia="宋体" w:cs="Times New Roman Regular"/>
          <w:bCs/>
          <w:color w:val="000000" w:themeColor="text1"/>
          <w:sz w:val="32"/>
          <w:szCs w:val="44"/>
          <w:highlight w:val="none"/>
          <w14:textFill>
            <w14:solidFill>
              <w14:schemeClr w14:val="tx1"/>
            </w14:solidFill>
          </w14:textFill>
        </w:rPr>
        <w:fldChar w:fldCharType="begin"/>
      </w:r>
      <w:r>
        <w:rPr>
          <w:rFonts w:hint="default" w:ascii="Times New Roman Regular" w:hAnsi="Times New Roman Regular" w:eastAsia="宋体" w:cs="Times New Roman Regular"/>
          <w:bCs/>
          <w:color w:val="000000" w:themeColor="text1"/>
          <w:sz w:val="32"/>
          <w:szCs w:val="44"/>
          <w:highlight w:val="none"/>
          <w14:textFill>
            <w14:solidFill>
              <w14:schemeClr w14:val="tx1"/>
            </w14:solidFill>
          </w14:textFill>
        </w:rPr>
        <w:instrText xml:space="preserve"> HYPERLINK \l _Toc988490974 </w:instrText>
      </w:r>
      <w:r>
        <w:rPr>
          <w:rFonts w:hint="default" w:ascii="Times New Roman Regular" w:hAnsi="Times New Roman Regular" w:eastAsia="宋体" w:cs="Times New Roman Regular"/>
          <w:bCs/>
          <w:color w:val="000000" w:themeColor="text1"/>
          <w:sz w:val="32"/>
          <w:szCs w:val="44"/>
          <w:highlight w:val="none"/>
          <w14:textFill>
            <w14:solidFill>
              <w14:schemeClr w14:val="tx1"/>
            </w14:solidFill>
          </w14:textFill>
        </w:rPr>
        <w:fldChar w:fldCharType="separate"/>
      </w:r>
      <w:r>
        <w:rPr>
          <w:rFonts w:hint="default" w:ascii="Times New Roman Regular" w:hAnsi="Times New Roman Regular" w:eastAsia="宋体" w:cs="Times New Roman Regular"/>
          <w:bCs/>
          <w:color w:val="000000" w:themeColor="text1"/>
          <w:sz w:val="32"/>
          <w:szCs w:val="112"/>
          <w:highlight w:val="none"/>
          <w14:textFill>
            <w14:solidFill>
              <w14:schemeClr w14:val="tx1"/>
            </w14:solidFill>
          </w14:textFill>
        </w:rPr>
        <w:t>第二章 投标人须知前附表</w:t>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tab/>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fldChar w:fldCharType="begin"/>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instrText xml:space="preserve"> PAGEREF _Toc988490974 \h </w:instrText>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fldChar w:fldCharType="separate"/>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t>8</w:t>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fldChar w:fldCharType="end"/>
      </w:r>
      <w:r>
        <w:rPr>
          <w:rFonts w:hint="default" w:ascii="Times New Roman Regular" w:hAnsi="Times New Roman Regular" w:eastAsia="宋体" w:cs="Times New Roman Regular"/>
          <w:bCs/>
          <w:color w:val="000000" w:themeColor="text1"/>
          <w:sz w:val="32"/>
          <w:szCs w:val="44"/>
          <w:highlight w:val="none"/>
          <w14:textFill>
            <w14:solidFill>
              <w14:schemeClr w14:val="tx1"/>
            </w14:solidFill>
          </w14:textFill>
        </w:rPr>
        <w:fldChar w:fldCharType="end"/>
      </w:r>
    </w:p>
    <w:p w14:paraId="7D4B52D8">
      <w:pPr>
        <w:pStyle w:val="17"/>
        <w:tabs>
          <w:tab w:val="right" w:leader="dot" w:pos="9071"/>
        </w:tabs>
        <w:spacing w:line="480" w:lineRule="auto"/>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pPr>
      <w:r>
        <w:rPr>
          <w:rFonts w:hint="default" w:ascii="Times New Roman Regular" w:hAnsi="Times New Roman Regular" w:eastAsia="宋体" w:cs="Times New Roman Regular"/>
          <w:bCs/>
          <w:color w:val="000000" w:themeColor="text1"/>
          <w:sz w:val="32"/>
          <w:szCs w:val="44"/>
          <w:highlight w:val="none"/>
          <w14:textFill>
            <w14:solidFill>
              <w14:schemeClr w14:val="tx1"/>
            </w14:solidFill>
          </w14:textFill>
        </w:rPr>
        <w:fldChar w:fldCharType="begin"/>
      </w:r>
      <w:r>
        <w:rPr>
          <w:rFonts w:hint="default" w:ascii="Times New Roman Regular" w:hAnsi="Times New Roman Regular" w:eastAsia="宋体" w:cs="Times New Roman Regular"/>
          <w:bCs/>
          <w:color w:val="000000" w:themeColor="text1"/>
          <w:sz w:val="32"/>
          <w:szCs w:val="44"/>
          <w:highlight w:val="none"/>
          <w14:textFill>
            <w14:solidFill>
              <w14:schemeClr w14:val="tx1"/>
            </w14:solidFill>
          </w14:textFill>
        </w:rPr>
        <w:instrText xml:space="preserve"> HYPERLINK \l _Toc1353427687 </w:instrText>
      </w:r>
      <w:r>
        <w:rPr>
          <w:rFonts w:hint="default" w:ascii="Times New Roman Regular" w:hAnsi="Times New Roman Regular" w:eastAsia="宋体" w:cs="Times New Roman Regular"/>
          <w:bCs/>
          <w:color w:val="000000" w:themeColor="text1"/>
          <w:sz w:val="32"/>
          <w:szCs w:val="44"/>
          <w:highlight w:val="none"/>
          <w14:textFill>
            <w14:solidFill>
              <w14:schemeClr w14:val="tx1"/>
            </w14:solidFill>
          </w14:textFill>
        </w:rPr>
        <w:fldChar w:fldCharType="separate"/>
      </w:r>
      <w:r>
        <w:rPr>
          <w:rFonts w:hint="default" w:ascii="Times New Roman Regular" w:hAnsi="Times New Roman Regular" w:eastAsia="宋体" w:cs="Times New Roman Regular"/>
          <w:bCs/>
          <w:color w:val="000000" w:themeColor="text1"/>
          <w:sz w:val="32"/>
          <w:szCs w:val="112"/>
          <w:highlight w:val="none"/>
          <w14:textFill>
            <w14:solidFill>
              <w14:schemeClr w14:val="tx1"/>
            </w14:solidFill>
          </w14:textFill>
        </w:rPr>
        <w:t>第三章 评标办法</w:t>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tab/>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fldChar w:fldCharType="begin"/>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instrText xml:space="preserve"> PAGEREF _Toc1353427687 \h </w:instrText>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fldChar w:fldCharType="separate"/>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t>23</w:t>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fldChar w:fldCharType="end"/>
      </w:r>
      <w:r>
        <w:rPr>
          <w:rFonts w:hint="default" w:ascii="Times New Roman Regular" w:hAnsi="Times New Roman Regular" w:eastAsia="宋体" w:cs="Times New Roman Regular"/>
          <w:bCs/>
          <w:color w:val="000000" w:themeColor="text1"/>
          <w:sz w:val="32"/>
          <w:szCs w:val="44"/>
          <w:highlight w:val="none"/>
          <w14:textFill>
            <w14:solidFill>
              <w14:schemeClr w14:val="tx1"/>
            </w14:solidFill>
          </w14:textFill>
        </w:rPr>
        <w:fldChar w:fldCharType="end"/>
      </w:r>
    </w:p>
    <w:p w14:paraId="3D692801">
      <w:pPr>
        <w:pStyle w:val="17"/>
        <w:tabs>
          <w:tab w:val="right" w:leader="dot" w:pos="9071"/>
        </w:tabs>
        <w:spacing w:line="480" w:lineRule="auto"/>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pPr>
      <w:r>
        <w:rPr>
          <w:rFonts w:hint="default" w:ascii="Times New Roman Regular" w:hAnsi="Times New Roman Regular" w:eastAsia="宋体" w:cs="Times New Roman Regular"/>
          <w:bCs/>
          <w:color w:val="000000" w:themeColor="text1"/>
          <w:sz w:val="32"/>
          <w:szCs w:val="44"/>
          <w:highlight w:val="none"/>
          <w14:textFill>
            <w14:solidFill>
              <w14:schemeClr w14:val="tx1"/>
            </w14:solidFill>
          </w14:textFill>
        </w:rPr>
        <w:fldChar w:fldCharType="begin"/>
      </w:r>
      <w:r>
        <w:rPr>
          <w:rFonts w:hint="default" w:ascii="Times New Roman Regular" w:hAnsi="Times New Roman Regular" w:eastAsia="宋体" w:cs="Times New Roman Regular"/>
          <w:bCs/>
          <w:color w:val="000000" w:themeColor="text1"/>
          <w:sz w:val="32"/>
          <w:szCs w:val="44"/>
          <w:highlight w:val="none"/>
          <w14:textFill>
            <w14:solidFill>
              <w14:schemeClr w14:val="tx1"/>
            </w14:solidFill>
          </w14:textFill>
        </w:rPr>
        <w:instrText xml:space="preserve"> HYPERLINK \l _Toc411025857 </w:instrText>
      </w:r>
      <w:r>
        <w:rPr>
          <w:rFonts w:hint="default" w:ascii="Times New Roman Regular" w:hAnsi="Times New Roman Regular" w:eastAsia="宋体" w:cs="Times New Roman Regular"/>
          <w:bCs/>
          <w:color w:val="000000" w:themeColor="text1"/>
          <w:sz w:val="32"/>
          <w:szCs w:val="44"/>
          <w:highlight w:val="none"/>
          <w14:textFill>
            <w14:solidFill>
              <w14:schemeClr w14:val="tx1"/>
            </w14:solidFill>
          </w14:textFill>
        </w:rPr>
        <w:fldChar w:fldCharType="separate"/>
      </w:r>
      <w:r>
        <w:rPr>
          <w:rFonts w:hint="default" w:ascii="Times New Roman Regular" w:hAnsi="Times New Roman Regular" w:eastAsia="宋体" w:cs="Times New Roman Regular"/>
          <w:bCs/>
          <w:color w:val="000000" w:themeColor="text1"/>
          <w:sz w:val="32"/>
          <w:szCs w:val="112"/>
          <w:highlight w:val="none"/>
          <w14:textFill>
            <w14:solidFill>
              <w14:schemeClr w14:val="tx1"/>
            </w14:solidFill>
          </w14:textFill>
        </w:rPr>
        <w:t>第四章 合同主要条款及格式</w:t>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tab/>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fldChar w:fldCharType="begin"/>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instrText xml:space="preserve"> PAGEREF _Toc411025857 \h </w:instrText>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fldChar w:fldCharType="separate"/>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t>34</w:t>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fldChar w:fldCharType="end"/>
      </w:r>
      <w:r>
        <w:rPr>
          <w:rFonts w:hint="default" w:ascii="Times New Roman Regular" w:hAnsi="Times New Roman Regular" w:eastAsia="宋体" w:cs="Times New Roman Regular"/>
          <w:bCs/>
          <w:color w:val="000000" w:themeColor="text1"/>
          <w:sz w:val="32"/>
          <w:szCs w:val="44"/>
          <w:highlight w:val="none"/>
          <w14:textFill>
            <w14:solidFill>
              <w14:schemeClr w14:val="tx1"/>
            </w14:solidFill>
          </w14:textFill>
        </w:rPr>
        <w:fldChar w:fldCharType="end"/>
      </w:r>
    </w:p>
    <w:p w14:paraId="6B9DD4FF">
      <w:pPr>
        <w:pStyle w:val="17"/>
        <w:tabs>
          <w:tab w:val="right" w:leader="dot" w:pos="9071"/>
        </w:tabs>
        <w:spacing w:line="480" w:lineRule="auto"/>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pPr>
      <w:r>
        <w:rPr>
          <w:rFonts w:hint="default" w:ascii="Times New Roman Regular" w:hAnsi="Times New Roman Regular" w:eastAsia="宋体" w:cs="Times New Roman Regular"/>
          <w:bCs/>
          <w:color w:val="000000" w:themeColor="text1"/>
          <w:sz w:val="32"/>
          <w:szCs w:val="44"/>
          <w:highlight w:val="none"/>
          <w14:textFill>
            <w14:solidFill>
              <w14:schemeClr w14:val="tx1"/>
            </w14:solidFill>
          </w14:textFill>
        </w:rPr>
        <w:fldChar w:fldCharType="begin"/>
      </w:r>
      <w:r>
        <w:rPr>
          <w:rFonts w:hint="default" w:ascii="Times New Roman Regular" w:hAnsi="Times New Roman Regular" w:eastAsia="宋体" w:cs="Times New Roman Regular"/>
          <w:bCs/>
          <w:color w:val="000000" w:themeColor="text1"/>
          <w:sz w:val="32"/>
          <w:szCs w:val="44"/>
          <w:highlight w:val="none"/>
          <w14:textFill>
            <w14:solidFill>
              <w14:schemeClr w14:val="tx1"/>
            </w14:solidFill>
          </w14:textFill>
        </w:rPr>
        <w:instrText xml:space="preserve"> HYPERLINK \l _Toc112522732 </w:instrText>
      </w:r>
      <w:r>
        <w:rPr>
          <w:rFonts w:hint="default" w:ascii="Times New Roman Regular" w:hAnsi="Times New Roman Regular" w:eastAsia="宋体" w:cs="Times New Roman Regular"/>
          <w:bCs/>
          <w:color w:val="000000" w:themeColor="text1"/>
          <w:sz w:val="32"/>
          <w:szCs w:val="44"/>
          <w:highlight w:val="none"/>
          <w14:textFill>
            <w14:solidFill>
              <w14:schemeClr w14:val="tx1"/>
            </w14:solidFill>
          </w14:textFill>
        </w:rPr>
        <w:fldChar w:fldCharType="separate"/>
      </w:r>
      <w:r>
        <w:rPr>
          <w:rFonts w:hint="default" w:ascii="Times New Roman Regular" w:hAnsi="Times New Roman Regular" w:eastAsia="宋体" w:cs="Times New Roman Regular"/>
          <w:bCs/>
          <w:color w:val="000000" w:themeColor="text1"/>
          <w:sz w:val="32"/>
          <w:szCs w:val="112"/>
          <w:highlight w:val="none"/>
          <w14:textFill>
            <w14:solidFill>
              <w14:schemeClr w14:val="tx1"/>
            </w14:solidFill>
          </w14:textFill>
        </w:rPr>
        <w:t>第五章 技术/服务需求书</w:t>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tab/>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fldChar w:fldCharType="begin"/>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instrText xml:space="preserve"> PAGEREF _Toc112522732 \h </w:instrText>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fldChar w:fldCharType="separate"/>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t>35</w:t>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fldChar w:fldCharType="end"/>
      </w:r>
      <w:r>
        <w:rPr>
          <w:rFonts w:hint="default" w:ascii="Times New Roman Regular" w:hAnsi="Times New Roman Regular" w:eastAsia="宋体" w:cs="Times New Roman Regular"/>
          <w:bCs/>
          <w:color w:val="000000" w:themeColor="text1"/>
          <w:sz w:val="32"/>
          <w:szCs w:val="44"/>
          <w:highlight w:val="none"/>
          <w14:textFill>
            <w14:solidFill>
              <w14:schemeClr w14:val="tx1"/>
            </w14:solidFill>
          </w14:textFill>
        </w:rPr>
        <w:fldChar w:fldCharType="end"/>
      </w:r>
    </w:p>
    <w:p w14:paraId="20BA1EE9">
      <w:pPr>
        <w:pStyle w:val="17"/>
        <w:tabs>
          <w:tab w:val="right" w:leader="dot" w:pos="9071"/>
        </w:tabs>
        <w:spacing w:line="480" w:lineRule="auto"/>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pPr>
      <w:r>
        <w:rPr>
          <w:rFonts w:hint="default" w:ascii="Times New Roman Regular" w:hAnsi="Times New Roman Regular" w:eastAsia="宋体" w:cs="Times New Roman Regular"/>
          <w:bCs/>
          <w:color w:val="000000" w:themeColor="text1"/>
          <w:sz w:val="32"/>
          <w:szCs w:val="44"/>
          <w:highlight w:val="none"/>
          <w14:textFill>
            <w14:solidFill>
              <w14:schemeClr w14:val="tx1"/>
            </w14:solidFill>
          </w14:textFill>
        </w:rPr>
        <w:fldChar w:fldCharType="begin"/>
      </w:r>
      <w:r>
        <w:rPr>
          <w:rFonts w:hint="default" w:ascii="Times New Roman Regular" w:hAnsi="Times New Roman Regular" w:eastAsia="宋体" w:cs="Times New Roman Regular"/>
          <w:bCs/>
          <w:color w:val="000000" w:themeColor="text1"/>
          <w:sz w:val="32"/>
          <w:szCs w:val="44"/>
          <w:highlight w:val="none"/>
          <w14:textFill>
            <w14:solidFill>
              <w14:schemeClr w14:val="tx1"/>
            </w14:solidFill>
          </w14:textFill>
        </w:rPr>
        <w:instrText xml:space="preserve"> HYPERLINK \l _Toc1383947364 </w:instrText>
      </w:r>
      <w:r>
        <w:rPr>
          <w:rFonts w:hint="default" w:ascii="Times New Roman Regular" w:hAnsi="Times New Roman Regular" w:eastAsia="宋体" w:cs="Times New Roman Regular"/>
          <w:bCs/>
          <w:color w:val="000000" w:themeColor="text1"/>
          <w:sz w:val="32"/>
          <w:szCs w:val="44"/>
          <w:highlight w:val="none"/>
          <w14:textFill>
            <w14:solidFill>
              <w14:schemeClr w14:val="tx1"/>
            </w14:solidFill>
          </w14:textFill>
        </w:rPr>
        <w:fldChar w:fldCharType="separate"/>
      </w:r>
      <w:r>
        <w:rPr>
          <w:rFonts w:hint="default" w:ascii="Times New Roman Regular" w:hAnsi="Times New Roman Regular" w:eastAsia="宋体" w:cs="Times New Roman Regular"/>
          <w:bCs/>
          <w:color w:val="000000" w:themeColor="text1"/>
          <w:sz w:val="32"/>
          <w:szCs w:val="112"/>
          <w:highlight w:val="none"/>
          <w14:textFill>
            <w14:solidFill>
              <w14:schemeClr w14:val="tx1"/>
            </w14:solidFill>
          </w14:textFill>
        </w:rPr>
        <w:t>第六章 附  件</w:t>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tab/>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fldChar w:fldCharType="begin"/>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instrText xml:space="preserve"> PAGEREF _Toc1383947364 \h </w:instrText>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fldChar w:fldCharType="separate"/>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t>60</w:t>
      </w:r>
      <w:r>
        <w:rPr>
          <w:rFonts w:hint="default" w:ascii="Times New Roman Regular" w:hAnsi="Times New Roman Regular" w:eastAsia="宋体" w:cs="Times New Roman Regular"/>
          <w:color w:val="000000" w:themeColor="text1"/>
          <w:sz w:val="32"/>
          <w:szCs w:val="32"/>
          <w:highlight w:val="none"/>
          <w14:textFill>
            <w14:solidFill>
              <w14:schemeClr w14:val="tx1"/>
            </w14:solidFill>
          </w14:textFill>
        </w:rPr>
        <w:fldChar w:fldCharType="end"/>
      </w:r>
      <w:r>
        <w:rPr>
          <w:rFonts w:hint="default" w:ascii="Times New Roman Regular" w:hAnsi="Times New Roman Regular" w:eastAsia="宋体" w:cs="Times New Roman Regular"/>
          <w:bCs/>
          <w:color w:val="000000" w:themeColor="text1"/>
          <w:sz w:val="32"/>
          <w:szCs w:val="44"/>
          <w:highlight w:val="none"/>
          <w14:textFill>
            <w14:solidFill>
              <w14:schemeClr w14:val="tx1"/>
            </w14:solidFill>
          </w14:textFill>
        </w:rPr>
        <w:fldChar w:fldCharType="end"/>
      </w:r>
    </w:p>
    <w:p w14:paraId="60DB1FC6">
      <w:pPr>
        <w:pStyle w:val="17"/>
        <w:tabs>
          <w:tab w:val="right" w:leader="dot" w:pos="9071"/>
        </w:tabs>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65692622">
      <w:pPr>
        <w:spacing w:line="360" w:lineRule="auto"/>
        <w:jc w:val="center"/>
        <w:rPr>
          <w:rFonts w:hint="default" w:ascii="Times New Roman Regular" w:hAnsi="Times New Roman Regular" w:eastAsia="宋体" w:cs="Times New Roman Regular"/>
          <w:b/>
          <w:color w:val="000000" w:themeColor="text1"/>
          <w:sz w:val="44"/>
          <w:highlight w:val="none"/>
          <w14:textFill>
            <w14:solidFill>
              <w14:schemeClr w14:val="tx1"/>
            </w14:solidFill>
          </w14:textFill>
        </w:rPr>
      </w:pPr>
      <w: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fldChar w:fldCharType="end"/>
      </w:r>
    </w:p>
    <w:p w14:paraId="0DE8D087">
      <w:pPr>
        <w:spacing w:line="360" w:lineRule="auto"/>
        <w:rPr>
          <w:rFonts w:hint="default" w:ascii="Times New Roman Regular" w:hAnsi="Times New Roman Regular" w:eastAsia="宋体" w:cs="Times New Roman Regular"/>
          <w:b/>
          <w:color w:val="000000" w:themeColor="text1"/>
          <w:sz w:val="44"/>
          <w:highlight w:val="none"/>
          <w14:textFill>
            <w14:solidFill>
              <w14:schemeClr w14:val="tx1"/>
            </w14:solidFill>
          </w14:textFill>
        </w:rPr>
      </w:pPr>
    </w:p>
    <w:p w14:paraId="37948D48">
      <w:pPr>
        <w:spacing w:line="360" w:lineRule="auto"/>
        <w:rPr>
          <w:rFonts w:hint="default" w:ascii="Times New Roman Regular" w:hAnsi="Times New Roman Regular" w:eastAsia="宋体" w:cs="Times New Roman Regular"/>
          <w:color w:val="000000" w:themeColor="text1"/>
          <w:sz w:val="44"/>
          <w:highlight w:val="none"/>
          <w14:textFill>
            <w14:solidFill>
              <w14:schemeClr w14:val="tx1"/>
            </w14:solidFill>
          </w14:textFill>
        </w:rPr>
      </w:pPr>
    </w:p>
    <w:p w14:paraId="2182F6B2">
      <w:pPr>
        <w:pStyle w:val="3"/>
        <w:spacing w:line="360" w:lineRule="auto"/>
        <w:jc w:val="center"/>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sectPr>
          <w:headerReference r:id="rId4" w:type="default"/>
          <w:pgSz w:w="11905" w:h="16838"/>
          <w:pgMar w:top="1440" w:right="1417" w:bottom="1440" w:left="1417" w:header="850" w:footer="992" w:gutter="0"/>
          <w:cols w:space="720" w:num="1"/>
          <w:docGrid w:type="lines" w:linePitch="317" w:charSpace="0"/>
        </w:sectPr>
      </w:pPr>
      <w:bookmarkStart w:id="1" w:name="_Toc161767416"/>
      <w:bookmarkStart w:id="2" w:name="_Toc135998989"/>
      <w:bookmarkStart w:id="3" w:name="_Toc198090550"/>
    </w:p>
    <w:p w14:paraId="753E90C2">
      <w:pPr>
        <w:pStyle w:val="3"/>
        <w:spacing w:line="360" w:lineRule="auto"/>
        <w:jc w:val="center"/>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pPr>
      <w:bookmarkStart w:id="4" w:name="_Toc1762689677"/>
      <w:r>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t xml:space="preserve">第一章 </w:t>
      </w:r>
      <w:bookmarkEnd w:id="1"/>
      <w:bookmarkEnd w:id="2"/>
      <w:r>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t>招标公告</w:t>
      </w:r>
      <w:bookmarkEnd w:id="3"/>
      <w:bookmarkEnd w:id="4"/>
    </w:p>
    <w:p w14:paraId="17BAC3AF">
      <w:pPr>
        <w:spacing w:line="360" w:lineRule="auto"/>
        <w:jc w:val="center"/>
        <w:rPr>
          <w:rStyle w:val="32"/>
          <w:rFonts w:hint="default" w:ascii="Times New Roman Regular" w:hAnsi="Times New Roman Regular" w:eastAsia="宋体" w:cs="Times New Roman Regular"/>
          <w:color w:val="000000" w:themeColor="text1"/>
          <w:sz w:val="36"/>
          <w:szCs w:val="36"/>
          <w:highlight w:val="none"/>
          <w14:textFill>
            <w14:solidFill>
              <w14:schemeClr w14:val="tx1"/>
            </w14:solidFill>
          </w14:textFill>
        </w:rPr>
        <w:sectPr>
          <w:pgSz w:w="11906" w:h="16838"/>
          <w:pgMar w:top="1440" w:right="1800" w:bottom="1440" w:left="1800" w:header="851" w:footer="992" w:gutter="0"/>
          <w:cols w:space="425" w:num="1"/>
          <w:docGrid w:type="lines" w:linePitch="312" w:charSpace="0"/>
        </w:sectPr>
      </w:pPr>
    </w:p>
    <w:p w14:paraId="645CD80C">
      <w:pPr>
        <w:spacing w:line="360" w:lineRule="auto"/>
        <w:jc w:val="center"/>
        <w:rPr>
          <w:rStyle w:val="32"/>
          <w:rFonts w:hint="default" w:ascii="Times New Roman Regular" w:hAnsi="Times New Roman Regular" w:eastAsia="宋体" w:cs="Times New Roman Regular"/>
          <w:color w:val="000000" w:themeColor="text1"/>
          <w:sz w:val="36"/>
          <w:szCs w:val="36"/>
          <w:highlight w:val="none"/>
          <w14:textFill>
            <w14:solidFill>
              <w14:schemeClr w14:val="tx1"/>
            </w14:solidFill>
          </w14:textFill>
        </w:rPr>
      </w:pPr>
      <w:r>
        <w:rPr>
          <w:rStyle w:val="32"/>
          <w:rFonts w:hint="default" w:ascii="Times New Roman Regular" w:hAnsi="Times New Roman Regular" w:eastAsia="宋体" w:cs="Times New Roman Regular"/>
          <w:color w:val="000000" w:themeColor="text1"/>
          <w:sz w:val="36"/>
          <w:szCs w:val="36"/>
          <w:highlight w:val="none"/>
          <w14:textFill>
            <w14:solidFill>
              <w14:schemeClr w14:val="tx1"/>
            </w14:solidFill>
          </w14:textFill>
        </w:rPr>
        <w:t>招标公告</w:t>
      </w:r>
    </w:p>
    <w:p w14:paraId="33135709">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江苏省招标中心有限公司（以下简称“招标代理机构”）受</w:t>
      </w:r>
      <w:r>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t>成方金融科技有限公司</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（以下简称“招标人”）的委托，代理组织</w:t>
      </w:r>
      <w:r>
        <w:rPr>
          <w:rFonts w:hint="eastAsia" w:ascii="Times New Roman Regular" w:hAnsi="Times New Roman Regular" w:cs="Times New Roman Regular"/>
          <w:color w:val="000000" w:themeColor="text1"/>
          <w:szCs w:val="21"/>
          <w:highlight w:val="none"/>
          <w:lang w:eastAsia="zh-CN"/>
          <w14:textFill>
            <w14:solidFill>
              <w14:schemeClr w14:val="tx1"/>
            </w14:solidFill>
          </w14:textFill>
        </w:rPr>
        <w:t>成方金科上海分公司数据平台系统实时监测技术服务采购项目</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的公开招标工作。现邀请有诚意且满足基本资质要求的投标人参加投标。</w:t>
      </w:r>
    </w:p>
    <w:p w14:paraId="1C799B6D">
      <w:pPr>
        <w:spacing w:line="360" w:lineRule="auto"/>
        <w:ind w:firstLine="422" w:firstLineChars="200"/>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t>一、项目名称、编号</w:t>
      </w:r>
    </w:p>
    <w:p w14:paraId="5334B966">
      <w:pPr>
        <w:spacing w:line="360" w:lineRule="auto"/>
        <w:ind w:firstLine="420" w:firstLineChars="200"/>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项目名称：</w:t>
      </w:r>
      <w:r>
        <w:rPr>
          <w:rFonts w:hint="eastAsia" w:ascii="Times New Roman Regular" w:hAnsi="Times New Roman Regular" w:cs="Times New Roman Regular"/>
          <w:color w:val="000000" w:themeColor="text1"/>
          <w:szCs w:val="21"/>
          <w:highlight w:val="none"/>
          <w:lang w:eastAsia="zh-CN"/>
          <w14:textFill>
            <w14:solidFill>
              <w14:schemeClr w14:val="tx1"/>
            </w14:solidFill>
          </w14:textFill>
        </w:rPr>
        <w:t>成方金科上海分公司数据平台系统实时监测技术服务采购项目</w:t>
      </w:r>
    </w:p>
    <w:p w14:paraId="637878E3">
      <w:pPr>
        <w:spacing w:line="360" w:lineRule="auto"/>
        <w:ind w:firstLine="420" w:firstLineChars="200"/>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招标编号：</w:t>
      </w:r>
      <w:r>
        <w:rPr>
          <w:rFonts w:hint="eastAsia" w:ascii="Times New Roman Regular" w:hAnsi="Times New Roman Regular" w:cs="Times New Roman Regular"/>
          <w:color w:val="000000" w:themeColor="text1"/>
          <w:szCs w:val="21"/>
          <w:highlight w:val="none"/>
          <w:lang w:eastAsia="zh-CN"/>
          <w14:textFill>
            <w14:solidFill>
              <w14:schemeClr w14:val="tx1"/>
            </w14:solidFill>
          </w14:textFill>
        </w:rPr>
        <w:t>JSTCC26025202531</w:t>
      </w:r>
    </w:p>
    <w:p w14:paraId="5461878D">
      <w:pPr>
        <w:spacing w:line="360" w:lineRule="auto"/>
        <w:ind w:firstLine="420" w:firstLineChars="200"/>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采购人</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编号：</w:t>
      </w:r>
      <w:r>
        <w:rPr>
          <w:rFonts w:hint="eastAsia" w:ascii="Times New Roman Regular" w:hAnsi="Times New Roman Regular" w:cs="Times New Roman Regular"/>
          <w:color w:val="000000" w:themeColor="text1"/>
          <w:szCs w:val="21"/>
          <w:highlight w:val="none"/>
          <w:lang w:eastAsia="zh-CN"/>
          <w14:textFill>
            <w14:solidFill>
              <w14:schemeClr w14:val="tx1"/>
            </w14:solidFill>
          </w14:textFill>
        </w:rPr>
        <w:t>PT20260</w:t>
      </w:r>
      <w:r>
        <w:rPr>
          <w:rFonts w:hint="eastAsia" w:ascii="Times New Roman Regular" w:hAnsi="Times New Roman Regular" w:cs="Times New Roman Regular"/>
          <w:color w:val="000000" w:themeColor="text1"/>
          <w:szCs w:val="21"/>
          <w:highlight w:val="none"/>
          <w:lang w:val="en-US" w:eastAsia="zh-CN"/>
          <w14:textFill>
            <w14:solidFill>
              <w14:schemeClr w14:val="tx1"/>
            </w14:solidFill>
          </w14:textFill>
        </w:rPr>
        <w:t>16</w:t>
      </w:r>
    </w:p>
    <w:p w14:paraId="110D8ADE">
      <w:pPr>
        <w:spacing w:line="360" w:lineRule="auto"/>
        <w:ind w:firstLine="420" w:firstLineChars="200"/>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pPr>
    </w:p>
    <w:p w14:paraId="3C99FE07">
      <w:pPr>
        <w:numPr>
          <w:ilvl w:val="0"/>
          <w:numId w:val="1"/>
        </w:numPr>
        <w:spacing w:line="360" w:lineRule="auto"/>
        <w:ind w:left="420" w:leftChars="200"/>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t>项目简介</w:t>
      </w:r>
    </w:p>
    <w:p w14:paraId="134EDA96">
      <w:pPr>
        <w:pStyle w:val="21"/>
        <w:keepNext w:val="0"/>
        <w:keepLines w:val="0"/>
        <w:widowControl w:val="0"/>
        <w:suppressLineNumbers w:val="0"/>
        <w:spacing w:before="0" w:beforeAutospacing="0" w:after="0" w:afterAutospacing="0" w:line="360" w:lineRule="auto"/>
        <w:ind w:left="0" w:right="0" w:firstLine="420" w:firstLineChars="200"/>
        <w:jc w:val="both"/>
        <w:rPr>
          <w:rFonts w:hint="default" w:ascii="Times New Roman Regular" w:hAnsi="Times New Roman Regular" w:eastAsia="宋体" w:cs="Times New Roman Regular"/>
          <w:color w:val="000000" w:themeColor="text1"/>
          <w:kern w:val="2"/>
          <w:sz w:val="2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2"/>
          <w:sz w:val="21"/>
          <w:szCs w:val="21"/>
          <w:highlight w:val="none"/>
          <w:lang w:val="en-US" w:eastAsia="zh-CN" w:bidi="ar"/>
          <w14:textFill>
            <w14:solidFill>
              <w14:schemeClr w14:val="tx1"/>
            </w14:solidFill>
          </w14:textFill>
        </w:rPr>
        <w:t>1.采购预算：人民币244.56万元</w:t>
      </w:r>
      <w:r>
        <w:rPr>
          <w:rFonts w:hint="eastAsia" w:ascii="Times New Roman Regular" w:hAnsi="Times New Roman Regular" w:cs="Times New Roman Regular"/>
          <w:color w:val="000000" w:themeColor="text1"/>
          <w:kern w:val="2"/>
          <w:sz w:val="21"/>
          <w:szCs w:val="21"/>
          <w:highlight w:val="none"/>
          <w:lang w:val="en-US" w:eastAsia="zh-CN" w:bidi="ar"/>
          <w14:textFill>
            <w14:solidFill>
              <w14:schemeClr w14:val="tx1"/>
            </w14:solidFill>
          </w14:textFill>
        </w:rPr>
        <w:t>。</w:t>
      </w:r>
    </w:p>
    <w:p w14:paraId="3D8B93EC">
      <w:pPr>
        <w:pStyle w:val="43"/>
        <w:numPr>
          <w:ilvl w:val="-1"/>
          <w:numId w:val="0"/>
        </w:numPr>
        <w:spacing w:line="360" w:lineRule="auto"/>
        <w:ind w:left="0" w:leftChars="0" w:firstLine="420" w:firstLineChars="200"/>
        <w:rPr>
          <w:rFonts w:hint="default" w:ascii="Times New Roman Regular" w:hAnsi="Times New Roman Regular" w:eastAsia="宋体" w:cs="Times New Roman Regular"/>
          <w:color w:val="000000" w:themeColor="text1"/>
          <w:kern w:val="2"/>
          <w:sz w:val="21"/>
          <w:szCs w:val="21"/>
          <w:highlight w:val="none"/>
          <w:lang w:val="en-US" w:eastAsia="zh-CN" w:bidi="ar-SA"/>
          <w14:textFill>
            <w14:solidFill>
              <w14:schemeClr w14:val="tx1"/>
            </w14:solidFill>
          </w14:textFill>
        </w:rPr>
      </w:pPr>
      <w:r>
        <w:rPr>
          <w:rFonts w:hint="default" w:ascii="Times New Roman Regular" w:hAnsi="Times New Roman Regular" w:eastAsia="宋体" w:cs="Times New Roman Regular"/>
          <w:color w:val="000000" w:themeColor="text1"/>
          <w:kern w:val="2"/>
          <w:sz w:val="21"/>
          <w:szCs w:val="21"/>
          <w:highlight w:val="none"/>
          <w14:textFill>
            <w14:solidFill>
              <w14:schemeClr w14:val="tx1"/>
            </w14:solidFill>
          </w14:textFill>
        </w:rPr>
        <w:t>2.最高限价：</w:t>
      </w:r>
      <w:r>
        <w:rPr>
          <w:rFonts w:hint="eastAsia" w:ascii="Times New Roman Regular" w:hAnsi="Times New Roman Regular" w:eastAsia="宋体" w:cs="Times New Roman Regular"/>
          <w:color w:val="000000" w:themeColor="text1"/>
          <w:kern w:val="2"/>
          <w:sz w:val="21"/>
          <w:szCs w:val="21"/>
          <w:highlight w:val="none"/>
          <w:lang w:val="en-US" w:eastAsia="zh-CN"/>
          <w14:textFill>
            <w14:solidFill>
              <w14:schemeClr w14:val="tx1"/>
            </w14:solidFill>
          </w14:textFill>
        </w:rPr>
        <w:t>最高限价为244.56</w:t>
      </w:r>
      <w:r>
        <w:rPr>
          <w:rFonts w:hint="default" w:ascii="Times New Roman Regular" w:hAnsi="Times New Roman Regular" w:eastAsia="宋体" w:cs="Times New Roman Regular"/>
          <w:color w:val="000000" w:themeColor="text1"/>
          <w:kern w:val="2"/>
          <w:sz w:val="21"/>
          <w:szCs w:val="21"/>
          <w:highlight w:val="none"/>
          <w14:textFill>
            <w14:solidFill>
              <w14:schemeClr w14:val="tx1"/>
            </w14:solidFill>
          </w14:textFill>
        </w:rPr>
        <w:t>万元，投标人响应报价不得高于最高限价，否则作无效响应处理。</w:t>
      </w:r>
    </w:p>
    <w:p w14:paraId="69992756">
      <w:pPr>
        <w:pStyle w:val="43"/>
        <w:numPr>
          <w:ilvl w:val="0"/>
          <w:numId w:val="0"/>
        </w:numPr>
        <w:spacing w:line="360" w:lineRule="auto"/>
        <w:ind w:left="0" w:leftChars="0" w:firstLine="420" w:firstLineChars="200"/>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pPr>
      <w:r>
        <w:rPr>
          <w:rFonts w:hint="default" w:ascii="Times New Roman Regular" w:hAnsi="Times New Roman Regular" w:eastAsia="宋体" w:cs="Times New Roman Regular"/>
          <w:color w:val="000000" w:themeColor="text1"/>
          <w:kern w:val="2"/>
          <w:sz w:val="21"/>
          <w:szCs w:val="21"/>
          <w:highlight w:val="none"/>
          <w:lang w:val="en-US" w:eastAsia="zh-CN" w:bidi="ar-SA"/>
          <w14:textFill>
            <w14:solidFill>
              <w14:schemeClr w14:val="tx1"/>
            </w14:solidFill>
          </w14:textFill>
        </w:rPr>
        <w:t>3.</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服务内容：</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br w:type="textWrapping"/>
      </w:r>
      <w:r>
        <w:rPr>
          <w:rFonts w:hint="eastAsia"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ab/>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（1）实时同步软件：完成数据平台系统中实现债券、外汇、利率、大宗、信用等公司各业务系统的数据接入。</w:t>
      </w:r>
    </w:p>
    <w:p w14:paraId="0F331508">
      <w:pPr>
        <w:pStyle w:val="43"/>
        <w:numPr>
          <w:ilvl w:val="0"/>
          <w:numId w:val="0"/>
        </w:numPr>
        <w:spacing w:line="360" w:lineRule="auto"/>
        <w:ind w:left="0" w:leftChars="0" w:firstLine="420" w:firstLineChars="200"/>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（2）开发服务：实现各项业务的实时监测，并支持实时数据分析；项目上线验收通过后，提供一年免费技术支持服务。</w:t>
      </w:r>
    </w:p>
    <w:p w14:paraId="4A60A31D">
      <w:pPr>
        <w:pStyle w:val="43"/>
        <w:numPr>
          <w:ilvl w:val="0"/>
          <w:numId w:val="0"/>
        </w:numPr>
        <w:spacing w:line="360" w:lineRule="auto"/>
        <w:ind w:left="0" w:leftChars="0" w:firstLine="420" w:firstLineChars="200"/>
        <w:rPr>
          <w:rFonts w:hint="eastAsia" w:ascii="Times New Roman Regular" w:hAnsi="Times New Roman Regular" w:eastAsia="宋体" w:cs="Times New Roman Regular"/>
          <w:color w:val="000000" w:themeColor="text1"/>
          <w:szCs w:val="21"/>
          <w:highlight w:val="none"/>
          <w:lang w:eastAsia="zh-CN"/>
          <w14:textFill>
            <w14:solidFill>
              <w14:schemeClr w14:val="tx1"/>
            </w14:solidFill>
          </w14:textFill>
        </w:rPr>
      </w:pPr>
      <w:r>
        <w:rPr>
          <w:rFonts w:hint="eastAsia"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4</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服务期限：自合同签订之日起至全部服务内容履行完成，计划2026年9月具备上线投产条件。</w:t>
      </w:r>
    </w:p>
    <w:p w14:paraId="30880118">
      <w:pPr>
        <w:pStyle w:val="43"/>
        <w:numPr>
          <w:ilvl w:val="0"/>
          <w:numId w:val="0"/>
        </w:numPr>
        <w:spacing w:line="360" w:lineRule="auto"/>
        <w:ind w:left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eastAsia"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5</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.资金来源：自</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有</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资金。</w:t>
      </w:r>
    </w:p>
    <w:p w14:paraId="401B66B3">
      <w:pPr>
        <w:pStyle w:val="24"/>
        <w:spacing w:line="360" w:lineRule="auto"/>
        <w:ind w:firstLine="640"/>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p>
    <w:p w14:paraId="763FAA4E">
      <w:pPr>
        <w:spacing w:line="360" w:lineRule="auto"/>
        <w:ind w:left="420" w:leftChars="200"/>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t>三、合格投标人的基本资质要求</w:t>
      </w:r>
    </w:p>
    <w:p w14:paraId="0F3B72F7">
      <w:pPr>
        <w:spacing w:line="360" w:lineRule="auto"/>
        <w:ind w:firstLine="420" w:firstLineChars="200"/>
        <w:jc w:val="left"/>
        <w:rPr>
          <w:rFonts w:hint="default" w:ascii="Times New Roman Regular" w:hAnsi="Times New Roman Regular" w:eastAsia="宋体" w:cs="Times New Roman Regular"/>
          <w:color w:val="000000" w:themeColor="text1"/>
          <w:szCs w:val="21"/>
          <w:highlight w:val="none"/>
          <w:shd w:val="clear" w:color="auto" w:fill="FFFFFF"/>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w:t>
      </w:r>
      <w:r>
        <w:rPr>
          <w:rFonts w:hint="default" w:ascii="Times New Roman Regular" w:hAnsi="Times New Roman Regular" w:eastAsia="宋体" w:cs="Times New Roman Regular"/>
          <w:color w:val="000000" w:themeColor="text1"/>
          <w:szCs w:val="21"/>
          <w:highlight w:val="none"/>
          <w:shd w:val="clear" w:color="auto" w:fill="FFFFFF"/>
          <w14:textFill>
            <w14:solidFill>
              <w14:schemeClr w14:val="tx1"/>
            </w14:solidFill>
          </w14:textFill>
        </w:rPr>
        <w:t>符合《中华人民共和国政府采购法》第二十二条的规定,投标人必须在投标文件中提供下</w:t>
      </w:r>
      <w:r>
        <w:rPr>
          <w:rFonts w:hint="default" w:ascii="Times New Roman Regular" w:hAnsi="Times New Roman Regular" w:eastAsia="宋体" w:cs="Times New Roman Regular"/>
          <w:color w:val="000000" w:themeColor="text1"/>
          <w:szCs w:val="21"/>
          <w:highlight w:val="none"/>
          <w:shd w:val="clear" w:color="auto" w:fill="FFFFFF"/>
          <w:lang w:val="en-US" w:eastAsia="zh-CN"/>
          <w14:textFill>
            <w14:solidFill>
              <w14:schemeClr w14:val="tx1"/>
            </w14:solidFill>
          </w14:textFill>
        </w:rPr>
        <w:t>列</w:t>
      </w:r>
      <w:r>
        <w:rPr>
          <w:rFonts w:hint="default" w:ascii="Times New Roman Regular" w:hAnsi="Times New Roman Regular" w:eastAsia="宋体" w:cs="Times New Roman Regular"/>
          <w:color w:val="000000" w:themeColor="text1"/>
          <w:szCs w:val="21"/>
          <w:highlight w:val="none"/>
          <w:shd w:val="clear" w:color="auto" w:fill="FFFFFF"/>
          <w14:textFill>
            <w14:solidFill>
              <w14:schemeClr w14:val="tx1"/>
            </w14:solidFill>
          </w14:textFill>
        </w:rPr>
        <w:t>资格证明文件，否则按无效投标处理：</w:t>
      </w:r>
    </w:p>
    <w:p w14:paraId="4522080B">
      <w:pPr>
        <w:spacing w:line="360" w:lineRule="auto"/>
        <w:ind w:firstLine="420" w:firstLineChars="200"/>
        <w:jc w:val="left"/>
        <w:rPr>
          <w:rFonts w:hint="default" w:ascii="Times New Roman Regular" w:hAnsi="Times New Roman Regular" w:eastAsia="宋体" w:cs="Times New Roman Regular"/>
          <w:color w:val="000000" w:themeColor="text1"/>
          <w:szCs w:val="21"/>
          <w:highlight w:val="none"/>
          <w:shd w:val="clear" w:color="auto" w:fill="FFFFFF"/>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shd w:val="clear" w:color="auto" w:fill="FFFFFF"/>
          <w14:textFill>
            <w14:solidFill>
              <w14:schemeClr w14:val="tx1"/>
            </w14:solidFill>
          </w14:textFill>
        </w:rPr>
        <w:t xml:space="preserve">（1）法人或者其他组织的营业执照等证明文件，自然人的身份证明； </w:t>
      </w:r>
    </w:p>
    <w:p w14:paraId="1A43AE1C">
      <w:pPr>
        <w:spacing w:line="360" w:lineRule="auto"/>
        <w:ind w:firstLine="420" w:firstLineChars="200"/>
        <w:jc w:val="left"/>
        <w:rPr>
          <w:rFonts w:hint="default" w:ascii="Times New Roman Regular" w:hAnsi="Times New Roman Regular" w:eastAsia="宋体" w:cs="Times New Roman Regular"/>
          <w:color w:val="000000" w:themeColor="text1"/>
          <w:szCs w:val="21"/>
          <w:highlight w:val="none"/>
          <w:shd w:val="clear" w:color="auto" w:fill="FFFFFF"/>
          <w:lang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shd w:val="clear" w:color="auto" w:fill="FFFFFF"/>
          <w14:textFill>
            <w14:solidFill>
              <w14:schemeClr w14:val="tx1"/>
            </w14:solidFill>
          </w14:textFill>
        </w:rPr>
        <w:t>（2）具有良好的商业信誉和健全的财务会计制度</w:t>
      </w:r>
      <w:r>
        <w:rPr>
          <w:rFonts w:hint="default" w:ascii="Times New Roman Regular" w:hAnsi="Times New Roman Regular" w:eastAsia="宋体" w:cs="Times New Roman Regular"/>
          <w:b/>
          <w:bCs/>
          <w:color w:val="000000" w:themeColor="text1"/>
          <w:szCs w:val="21"/>
          <w:highlight w:val="none"/>
          <w:shd w:val="clear" w:color="auto" w:fill="FFFFFF"/>
          <w14:textFill>
            <w14:solidFill>
              <w14:schemeClr w14:val="tx1"/>
            </w14:solidFill>
          </w14:textFill>
        </w:rPr>
        <w:t>(须提供承诺书；或提供2024</w:t>
      </w:r>
      <w:r>
        <w:rPr>
          <w:rFonts w:hint="eastAsia" w:ascii="Times New Roman Regular" w:hAnsi="Times New Roman Regular" w:cs="Times New Roman Regular"/>
          <w:b/>
          <w:bCs/>
          <w:color w:val="000000" w:themeColor="text1"/>
          <w:szCs w:val="21"/>
          <w:highlight w:val="none"/>
          <w:shd w:val="clear" w:color="auto" w:fill="FFFFFF"/>
          <w:lang w:val="en-US" w:eastAsia="zh-CN"/>
          <w14:textFill>
            <w14:solidFill>
              <w14:schemeClr w14:val="tx1"/>
            </w14:solidFill>
          </w14:textFill>
        </w:rPr>
        <w:t>或2025</w:t>
      </w:r>
      <w:r>
        <w:rPr>
          <w:rFonts w:hint="default" w:ascii="Times New Roman Regular" w:hAnsi="Times New Roman Regular" w:eastAsia="宋体" w:cs="Times New Roman Regular"/>
          <w:b/>
          <w:bCs/>
          <w:color w:val="000000" w:themeColor="text1"/>
          <w:szCs w:val="21"/>
          <w:highlight w:val="none"/>
          <w:shd w:val="clear" w:color="auto" w:fill="FFFFFF"/>
          <w14:textFill>
            <w14:solidFill>
              <w14:schemeClr w14:val="tx1"/>
            </w14:solidFill>
          </w14:textFill>
        </w:rPr>
        <w:t>年度的供应商经审计的财务报告复印件（加盖供应商公章，至少包含资产负债表、现金流量表、利润表），或在投标截止时间前三个月内开具的资信证明复印件)</w:t>
      </w:r>
      <w:r>
        <w:rPr>
          <w:rFonts w:hint="default" w:ascii="Times New Roman Regular" w:hAnsi="Times New Roman Regular" w:eastAsia="宋体" w:cs="Times New Roman Regular"/>
          <w:color w:val="000000" w:themeColor="text1"/>
          <w:szCs w:val="21"/>
          <w:highlight w:val="none"/>
          <w:shd w:val="clear" w:color="auto" w:fill="FFFFFF"/>
          <w14:textFill>
            <w14:solidFill>
              <w14:schemeClr w14:val="tx1"/>
            </w14:solidFill>
          </w14:textFill>
        </w:rPr>
        <w:t>；</w:t>
      </w:r>
    </w:p>
    <w:p w14:paraId="4DF9701D">
      <w:pPr>
        <w:spacing w:line="360" w:lineRule="auto"/>
        <w:ind w:firstLine="420" w:firstLineChars="200"/>
        <w:jc w:val="left"/>
        <w:rPr>
          <w:rFonts w:hint="default" w:ascii="Times New Roman Regular" w:hAnsi="Times New Roman Regular" w:eastAsia="宋体" w:cs="Times New Roman Regular"/>
          <w:color w:val="000000" w:themeColor="text1"/>
          <w:szCs w:val="21"/>
          <w:highlight w:val="none"/>
          <w:shd w:val="clear" w:color="auto" w:fill="FFFFFF"/>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shd w:val="clear" w:color="auto" w:fill="FFFFFF"/>
          <w14:textFill>
            <w14:solidFill>
              <w14:schemeClr w14:val="tx1"/>
            </w14:solidFill>
          </w14:textFill>
        </w:rPr>
        <w:t>（3）具备履行合同所必需的设备和专业技术能力的证明材料(</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须提供承诺书</w:t>
      </w:r>
      <w:r>
        <w:rPr>
          <w:rFonts w:hint="default" w:ascii="Times New Roman Regular" w:hAnsi="Times New Roman Regular" w:eastAsia="宋体" w:cs="Times New Roman Regular"/>
          <w:color w:val="000000" w:themeColor="text1"/>
          <w:szCs w:val="21"/>
          <w:highlight w:val="none"/>
          <w:shd w:val="clear" w:color="auto" w:fill="FFFFFF"/>
          <w14:textFill>
            <w14:solidFill>
              <w14:schemeClr w14:val="tx1"/>
            </w14:solidFill>
          </w14:textFill>
        </w:rPr>
        <w:t>)；</w:t>
      </w:r>
    </w:p>
    <w:p w14:paraId="52E6707A">
      <w:pPr>
        <w:spacing w:line="360" w:lineRule="auto"/>
        <w:ind w:firstLine="420" w:firstLineChars="200"/>
        <w:jc w:val="left"/>
        <w:rPr>
          <w:rFonts w:hint="default" w:ascii="Times New Roman Regular" w:hAnsi="Times New Roman Regular" w:eastAsia="宋体" w:cs="Times New Roman Regular"/>
          <w:color w:val="000000" w:themeColor="text1"/>
          <w:szCs w:val="21"/>
          <w:highlight w:val="none"/>
          <w:shd w:val="clear" w:color="auto" w:fill="FFFFFF"/>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shd w:val="clear" w:color="auto" w:fill="FFFFFF"/>
          <w14:textFill>
            <w14:solidFill>
              <w14:schemeClr w14:val="tx1"/>
            </w14:solidFill>
          </w14:textFill>
        </w:rPr>
        <w:t>（4）参加采购活动前3年内在经营活动中没有重大违法记录的书面声明(</w:t>
      </w:r>
      <w:r>
        <w:rPr>
          <w:rFonts w:hint="default" w:ascii="Times New Roman Regular" w:hAnsi="Times New Roman Regular" w:eastAsia="宋体" w:cs="Times New Roman Regular"/>
          <w:b/>
          <w:bCs/>
          <w:color w:val="000000" w:themeColor="text1"/>
          <w:szCs w:val="21"/>
          <w:highlight w:val="none"/>
          <w:shd w:val="clear" w:color="auto" w:fill="FFFFFF"/>
          <w14:textFill>
            <w14:solidFill>
              <w14:schemeClr w14:val="tx1"/>
            </w14:solidFill>
          </w14:textFill>
        </w:rPr>
        <w:t>供应商应提供书面承诺</w:t>
      </w:r>
      <w:r>
        <w:rPr>
          <w:rFonts w:hint="default" w:ascii="Times New Roman Regular" w:hAnsi="Times New Roman Regular" w:eastAsia="宋体" w:cs="Times New Roman Regular"/>
          <w:color w:val="000000" w:themeColor="text1"/>
          <w:szCs w:val="21"/>
          <w:highlight w:val="none"/>
          <w:shd w:val="clear" w:color="auto" w:fill="FFFFFF"/>
          <w14:textFill>
            <w14:solidFill>
              <w14:schemeClr w14:val="tx1"/>
            </w14:solidFill>
          </w14:textFill>
        </w:rPr>
        <w:t>)；</w:t>
      </w:r>
    </w:p>
    <w:p w14:paraId="244456A4">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注1：重大违法记录是指供应商因违法经营受到刑事处罚或者责令停产停业、吊销许可证或者执照、较大数额罚款（200万元以上）等行政处罚；</w:t>
      </w:r>
    </w:p>
    <w:p w14:paraId="423E90BA">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注2：投标人在参加采购活动前3年内因违法经营被禁止在一定期限内参加政府采购活动，期限届满的，可以参加采购活动。</w:t>
      </w:r>
    </w:p>
    <w:p w14:paraId="1A5CF374">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必须为未被“信用中国”网站（www.creditchina.gov.cn)列入失信被执行人、重大税收违法失信主体和政府采购严重违法失信行为记录名单的供应商，否则其响应将被拒绝。</w:t>
      </w:r>
    </w:p>
    <w:p w14:paraId="47EDFFDA">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招标人将在递交投标文件截止时间后查询投标人的不良经营行为，投标人存在不良经营行为的，其投标将被作为无效投标被拒绝。</w:t>
      </w:r>
    </w:p>
    <w:p w14:paraId="220A5762">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查询及记录方式：招标人或招标代理机构经办人将查询网页打印并存档备查。投标人不良信用记录以招标人或招标代理机构查询结果为准，招标人或招标代理机构查询之后，网站信息发生的任何变更均不再作为评审依据，投标人自行提供的与网站信息不一致的其他证明材料亦不作为评审依据。</w:t>
      </w:r>
    </w:p>
    <w:p w14:paraId="387478D1">
      <w:pPr>
        <w:spacing w:line="360" w:lineRule="auto"/>
        <w:ind w:firstLine="420" w:firstLineChars="200"/>
        <w:jc w:val="left"/>
        <w:rPr>
          <w:rFonts w:hint="default" w:ascii="Times New Roman Regular" w:hAnsi="Times New Roman Regular" w:eastAsia="宋体" w:cs="Times New Roman Regular"/>
          <w:color w:val="000000" w:themeColor="text1"/>
          <w:szCs w:val="21"/>
          <w:highlight w:val="none"/>
          <w:shd w:val="clear" w:color="auto" w:fill="FFFFFF"/>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shd w:val="clear" w:color="auto" w:fill="FFFFFF"/>
          <w14:textFill>
            <w14:solidFill>
              <w14:schemeClr w14:val="tx1"/>
            </w14:solidFill>
          </w14:textFill>
        </w:rPr>
        <w:t>（5）具备法律、行政法规规定的其他条件的证明材料。</w:t>
      </w:r>
    </w:p>
    <w:p w14:paraId="6BAE9204">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2.投标人可开具正式增值税专用发票（</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须提供承诺书</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w:t>
      </w:r>
    </w:p>
    <w:p w14:paraId="67BB4522">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3.投标人须在法律和财务上独立、合法运作并独立于招标人和代理机构，不得直接或间接地与招标人为本项目所委托的其他机构有任何关联。投标人、投标人主要股东、投标人高管或主要负责人不得与招标人有任何关联关系或利害关系（</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须提供承诺书</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w:t>
      </w:r>
    </w:p>
    <w:p w14:paraId="7ACA8FD6">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4</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.单位负责人为同一人或者存在控股、管理关系的不同单位，不得参加同一标段投标或者未划分标段的同一采购项目投标（</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须提供承诺书</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w:t>
      </w:r>
    </w:p>
    <w:p w14:paraId="7FA2F04C">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5</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须保证，招标人在其本国使用其提供的货物或服务时，不存在任何已知的不合法的情形，也不存在任何已知的与第三方专利权、著作权、商标权或工业设计权相关的任何争议。如果有任何因招标人使用其提供的货物或服务而提起的侵权指控，投标人或原厂商依法承担全部责任（</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须提供承诺书</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w:t>
      </w:r>
    </w:p>
    <w:p w14:paraId="76D23A77">
      <w:pPr>
        <w:spacing w:line="360" w:lineRule="auto"/>
        <w:ind w:firstLine="420" w:firstLineChars="200"/>
        <w:rPr>
          <w:rFonts w:hint="default" w:ascii="Times New Roman Regular" w:hAnsi="Times New Roman Regular" w:eastAsia="宋体" w:cs="Times New Roman Regular"/>
          <w:color w:val="000000" w:themeColor="text1"/>
          <w:kern w:val="2"/>
          <w:sz w:val="21"/>
          <w:szCs w:val="21"/>
          <w:highlight w:val="none"/>
          <w:lang w:val="en-US" w:eastAsia="zh-CN" w:bidi="ar-SA"/>
          <w14:textFill>
            <w14:solidFill>
              <w14:schemeClr w14:val="tx1"/>
            </w14:solidFill>
          </w14:textFill>
        </w:rPr>
      </w:pPr>
      <w:r>
        <w:rPr>
          <w:rFonts w:hint="default" w:ascii="Times New Roman Regular" w:hAnsi="Times New Roman Regular" w:eastAsia="宋体" w:cs="Times New Roman Regular"/>
          <w:color w:val="000000" w:themeColor="text1"/>
          <w:kern w:val="2"/>
          <w:sz w:val="21"/>
          <w:szCs w:val="21"/>
          <w:highlight w:val="none"/>
          <w:lang w:val="en-US" w:eastAsia="zh-CN" w:bidi="ar-SA"/>
          <w14:textFill>
            <w14:solidFill>
              <w14:schemeClr w14:val="tx1"/>
            </w14:solidFill>
          </w14:textFill>
        </w:rPr>
        <w:t>6.本项目不接受将采购内容以任何方式进行转包/分包（</w:t>
      </w:r>
      <w:r>
        <w:rPr>
          <w:rFonts w:hint="default" w:ascii="Times New Roman Regular" w:hAnsi="Times New Roman Regular" w:eastAsia="宋体" w:cs="Times New Roman Regular"/>
          <w:b/>
          <w:bCs/>
          <w:color w:val="000000" w:themeColor="text1"/>
          <w:kern w:val="2"/>
          <w:sz w:val="21"/>
          <w:szCs w:val="21"/>
          <w:highlight w:val="none"/>
          <w:lang w:val="en-US" w:eastAsia="zh-CN" w:bidi="ar-SA"/>
          <w14:textFill>
            <w14:solidFill>
              <w14:schemeClr w14:val="tx1"/>
            </w14:solidFill>
          </w14:textFill>
        </w:rPr>
        <w:t>须提供承诺书</w:t>
      </w:r>
      <w:r>
        <w:rPr>
          <w:rFonts w:hint="default" w:ascii="Times New Roman Regular" w:hAnsi="Times New Roman Regular" w:eastAsia="宋体" w:cs="Times New Roman Regular"/>
          <w:color w:val="000000" w:themeColor="text1"/>
          <w:kern w:val="2"/>
          <w:sz w:val="21"/>
          <w:szCs w:val="21"/>
          <w:highlight w:val="none"/>
          <w:lang w:val="en-US" w:eastAsia="zh-CN" w:bidi="ar-SA"/>
          <w14:textFill>
            <w14:solidFill>
              <w14:schemeClr w14:val="tx1"/>
            </w14:solidFill>
          </w14:textFill>
        </w:rPr>
        <w:t>）。</w:t>
      </w:r>
    </w:p>
    <w:p w14:paraId="03147C2A">
      <w:pPr>
        <w:spacing w:line="360" w:lineRule="auto"/>
        <w:ind w:firstLine="420" w:firstLineChars="200"/>
        <w:rPr>
          <w:rFonts w:hint="default" w:ascii="Times New Roman Regular" w:hAnsi="Times New Roman Regular" w:eastAsia="宋体" w:cs="Times New Roman Regular"/>
          <w:color w:val="000000" w:themeColor="text1"/>
          <w:kern w:val="2"/>
          <w:sz w:val="21"/>
          <w:szCs w:val="21"/>
          <w:highlight w:val="none"/>
          <w:lang w:val="en-US" w:eastAsia="zh-CN" w:bidi="ar-SA"/>
          <w14:textFill>
            <w14:solidFill>
              <w14:schemeClr w14:val="tx1"/>
            </w14:solidFill>
          </w14:textFill>
        </w:rPr>
      </w:pPr>
      <w:r>
        <w:rPr>
          <w:rFonts w:hint="default" w:ascii="Times New Roman Regular" w:hAnsi="Times New Roman Regular" w:eastAsia="宋体" w:cs="Times New Roman Regular"/>
          <w:color w:val="000000" w:themeColor="text1"/>
          <w:kern w:val="2"/>
          <w:sz w:val="21"/>
          <w:szCs w:val="21"/>
          <w:highlight w:val="none"/>
          <w:lang w:val="en-US" w:eastAsia="zh-CN" w:bidi="ar-SA"/>
          <w14:textFill>
            <w14:solidFill>
              <w14:schemeClr w14:val="tx1"/>
            </w14:solidFill>
          </w14:textFill>
        </w:rPr>
        <w:t>7.本项目不接受联合体投标（</w:t>
      </w:r>
      <w:r>
        <w:rPr>
          <w:rFonts w:hint="default" w:ascii="Times New Roman Regular" w:hAnsi="Times New Roman Regular" w:eastAsia="宋体" w:cs="Times New Roman Regular"/>
          <w:b/>
          <w:bCs/>
          <w:color w:val="000000" w:themeColor="text1"/>
          <w:kern w:val="2"/>
          <w:sz w:val="21"/>
          <w:szCs w:val="21"/>
          <w:highlight w:val="none"/>
          <w:lang w:val="en-US" w:eastAsia="zh-CN" w:bidi="ar-SA"/>
          <w14:textFill>
            <w14:solidFill>
              <w14:schemeClr w14:val="tx1"/>
            </w14:solidFill>
          </w14:textFill>
        </w:rPr>
        <w:t>须提供承诺书</w:t>
      </w:r>
      <w:r>
        <w:rPr>
          <w:rFonts w:hint="default" w:ascii="Times New Roman Regular" w:hAnsi="Times New Roman Regular" w:eastAsia="宋体" w:cs="Times New Roman Regular"/>
          <w:color w:val="000000" w:themeColor="text1"/>
          <w:kern w:val="2"/>
          <w:sz w:val="21"/>
          <w:szCs w:val="21"/>
          <w:highlight w:val="none"/>
          <w:lang w:val="en-US" w:eastAsia="zh-CN" w:bidi="ar-SA"/>
          <w14:textFill>
            <w14:solidFill>
              <w14:schemeClr w14:val="tx1"/>
            </w14:solidFill>
          </w14:textFill>
        </w:rPr>
        <w:t>）。</w:t>
      </w:r>
    </w:p>
    <w:p w14:paraId="4B666A73">
      <w:pPr>
        <w:pStyle w:val="7"/>
        <w:spacing w:line="360" w:lineRule="auto"/>
        <w:rPr>
          <w:rFonts w:hint="default" w:ascii="Times New Roman Regular" w:hAnsi="Times New Roman Regular" w:eastAsia="宋体" w:cs="Times New Roman Regular"/>
          <w:color w:val="000000" w:themeColor="text1"/>
          <w:kern w:val="2"/>
          <w:sz w:val="21"/>
          <w:szCs w:val="21"/>
          <w:highlight w:val="none"/>
          <w:lang w:val="en-US" w:eastAsia="zh-CN" w:bidi="ar-SA"/>
          <w14:textFill>
            <w14:solidFill>
              <w14:schemeClr w14:val="tx1"/>
            </w14:solidFill>
          </w14:textFill>
        </w:rPr>
      </w:pPr>
      <w:r>
        <w:rPr>
          <w:rFonts w:hint="default" w:ascii="Times New Roman Regular" w:hAnsi="Times New Roman Regular" w:eastAsia="宋体" w:cs="Times New Roman Regular"/>
          <w:color w:val="000000" w:themeColor="text1"/>
          <w:kern w:val="2"/>
          <w:sz w:val="21"/>
          <w:szCs w:val="21"/>
          <w:highlight w:val="none"/>
          <w:lang w:val="en-US" w:eastAsia="zh-CN" w:bidi="ar-SA"/>
          <w14:textFill>
            <w14:solidFill>
              <w14:schemeClr w14:val="tx1"/>
            </w14:solidFill>
          </w14:textFill>
        </w:rPr>
        <w:t>8.有依法缴纳税收和社会保障资金的良好记录</w:t>
      </w:r>
      <w:r>
        <w:rPr>
          <w:rFonts w:hint="default" w:ascii="Times New Roman Regular" w:hAnsi="Times New Roman Regular" w:eastAsia="宋体" w:cs="Times New Roman Regular"/>
          <w:b w:val="0"/>
          <w:bCs w:val="0"/>
          <w:color w:val="000000" w:themeColor="text1"/>
          <w:kern w:val="2"/>
          <w:sz w:val="21"/>
          <w:szCs w:val="21"/>
          <w:highlight w:val="none"/>
          <w:lang w:val="en-US" w:eastAsia="zh-CN" w:bidi="ar-SA"/>
          <w14:textFill>
            <w14:solidFill>
              <w14:schemeClr w14:val="tx1"/>
            </w14:solidFill>
          </w14:textFill>
        </w:rPr>
        <w:t>（</w:t>
      </w:r>
      <w:r>
        <w:rPr>
          <w:rFonts w:hint="default" w:ascii="Times New Roman Regular" w:hAnsi="Times New Roman Regular" w:eastAsia="宋体" w:cs="Times New Roman Regular"/>
          <w:b/>
          <w:bCs/>
          <w:color w:val="000000" w:themeColor="text1"/>
          <w:kern w:val="2"/>
          <w:sz w:val="21"/>
          <w:szCs w:val="21"/>
          <w:highlight w:val="none"/>
          <w:lang w:val="en-US" w:eastAsia="zh-CN" w:bidi="ar-SA"/>
          <w14:textFill>
            <w14:solidFill>
              <w14:schemeClr w14:val="tx1"/>
            </w14:solidFill>
          </w14:textFill>
        </w:rPr>
        <w:t>须提供承诺书</w:t>
      </w:r>
      <w:r>
        <w:rPr>
          <w:rFonts w:hint="default" w:ascii="Times New Roman Regular" w:hAnsi="Times New Roman Regular" w:eastAsia="宋体" w:cs="Times New Roman Regular"/>
          <w:color w:val="000000" w:themeColor="text1"/>
          <w:kern w:val="2"/>
          <w:sz w:val="21"/>
          <w:szCs w:val="21"/>
          <w:highlight w:val="none"/>
          <w:lang w:val="en-US" w:eastAsia="zh-CN" w:bidi="ar-SA"/>
          <w14:textFill>
            <w14:solidFill>
              <w14:schemeClr w14:val="tx1"/>
            </w14:solidFill>
          </w14:textFill>
        </w:rPr>
        <w:t>）。</w:t>
      </w:r>
    </w:p>
    <w:p w14:paraId="7527BA63">
      <w:pPr>
        <w:pStyle w:val="7"/>
        <w:spacing w:line="360" w:lineRule="auto"/>
        <w:rPr>
          <w:rFonts w:hint="default" w:ascii="Times New Roman Regular" w:hAnsi="Times New Roman Regular" w:eastAsia="宋体" w:cs="Times New Roman Regular"/>
          <w:color w:val="000000" w:themeColor="text1"/>
          <w:kern w:val="2"/>
          <w:sz w:val="21"/>
          <w:szCs w:val="21"/>
          <w:highlight w:val="none"/>
          <w:lang w:val="en-US" w:eastAsia="zh-CN" w:bidi="ar-SA"/>
          <w14:textFill>
            <w14:solidFill>
              <w14:schemeClr w14:val="tx1"/>
            </w14:solidFill>
          </w14:textFill>
        </w:rPr>
      </w:pPr>
    </w:p>
    <w:p w14:paraId="330E95BF">
      <w:pPr>
        <w:shd w:val="clear"/>
        <w:spacing w:line="360" w:lineRule="auto"/>
        <w:ind w:left="420" w:leftChars="200"/>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t>四、招标文件的获取</w:t>
      </w:r>
    </w:p>
    <w:p w14:paraId="51937D4D">
      <w:pPr>
        <w:shd w:val="clea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获取时间：202</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6</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年</w:t>
      </w:r>
      <w:r>
        <w:rPr>
          <w:rFonts w:hint="eastAsia" w:ascii="Times New Roman Regular" w:hAnsi="Times New Roman Regular" w:cs="Times New Roman Regular"/>
          <w:color w:val="000000" w:themeColor="text1"/>
          <w:szCs w:val="21"/>
          <w:highlight w:val="none"/>
          <w:lang w:val="en-US" w:eastAsia="zh-CN"/>
          <w14:textFill>
            <w14:solidFill>
              <w14:schemeClr w14:val="tx1"/>
            </w14:solidFill>
          </w14:textFill>
        </w:rPr>
        <w:t>4</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月</w:t>
      </w:r>
      <w:r>
        <w:rPr>
          <w:rFonts w:hint="eastAsia" w:ascii="Times New Roman Regular" w:hAnsi="Times New Roman Regular" w:cs="Times New Roman Regular"/>
          <w:color w:val="000000" w:themeColor="text1"/>
          <w:szCs w:val="21"/>
          <w:highlight w:val="none"/>
          <w:lang w:val="en-US" w:eastAsia="zh-CN"/>
          <w14:textFill>
            <w14:solidFill>
              <w14:schemeClr w14:val="tx1"/>
            </w14:solidFill>
          </w14:textFill>
        </w:rPr>
        <w:t>22</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日起至202</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6</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年</w:t>
      </w:r>
      <w:r>
        <w:rPr>
          <w:rFonts w:hint="eastAsia" w:ascii="Times New Roman Regular" w:hAnsi="Times New Roman Regular" w:cs="Times New Roman Regular"/>
          <w:color w:val="000000" w:themeColor="text1"/>
          <w:szCs w:val="21"/>
          <w:highlight w:val="none"/>
          <w:lang w:val="en-US" w:eastAsia="zh-CN"/>
          <w14:textFill>
            <w14:solidFill>
              <w14:schemeClr w14:val="tx1"/>
            </w14:solidFill>
          </w14:textFill>
        </w:rPr>
        <w:t>4</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月</w:t>
      </w:r>
      <w:r>
        <w:rPr>
          <w:rFonts w:hint="eastAsia" w:ascii="Times New Roman Regular" w:hAnsi="Times New Roman Regular" w:cs="Times New Roman Regular"/>
          <w:color w:val="000000" w:themeColor="text1"/>
          <w:szCs w:val="21"/>
          <w:highlight w:val="none"/>
          <w:lang w:val="en-US" w:eastAsia="zh-CN"/>
          <w14:textFill>
            <w14:solidFill>
              <w14:schemeClr w14:val="tx1"/>
            </w14:solidFill>
          </w14:textFill>
        </w:rPr>
        <w:t>29</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日止，每日上午9：00-11：00，下午14：00-17：00（北京时间，节假日除外）。</w:t>
      </w:r>
    </w:p>
    <w:p w14:paraId="6E7C5B9E">
      <w:pPr>
        <w:shd w:val="clea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获取方式：在www.jstcc.cn平台免费注册（注册、登录入口为“JSTCC（新版）”，之前已在代理机构注册过的投标人，请从“JSTCC（新版）”入口登录，并完善用户信息后，再关注本项目下载招标文件。注册时的联系人须为负责本项目的联系人。本项目后续相关通知将通过www.jstcc.cn平台直接发送给此联系人。投标人注册的联系人信息错误是其自身的风险，招标人及代理机构对此不承担责任。技术支持电话：4000580203，025-83303461，13951767623）</w:t>
      </w:r>
      <w:r>
        <w:rPr>
          <w:rFonts w:hint="default" w:ascii="Times New Roman Regular" w:hAnsi="Times New Roman Regular" w:eastAsia="宋体" w:cs="Times New Roman Regular"/>
          <w:b/>
          <w:bCs/>
          <w:color w:val="000000" w:themeColor="text1"/>
          <w:szCs w:val="21"/>
          <w:highlight w:val="none"/>
          <w:lang w:eastAsia="zh-CN"/>
          <w14:textFill>
            <w14:solidFill>
              <w14:schemeClr w14:val="tx1"/>
            </w14:solidFill>
          </w14:textFill>
        </w:rPr>
        <w:t>（</w:t>
      </w: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说明：本项目</w:t>
      </w:r>
      <w:r>
        <w:rPr>
          <w:rFonts w:hint="default" w:ascii="Times New Roman Regular" w:hAnsi="Times New Roman Regular" w:eastAsia="宋体" w:cs="Times New Roman Regular"/>
          <w:b/>
          <w:bCs/>
          <w:color w:val="000000" w:themeColor="text1"/>
          <w:szCs w:val="21"/>
          <w:highlight w:val="none"/>
          <w:lang w:eastAsia="zh-CN"/>
          <w14:textFill>
            <w14:solidFill>
              <w14:schemeClr w14:val="tx1"/>
            </w14:solidFill>
          </w14:textFill>
        </w:rPr>
        <w:t>代理机构</w:t>
      </w: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项目编号为：</w:t>
      </w:r>
      <w:r>
        <w:rPr>
          <w:rFonts w:hint="eastAsia" w:ascii="Times New Roman Regular" w:hAnsi="Times New Roman Regular" w:cs="Times New Roman Regular"/>
          <w:b/>
          <w:bCs/>
          <w:color w:val="000000" w:themeColor="text1"/>
          <w:szCs w:val="21"/>
          <w:highlight w:val="none"/>
          <w:lang w:val="en-US" w:eastAsia="zh-CN"/>
          <w14:textFill>
            <w14:solidFill>
              <w14:schemeClr w14:val="tx1"/>
            </w14:solidFill>
          </w14:textFill>
        </w:rPr>
        <w:t>JSTCC26025202531</w:t>
      </w: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，潜在投标人可使用此编号在</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www.jstcc.cn平台</w:t>
      </w: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完成注册工作</w:t>
      </w:r>
      <w:r>
        <w:rPr>
          <w:rFonts w:hint="default" w:ascii="Times New Roman Regular" w:hAnsi="Times New Roman Regular" w:eastAsia="宋体" w:cs="Times New Roman Regular"/>
          <w:b/>
          <w:bCs/>
          <w:color w:val="000000" w:themeColor="text1"/>
          <w:szCs w:val="21"/>
          <w:highlight w:val="none"/>
          <w:lang w:eastAsia="zh-CN"/>
          <w14:textFill>
            <w14:solidFill>
              <w14:schemeClr w14:val="tx1"/>
            </w14:solidFill>
          </w14:textFill>
        </w:rPr>
        <w:t>）。</w:t>
      </w:r>
    </w:p>
    <w:p w14:paraId="48AFCC9E">
      <w:pPr>
        <w:widowControl/>
        <w:shd w:val="clear"/>
        <w:spacing w:line="360" w:lineRule="auto"/>
        <w:ind w:firstLine="420" w:firstLineChars="200"/>
        <w:jc w:val="left"/>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平台服务费：500元人民币。支付完成后，平台提供在线下载电子发票。</w:t>
      </w:r>
    </w:p>
    <w:p w14:paraId="1B49A078">
      <w:pPr>
        <w:pStyle w:val="9"/>
        <w:shd w:val="clea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729DD19D">
      <w:pPr>
        <w:shd w:val="clear"/>
        <w:spacing w:line="360" w:lineRule="auto"/>
        <w:ind w:left="420" w:leftChars="200"/>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t>五、招标文件澄清要求的递交</w:t>
      </w:r>
    </w:p>
    <w:p w14:paraId="2B7F72D1">
      <w:pPr>
        <w:shd w:val="clea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各</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潜在</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投标人如果对本招标文件有任何澄清和答疑要求，请于202</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6</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年</w:t>
      </w:r>
      <w:r>
        <w:rPr>
          <w:rFonts w:hint="eastAsia" w:ascii="Times New Roman Regular" w:hAnsi="Times New Roman Regular" w:cs="Times New Roman Regular"/>
          <w:color w:val="000000" w:themeColor="text1"/>
          <w:szCs w:val="21"/>
          <w:highlight w:val="none"/>
          <w:lang w:val="en-US" w:eastAsia="zh-CN"/>
          <w14:textFill>
            <w14:solidFill>
              <w14:schemeClr w14:val="tx1"/>
            </w14:solidFill>
          </w14:textFill>
        </w:rPr>
        <w:t xml:space="preserve"> 4 </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月</w:t>
      </w:r>
      <w:r>
        <w:rPr>
          <w:rFonts w:hint="eastAsia" w:ascii="Times New Roman Regular" w:hAnsi="Times New Roman Regular" w:cs="Times New Roman Regular"/>
          <w:color w:val="000000" w:themeColor="text1"/>
          <w:szCs w:val="21"/>
          <w:highlight w:val="none"/>
          <w:lang w:val="en-US" w:eastAsia="zh-CN"/>
          <w14:textFill>
            <w14:solidFill>
              <w14:schemeClr w14:val="tx1"/>
            </w14:solidFill>
          </w14:textFill>
        </w:rPr>
        <w:t>30</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日下午17:00前发送至</w:t>
      </w:r>
      <w:r>
        <w:rPr>
          <w:rFonts w:hint="eastAsia" w:ascii="Times New Roman Regular" w:hAnsi="Times New Roman Regular" w:cs="Times New Roman Regular"/>
          <w:color w:val="000000" w:themeColor="text1"/>
          <w:szCs w:val="21"/>
          <w:highlight w:val="none"/>
          <w:lang w:val="en-US" w:eastAsia="zh-CN"/>
          <w14:textFill>
            <w14:solidFill>
              <w14:schemeClr w14:val="tx1"/>
            </w14:solidFill>
          </w14:textFill>
        </w:rPr>
        <w:t>15735721410@163.com</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（提供WORD格式的澄清要求（无须盖章），和PDF或JPEG格式的澄清要求（须盖章）各一份）。邮件标题备注某某公司对（项目名称）的澄清要求。此后不再接受澄清和答疑要求。</w:t>
      </w:r>
    </w:p>
    <w:p w14:paraId="53647C4A">
      <w:pPr>
        <w:shd w:val="clea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各</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潜在</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标人</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应</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在法定质疑期内一次性提出针对同一采购程序环节的</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质疑</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w:t>
      </w:r>
    </w:p>
    <w:p w14:paraId="5100FDD8">
      <w:pPr>
        <w:pStyle w:val="9"/>
        <w:shd w:val="clea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2E1734F1">
      <w:pPr>
        <w:shd w:val="clear"/>
        <w:spacing w:line="360" w:lineRule="auto"/>
        <w:ind w:left="420" w:leftChars="200"/>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t>六、投标文件的递交和开标</w:t>
      </w:r>
    </w:p>
    <w:p w14:paraId="4B56C37D">
      <w:pPr>
        <w:shd w:val="clea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递交投标文件截止时间和开标时间：北京时间202</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6</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年</w:t>
      </w:r>
      <w:r>
        <w:rPr>
          <w:rFonts w:hint="eastAsia" w:ascii="Times New Roman Regular" w:hAnsi="Times New Roman Regular" w:cs="Times New Roman Regular"/>
          <w:color w:val="000000" w:themeColor="text1"/>
          <w:szCs w:val="21"/>
          <w:highlight w:val="none"/>
          <w:lang w:val="en-US" w:eastAsia="zh-CN"/>
          <w14:textFill>
            <w14:solidFill>
              <w14:schemeClr w14:val="tx1"/>
            </w14:solidFill>
          </w14:textFill>
        </w:rPr>
        <w:t>5</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月</w:t>
      </w:r>
      <w:r>
        <w:rPr>
          <w:rFonts w:hint="eastAsia" w:ascii="Times New Roman Regular" w:hAnsi="Times New Roman Regular" w:cs="Times New Roman Regular"/>
          <w:color w:val="000000" w:themeColor="text1"/>
          <w:szCs w:val="21"/>
          <w:highlight w:val="none"/>
          <w:lang w:val="en-US" w:eastAsia="zh-CN"/>
          <w14:textFill>
            <w14:solidFill>
              <w14:schemeClr w14:val="tx1"/>
            </w14:solidFill>
          </w14:textFill>
        </w:rPr>
        <w:t>14</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日</w:t>
      </w:r>
      <w:r>
        <w:rPr>
          <w:rFonts w:hint="eastAsia" w:ascii="Times New Roman Regular" w:hAnsi="Times New Roman Regular" w:cs="Times New Roman Regular"/>
          <w:color w:val="000000" w:themeColor="text1"/>
          <w:szCs w:val="21"/>
          <w:highlight w:val="none"/>
          <w:lang w:val="en-US" w:eastAsia="zh-CN"/>
          <w14:textFill>
            <w14:solidFill>
              <w14:schemeClr w14:val="tx1"/>
            </w14:solidFill>
          </w14:textFill>
        </w:rPr>
        <w:t>下</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午</w:t>
      </w:r>
      <w:r>
        <w:rPr>
          <w:rFonts w:hint="eastAsia" w:ascii="Times New Roman Regular" w:hAnsi="Times New Roman Regular" w:cs="Times New Roman Regular"/>
          <w:color w:val="000000" w:themeColor="text1"/>
          <w:szCs w:val="21"/>
          <w:highlight w:val="none"/>
          <w:lang w:val="en-US" w:eastAsia="zh-CN"/>
          <w14:textFill>
            <w14:solidFill>
              <w14:schemeClr w14:val="tx1"/>
            </w14:solidFill>
          </w14:textFill>
        </w:rPr>
        <w:t>14：3</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0整。逾期收到或</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未按规定密封</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的投标文件恕不接受。</w:t>
      </w:r>
    </w:p>
    <w:p w14:paraId="5A966641">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递交投标文件地点和开标地点：</w:t>
      </w:r>
      <w:r>
        <w:rPr>
          <w:rFonts w:hint="eastAsia" w:ascii="Times New Roman Regular" w:hAnsi="Times New Roman Regular" w:cs="Times New Roman Regular"/>
          <w:iCs/>
          <w:color w:val="000000" w:themeColor="text1"/>
          <w:szCs w:val="21"/>
          <w:highlight w:val="none"/>
          <w:lang w:eastAsia="zh-CN"/>
          <w14:textFill>
            <w14:solidFill>
              <w14:schemeClr w14:val="tx1"/>
            </w14:solidFill>
          </w14:textFill>
        </w:rPr>
        <w:t>上海市浦东新区浦东南路360号新上海国际大厦3楼3-A会议室</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。投标人法定代表人或授权代表须携带身份证明材料现场递交投标文件。</w:t>
      </w:r>
    </w:p>
    <w:p w14:paraId="56DDAF44">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1199B3E0">
      <w:pPr>
        <w:spacing w:line="360" w:lineRule="auto"/>
        <w:ind w:firstLine="420" w:firstLineChars="200"/>
        <w:rPr>
          <w:rFonts w:hint="default" w:ascii="Times New Roman Regular" w:hAnsi="Times New Roman Regular" w:eastAsia="宋体" w:cs="Times New Roman Regular"/>
          <w:i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iCs/>
          <w:color w:val="000000" w:themeColor="text1"/>
          <w:szCs w:val="21"/>
          <w:highlight w:val="none"/>
          <w14:textFill>
            <w14:solidFill>
              <w14:schemeClr w14:val="tx1"/>
            </w14:solidFill>
          </w14:textFill>
        </w:rPr>
        <w:t>招标代理机构名称：江苏省招标中心有限公司</w:t>
      </w:r>
    </w:p>
    <w:p w14:paraId="056C81F2">
      <w:pPr>
        <w:spacing w:line="360" w:lineRule="auto"/>
        <w:ind w:firstLine="420" w:firstLineChars="200"/>
        <w:rPr>
          <w:rFonts w:hint="eastAsia" w:ascii="Times New Roman Regular" w:hAnsi="Times New Roman Regular" w:eastAsia="宋体" w:cs="Times New Roman Regular"/>
          <w:iCs/>
          <w:color w:val="000000" w:themeColor="text1"/>
          <w:szCs w:val="21"/>
          <w:highlight w:val="none"/>
          <w:lang w:val="en-US" w:eastAsia="zh-CN"/>
          <w14:textFill>
            <w14:solidFill>
              <w14:schemeClr w14:val="tx1"/>
            </w14:solidFill>
          </w14:textFill>
        </w:rPr>
      </w:pPr>
      <w:r>
        <w:rPr>
          <w:rFonts w:hint="default" w:ascii="Times New Roman Regular" w:hAnsi="Times New Roman Regular" w:eastAsia="宋体" w:cs="Times New Roman Regular"/>
          <w:iCs/>
          <w:color w:val="000000" w:themeColor="text1"/>
          <w:szCs w:val="21"/>
          <w:highlight w:val="none"/>
          <w14:textFill>
            <w14:solidFill>
              <w14:schemeClr w14:val="tx1"/>
            </w14:solidFill>
          </w14:textFill>
        </w:rPr>
        <w:t>地址：</w:t>
      </w:r>
      <w:r>
        <w:rPr>
          <w:rFonts w:hint="eastAsia" w:ascii="Times New Roman Regular" w:hAnsi="Times New Roman Regular" w:cs="Times New Roman Regular"/>
          <w:iCs/>
          <w:color w:val="000000" w:themeColor="text1"/>
          <w:szCs w:val="21"/>
          <w:highlight w:val="none"/>
          <w:lang w:eastAsia="zh-CN"/>
          <w14:textFill>
            <w14:solidFill>
              <w14:schemeClr w14:val="tx1"/>
            </w14:solidFill>
          </w14:textFill>
        </w:rPr>
        <w:t>上海市浦东新区浦东南路360号新上海国际大厦3楼3-A会议室</w:t>
      </w:r>
    </w:p>
    <w:p w14:paraId="6EAAD7B0">
      <w:pPr>
        <w:spacing w:line="360" w:lineRule="auto"/>
        <w:ind w:firstLine="420" w:firstLineChars="200"/>
        <w:rPr>
          <w:rFonts w:hint="default" w:ascii="Times New Roman Regular" w:hAnsi="Times New Roman Regular" w:eastAsia="宋体" w:cs="Times New Roman Regular"/>
          <w:iCs/>
          <w:color w:val="000000" w:themeColor="text1"/>
          <w:szCs w:val="21"/>
          <w:highlight w:val="none"/>
          <w:lang w:val="en-US" w:eastAsia="zh-CN"/>
          <w14:textFill>
            <w14:solidFill>
              <w14:schemeClr w14:val="tx1"/>
            </w14:solidFill>
          </w14:textFill>
        </w:rPr>
      </w:pPr>
      <w:r>
        <w:rPr>
          <w:rFonts w:hint="default" w:ascii="Times New Roman Regular" w:hAnsi="Times New Roman Regular" w:eastAsia="宋体" w:cs="Times New Roman Regular"/>
          <w:iCs/>
          <w:color w:val="000000" w:themeColor="text1"/>
          <w:szCs w:val="21"/>
          <w:highlight w:val="none"/>
          <w14:textFill>
            <w14:solidFill>
              <w14:schemeClr w14:val="tx1"/>
            </w14:solidFill>
          </w14:textFill>
        </w:rPr>
        <w:t>联系人</w:t>
      </w:r>
      <w:r>
        <w:rPr>
          <w:rFonts w:hint="eastAsia" w:ascii="Times New Roman Regular" w:hAnsi="Times New Roman Regular" w:cs="Times New Roman Regular"/>
          <w:iCs/>
          <w:color w:val="000000" w:themeColor="text1"/>
          <w:szCs w:val="21"/>
          <w:highlight w:val="none"/>
          <w:lang w:eastAsia="zh-CN"/>
          <w14:textFill>
            <w14:solidFill>
              <w14:schemeClr w14:val="tx1"/>
            </w14:solidFill>
          </w14:textFill>
        </w:rPr>
        <w:t>：</w:t>
      </w:r>
      <w:r>
        <w:rPr>
          <w:rFonts w:hint="eastAsia" w:ascii="Times New Roman Regular" w:hAnsi="Times New Roman Regular" w:cs="Times New Roman Regular"/>
          <w:iCs/>
          <w:color w:val="000000" w:themeColor="text1"/>
          <w:szCs w:val="21"/>
          <w:highlight w:val="none"/>
          <w:lang w:val="en-US" w:eastAsia="zh-CN"/>
          <w14:textFill>
            <w14:solidFill>
              <w14:schemeClr w14:val="tx1"/>
            </w14:solidFill>
          </w14:textFill>
        </w:rPr>
        <w:t>马翊然、</w:t>
      </w:r>
      <w:r>
        <w:rPr>
          <w:rFonts w:hint="default" w:ascii="Times New Roman Regular" w:hAnsi="Times New Roman Regular" w:eastAsia="宋体" w:cs="Times New Roman Regular"/>
          <w:iCs/>
          <w:color w:val="000000" w:themeColor="text1"/>
          <w:szCs w:val="21"/>
          <w:highlight w:val="none"/>
          <w14:textFill>
            <w14:solidFill>
              <w14:schemeClr w14:val="tx1"/>
            </w14:solidFill>
          </w14:textFill>
        </w:rPr>
        <w:t>呼禹</w:t>
      </w:r>
      <w:r>
        <w:rPr>
          <w:rFonts w:hint="default" w:ascii="Times New Roman Regular" w:hAnsi="Times New Roman Regular" w:eastAsia="宋体" w:cs="Times New Roman Regular"/>
          <w:iCs/>
          <w:color w:val="000000" w:themeColor="text1"/>
          <w:szCs w:val="21"/>
          <w:highlight w:val="none"/>
          <w:lang w:eastAsia="zh-CN"/>
          <w14:textFill>
            <w14:solidFill>
              <w14:schemeClr w14:val="tx1"/>
            </w14:solidFill>
          </w14:textFill>
        </w:rPr>
        <w:t>、</w:t>
      </w:r>
      <w:r>
        <w:rPr>
          <w:rFonts w:hint="default" w:ascii="Times New Roman Regular" w:hAnsi="Times New Roman Regular" w:eastAsia="宋体" w:cs="Times New Roman Regular"/>
          <w:iCs/>
          <w:color w:val="000000" w:themeColor="text1"/>
          <w:szCs w:val="21"/>
          <w:highlight w:val="none"/>
          <w:lang w:val="en-US" w:eastAsia="zh-CN"/>
          <w14:textFill>
            <w14:solidFill>
              <w14:schemeClr w14:val="tx1"/>
            </w14:solidFill>
          </w14:textFill>
        </w:rPr>
        <w:t>高颖</w:t>
      </w:r>
      <w:r>
        <w:rPr>
          <w:rFonts w:hint="eastAsia" w:ascii="Times New Roman Regular" w:hAnsi="Times New Roman Regular" w:cs="Times New Roman Regular"/>
          <w:iCs/>
          <w:color w:val="000000" w:themeColor="text1"/>
          <w:szCs w:val="21"/>
          <w:highlight w:val="none"/>
          <w:lang w:val="en-US" w:eastAsia="zh-CN"/>
          <w14:textFill>
            <w14:solidFill>
              <w14:schemeClr w14:val="tx1"/>
            </w14:solidFill>
          </w14:textFill>
        </w:rPr>
        <w:t>、宗超、马继烨、史平华</w:t>
      </w:r>
    </w:p>
    <w:p w14:paraId="65A843BD">
      <w:pPr>
        <w:spacing w:line="360" w:lineRule="auto"/>
        <w:ind w:firstLine="420" w:firstLineChars="200"/>
        <w:rPr>
          <w:rFonts w:hint="default" w:ascii="Times New Roman Regular" w:hAnsi="Times New Roman Regular" w:eastAsia="宋体" w:cs="Times New Roman Regular"/>
          <w:iCs/>
          <w:color w:val="000000" w:themeColor="text1"/>
          <w:szCs w:val="21"/>
          <w:highlight w:val="none"/>
          <w:lang w:val="en-US" w:eastAsia="zh-CN"/>
          <w14:textFill>
            <w14:solidFill>
              <w14:schemeClr w14:val="tx1"/>
            </w14:solidFill>
          </w14:textFill>
        </w:rPr>
      </w:pPr>
      <w:r>
        <w:rPr>
          <w:rFonts w:hint="default" w:ascii="Times New Roman Regular" w:hAnsi="Times New Roman Regular" w:eastAsia="宋体" w:cs="Times New Roman Regular"/>
          <w:iCs/>
          <w:color w:val="000000" w:themeColor="text1"/>
          <w:szCs w:val="21"/>
          <w:highlight w:val="none"/>
          <w14:textFill>
            <w14:solidFill>
              <w14:schemeClr w14:val="tx1"/>
            </w14:solidFill>
          </w14:textFill>
        </w:rPr>
        <w:t>联系方式：</w:t>
      </w:r>
      <w:r>
        <w:rPr>
          <w:rFonts w:hint="eastAsia" w:ascii="Times New Roman Regular" w:hAnsi="Times New Roman Regular" w:cs="Times New Roman Regular"/>
          <w:iCs/>
          <w:color w:val="000000" w:themeColor="text1"/>
          <w:szCs w:val="21"/>
          <w:highlight w:val="none"/>
          <w:lang w:val="en-US" w:eastAsia="zh-CN"/>
          <w14:textFill>
            <w14:solidFill>
              <w14:schemeClr w14:val="tx1"/>
            </w14:solidFill>
          </w14:textFill>
        </w:rPr>
        <w:t>19720255784、</w:t>
      </w:r>
      <w:r>
        <w:rPr>
          <w:rFonts w:hint="default" w:ascii="Times New Roman Regular" w:hAnsi="Times New Roman Regular" w:eastAsia="宋体" w:cs="Times New Roman Regular"/>
          <w:iCs/>
          <w:color w:val="000000" w:themeColor="text1"/>
          <w:szCs w:val="21"/>
          <w:highlight w:val="none"/>
          <w14:textFill>
            <w14:solidFill>
              <w14:schemeClr w14:val="tx1"/>
            </w14:solidFill>
          </w14:textFill>
        </w:rPr>
        <w:t>1</w:t>
      </w:r>
      <w:r>
        <w:rPr>
          <w:rFonts w:hint="default" w:ascii="Times New Roman Regular" w:hAnsi="Times New Roman Regular" w:eastAsia="宋体" w:cs="Times New Roman Regular"/>
          <w:iCs/>
          <w:color w:val="000000" w:themeColor="text1"/>
          <w:szCs w:val="21"/>
          <w:highlight w:val="none"/>
          <w:lang w:val="en-US" w:eastAsia="zh-CN"/>
          <w14:textFill>
            <w14:solidFill>
              <w14:schemeClr w14:val="tx1"/>
            </w14:solidFill>
          </w14:textFill>
        </w:rPr>
        <w:t>8805151053</w:t>
      </w:r>
      <w:r>
        <w:rPr>
          <w:rFonts w:hint="default" w:ascii="Times New Roman Regular" w:hAnsi="Times New Roman Regular" w:eastAsia="宋体" w:cs="Times New Roman Regular"/>
          <w:iCs/>
          <w:color w:val="000000" w:themeColor="text1"/>
          <w:szCs w:val="21"/>
          <w:highlight w:val="none"/>
          <w14:textFill>
            <w14:solidFill>
              <w14:schemeClr w14:val="tx1"/>
            </w14:solidFill>
          </w14:textFill>
        </w:rPr>
        <w:t>、18761879918</w:t>
      </w:r>
    </w:p>
    <w:p w14:paraId="033B8E25">
      <w:pPr>
        <w:spacing w:line="360" w:lineRule="auto"/>
        <w:ind w:firstLine="420" w:firstLineChars="200"/>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pPr>
      <w:r>
        <w:rPr>
          <w:rFonts w:hint="default" w:ascii="Times New Roman Regular" w:hAnsi="Times New Roman Regular" w:eastAsia="宋体" w:cs="Times New Roman Regular"/>
          <w:iCs/>
          <w:color w:val="000000" w:themeColor="text1"/>
          <w:szCs w:val="21"/>
          <w:highlight w:val="none"/>
          <w14:textFill>
            <w14:solidFill>
              <w14:schemeClr w14:val="tx1"/>
            </w14:solidFill>
          </w14:textFill>
        </w:rPr>
        <w:t>联系邮箱：</w:t>
      </w:r>
      <w:r>
        <w:rPr>
          <w:rFonts w:hint="default" w:ascii="Times New Roman Regular" w:hAnsi="Times New Roman Regular" w:eastAsia="宋体" w:cs="Times New Roman Regular"/>
          <w:iCs/>
          <w:color w:val="000000" w:themeColor="text1"/>
          <w:szCs w:val="21"/>
          <w:highlight w:val="none"/>
          <w:lang w:val="en-US" w:eastAsia="zh-CN"/>
          <w14:textFill>
            <w14:solidFill>
              <w14:schemeClr w14:val="tx1"/>
            </w14:solidFill>
          </w14:textFill>
        </w:rPr>
        <w:t>18761879918@163.com</w:t>
      </w:r>
    </w:p>
    <w:p w14:paraId="1EC8C4CF">
      <w:pPr>
        <w:spacing w:line="360" w:lineRule="auto"/>
        <w:ind w:firstLine="420" w:firstLineChars="200"/>
        <w:rPr>
          <w:rFonts w:hint="default" w:ascii="Times New Roman Regular" w:hAnsi="Times New Roman Regular" w:eastAsia="宋体" w:cs="Times New Roman Regular"/>
          <w:iCs/>
          <w:color w:val="000000" w:themeColor="text1"/>
          <w:szCs w:val="21"/>
          <w:highlight w:val="none"/>
          <w14:textFill>
            <w14:solidFill>
              <w14:schemeClr w14:val="tx1"/>
            </w14:solidFill>
          </w14:textFill>
        </w:rPr>
      </w:pPr>
    </w:p>
    <w:p w14:paraId="173308DA">
      <w:pPr>
        <w:spacing w:line="360" w:lineRule="auto"/>
        <w:ind w:firstLine="420" w:firstLineChars="200"/>
        <w:rPr>
          <w:rFonts w:hint="default" w:ascii="Times New Roman Regular" w:hAnsi="Times New Roman Regular" w:eastAsia="宋体" w:cs="Times New Roman Regular"/>
          <w:iCs/>
          <w:color w:val="000000" w:themeColor="text1"/>
          <w:szCs w:val="21"/>
          <w:highlight w:val="none"/>
          <w:lang w:eastAsia="zh-CN"/>
          <w14:textFill>
            <w14:solidFill>
              <w14:schemeClr w14:val="tx1"/>
            </w14:solidFill>
          </w14:textFill>
        </w:rPr>
      </w:pPr>
      <w:r>
        <w:rPr>
          <w:rFonts w:hint="default" w:ascii="Times New Roman Regular" w:hAnsi="Times New Roman Regular" w:eastAsia="宋体" w:cs="Times New Roman Regular"/>
          <w:iCs/>
          <w:color w:val="000000" w:themeColor="text1"/>
          <w:szCs w:val="21"/>
          <w:highlight w:val="none"/>
          <w14:textFill>
            <w14:solidFill>
              <w14:schemeClr w14:val="tx1"/>
            </w14:solidFill>
          </w14:textFill>
        </w:rPr>
        <w:t>招标人名称：</w:t>
      </w:r>
      <w:r>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t>成方金融科技有限公司</w:t>
      </w:r>
    </w:p>
    <w:p w14:paraId="51C1BA26">
      <w:pPr>
        <w:spacing w:line="360" w:lineRule="auto"/>
        <w:ind w:firstLine="420" w:firstLineChars="200"/>
        <w:rPr>
          <w:rFonts w:hint="default" w:ascii="Times New Roman Regular" w:hAnsi="Times New Roman Regular" w:eastAsia="宋体" w:cs="Times New Roman Regular"/>
          <w:i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iCs/>
          <w:color w:val="000000" w:themeColor="text1"/>
          <w:szCs w:val="21"/>
          <w:highlight w:val="none"/>
          <w14:textFill>
            <w14:solidFill>
              <w14:schemeClr w14:val="tx1"/>
            </w14:solidFill>
          </w14:textFill>
        </w:rPr>
        <w:t>地址：北京市西城区金融大街37号9层</w:t>
      </w:r>
    </w:p>
    <w:p w14:paraId="167D18E5">
      <w:pPr>
        <w:spacing w:line="360" w:lineRule="auto"/>
        <w:ind w:firstLine="420" w:firstLineChars="200"/>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pPr>
      <w:r>
        <w:rPr>
          <w:rFonts w:hint="default" w:ascii="Times New Roman Regular" w:hAnsi="Times New Roman Regular" w:eastAsia="宋体" w:cs="Times New Roman Regular"/>
          <w:iCs/>
          <w:color w:val="000000" w:themeColor="text1"/>
          <w:szCs w:val="21"/>
          <w:highlight w:val="none"/>
          <w14:textFill>
            <w14:solidFill>
              <w14:schemeClr w14:val="tx1"/>
            </w14:solidFill>
          </w14:textFill>
        </w:rPr>
        <w:t>联系人：林老师</w:t>
      </w:r>
    </w:p>
    <w:p w14:paraId="5830CBA7">
      <w:pPr>
        <w:spacing w:line="360" w:lineRule="auto"/>
        <w:ind w:firstLine="420" w:firstLineChars="200"/>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pPr>
      <w:r>
        <w:rPr>
          <w:rFonts w:hint="default" w:ascii="Times New Roman Regular" w:hAnsi="Times New Roman Regular" w:eastAsia="宋体" w:cs="Times New Roman Regular"/>
          <w:iCs/>
          <w:color w:val="000000" w:themeColor="text1"/>
          <w:szCs w:val="21"/>
          <w:highlight w:val="none"/>
          <w14:textFill>
            <w14:solidFill>
              <w14:schemeClr w14:val="tx1"/>
            </w14:solidFill>
          </w14:textFill>
        </w:rPr>
        <w:t>联系方式：021-20389221</w:t>
      </w:r>
      <w:r>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br w:type="page"/>
      </w:r>
    </w:p>
    <w:p w14:paraId="3292D9A8">
      <w:pPr>
        <w:pStyle w:val="3"/>
        <w:spacing w:line="360" w:lineRule="auto"/>
        <w:jc w:val="center"/>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pPr>
      <w:bookmarkStart w:id="5" w:name="_Toc988490974"/>
      <w:r>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t>第二章 投标人须知前附表</w:t>
      </w:r>
      <w:bookmarkEnd w:id="5"/>
      <w:bookmarkStart w:id="6" w:name="_Toc198090551"/>
      <w:bookmarkStart w:id="7" w:name="_Toc198089894"/>
    </w:p>
    <w:p w14:paraId="6301A3ED">
      <w:pPr>
        <w:pStyle w:val="3"/>
        <w:spacing w:line="360" w:lineRule="auto"/>
        <w:jc w:val="center"/>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pPr>
      <w:bookmarkStart w:id="8" w:name="_Toc634306826"/>
      <w:r>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t>及</w:t>
      </w:r>
      <w:bookmarkStart w:id="9" w:name="_Toc198348579"/>
      <w:bookmarkStart w:id="10" w:name="_Toc198349299"/>
      <w:r>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t>投标人须知</w:t>
      </w:r>
      <w:bookmarkEnd w:id="6"/>
      <w:bookmarkEnd w:id="7"/>
      <w:bookmarkEnd w:id="8"/>
      <w:bookmarkEnd w:id="9"/>
      <w:bookmarkEnd w:id="10"/>
    </w:p>
    <w:p w14:paraId="50FAA844">
      <w:pPr>
        <w:pStyle w:val="3"/>
        <w:spacing w:line="360" w:lineRule="auto"/>
        <w:jc w:val="center"/>
        <w:rPr>
          <w:rStyle w:val="32"/>
          <w:rFonts w:hint="default" w:ascii="Times New Roman Regular" w:hAnsi="Times New Roman Regular" w:eastAsia="宋体" w:cs="Times New Roman Regular"/>
          <w:b/>
          <w:color w:val="000000" w:themeColor="text1"/>
          <w:sz w:val="36"/>
          <w:szCs w:val="36"/>
          <w:highlight w:val="none"/>
          <w14:textFill>
            <w14:solidFill>
              <w14:schemeClr w14:val="tx1"/>
            </w14:solidFill>
          </w14:textFill>
        </w:rPr>
      </w:pPr>
      <w:r>
        <w:rPr>
          <w:rFonts w:hint="default" w:ascii="Times New Roman Regular" w:hAnsi="Times New Roman Regular" w:eastAsia="宋体" w:cs="Times New Roman Regular"/>
          <w:bCs/>
          <w:color w:val="000000" w:themeColor="text1"/>
          <w:sz w:val="72"/>
          <w:szCs w:val="72"/>
          <w:highlight w:val="none"/>
          <w14:textFill>
            <w14:solidFill>
              <w14:schemeClr w14:val="tx1"/>
            </w14:solidFill>
          </w14:textFill>
        </w:rPr>
        <w:br w:type="page"/>
      </w:r>
      <w:bookmarkStart w:id="11" w:name="_Toc136440083"/>
      <w:bookmarkStart w:id="12" w:name="_Toc1808"/>
      <w:bookmarkStart w:id="13" w:name="_Toc686000874"/>
      <w:bookmarkStart w:id="14" w:name="_Toc493429405"/>
      <w:bookmarkStart w:id="15" w:name="_Toc198090552"/>
      <w:bookmarkStart w:id="16" w:name="_Toc136440207"/>
      <w:r>
        <w:rPr>
          <w:rStyle w:val="32"/>
          <w:rFonts w:hint="default" w:ascii="Times New Roman Regular" w:hAnsi="Times New Roman Regular" w:eastAsia="宋体" w:cs="Times New Roman Regular"/>
          <w:b/>
          <w:color w:val="000000" w:themeColor="text1"/>
          <w:sz w:val="36"/>
          <w:szCs w:val="36"/>
          <w:highlight w:val="none"/>
          <w14:textFill>
            <w14:solidFill>
              <w14:schemeClr w14:val="tx1"/>
            </w14:solidFill>
          </w14:textFill>
        </w:rPr>
        <w:t>投标人须知前附表</w:t>
      </w:r>
      <w:bookmarkEnd w:id="11"/>
      <w:bookmarkEnd w:id="12"/>
      <w:bookmarkEnd w:id="13"/>
      <w:bookmarkEnd w:id="14"/>
      <w:bookmarkEnd w:id="15"/>
      <w:bookmarkEnd w:id="16"/>
    </w:p>
    <w:tbl>
      <w:tblPr>
        <w:tblStyle w:val="25"/>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851"/>
        <w:gridCol w:w="1770"/>
        <w:gridCol w:w="6061"/>
      </w:tblGrid>
      <w:tr w14:paraId="7CE78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27" w:type="dxa"/>
            <w:vAlign w:val="center"/>
          </w:tcPr>
          <w:p w14:paraId="3B162B7E">
            <w:pPr>
              <w:spacing w:line="360" w:lineRule="auto"/>
              <w:jc w:val="cente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t>序号</w:t>
            </w:r>
          </w:p>
        </w:tc>
        <w:tc>
          <w:tcPr>
            <w:tcW w:w="851" w:type="dxa"/>
            <w:vAlign w:val="center"/>
          </w:tcPr>
          <w:p w14:paraId="5C8F651A">
            <w:pPr>
              <w:spacing w:line="360" w:lineRule="auto"/>
              <w:jc w:val="cente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t>条款号</w:t>
            </w:r>
          </w:p>
        </w:tc>
        <w:tc>
          <w:tcPr>
            <w:tcW w:w="1770" w:type="dxa"/>
            <w:vAlign w:val="center"/>
          </w:tcPr>
          <w:p w14:paraId="0426789B">
            <w:pPr>
              <w:spacing w:line="360" w:lineRule="auto"/>
              <w:jc w:val="cente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t>内容</w:t>
            </w:r>
          </w:p>
        </w:tc>
        <w:tc>
          <w:tcPr>
            <w:tcW w:w="6061" w:type="dxa"/>
            <w:vAlign w:val="center"/>
          </w:tcPr>
          <w:p w14:paraId="52ED83D6">
            <w:pPr>
              <w:spacing w:line="360" w:lineRule="auto"/>
              <w:jc w:val="cente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t>说明与要求</w:t>
            </w:r>
          </w:p>
        </w:tc>
      </w:tr>
      <w:tr w14:paraId="72563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7" w:type="dxa"/>
            <w:tcBorders>
              <w:top w:val="single" w:color="auto" w:sz="4" w:space="0"/>
              <w:left w:val="single" w:color="auto" w:sz="4" w:space="0"/>
              <w:bottom w:val="single" w:color="auto" w:sz="4" w:space="0"/>
              <w:right w:val="single" w:color="auto" w:sz="4" w:space="0"/>
            </w:tcBorders>
            <w:vAlign w:val="center"/>
          </w:tcPr>
          <w:p w14:paraId="58E83B88">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w:t>
            </w:r>
          </w:p>
        </w:tc>
        <w:tc>
          <w:tcPr>
            <w:tcW w:w="851" w:type="dxa"/>
            <w:tcBorders>
              <w:top w:val="single" w:color="auto" w:sz="4" w:space="0"/>
              <w:left w:val="single" w:color="auto" w:sz="4" w:space="0"/>
              <w:bottom w:val="single" w:color="auto" w:sz="4" w:space="0"/>
              <w:right w:val="single" w:color="auto" w:sz="4" w:space="0"/>
            </w:tcBorders>
            <w:vAlign w:val="center"/>
          </w:tcPr>
          <w:p w14:paraId="6040BB54">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1.1</w:t>
            </w:r>
          </w:p>
        </w:tc>
        <w:tc>
          <w:tcPr>
            <w:tcW w:w="1770" w:type="dxa"/>
            <w:tcBorders>
              <w:top w:val="single" w:color="auto" w:sz="4" w:space="0"/>
              <w:left w:val="single" w:color="auto" w:sz="4" w:space="0"/>
              <w:bottom w:val="single" w:color="auto" w:sz="4" w:space="0"/>
              <w:right w:val="single" w:color="auto" w:sz="4" w:space="0"/>
            </w:tcBorders>
            <w:vAlign w:val="center"/>
          </w:tcPr>
          <w:p w14:paraId="2E5F6713">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招标人</w:t>
            </w:r>
          </w:p>
        </w:tc>
        <w:tc>
          <w:tcPr>
            <w:tcW w:w="6061" w:type="dxa"/>
            <w:tcBorders>
              <w:top w:val="single" w:color="auto" w:sz="4" w:space="0"/>
              <w:left w:val="single" w:color="auto" w:sz="4" w:space="0"/>
              <w:bottom w:val="single" w:color="auto" w:sz="4" w:space="0"/>
              <w:right w:val="single" w:color="auto" w:sz="4" w:space="0"/>
            </w:tcBorders>
            <w:vAlign w:val="center"/>
          </w:tcPr>
          <w:p w14:paraId="1D020A6A">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本项目招标人为</w:t>
            </w:r>
            <w:r>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t>成方金融科技有限公司</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，以下简称“招标人”</w:t>
            </w:r>
          </w:p>
        </w:tc>
      </w:tr>
      <w:tr w14:paraId="7B916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7" w:type="dxa"/>
            <w:tcBorders>
              <w:top w:val="single" w:color="auto" w:sz="4" w:space="0"/>
              <w:left w:val="single" w:color="auto" w:sz="4" w:space="0"/>
              <w:bottom w:val="single" w:color="auto" w:sz="4" w:space="0"/>
              <w:right w:val="single" w:color="auto" w:sz="4" w:space="0"/>
            </w:tcBorders>
            <w:vAlign w:val="center"/>
          </w:tcPr>
          <w:p w14:paraId="703E7543">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w:t>
            </w:r>
          </w:p>
        </w:tc>
        <w:tc>
          <w:tcPr>
            <w:tcW w:w="851" w:type="dxa"/>
            <w:tcBorders>
              <w:top w:val="single" w:color="auto" w:sz="4" w:space="0"/>
              <w:left w:val="single" w:color="auto" w:sz="4" w:space="0"/>
              <w:bottom w:val="single" w:color="auto" w:sz="4" w:space="0"/>
              <w:right w:val="single" w:color="auto" w:sz="4" w:space="0"/>
            </w:tcBorders>
            <w:vAlign w:val="center"/>
          </w:tcPr>
          <w:p w14:paraId="27256C13">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1.2</w:t>
            </w:r>
          </w:p>
        </w:tc>
        <w:tc>
          <w:tcPr>
            <w:tcW w:w="1770" w:type="dxa"/>
            <w:tcBorders>
              <w:top w:val="single" w:color="auto" w:sz="4" w:space="0"/>
              <w:left w:val="single" w:color="auto" w:sz="4" w:space="0"/>
              <w:bottom w:val="single" w:color="auto" w:sz="4" w:space="0"/>
              <w:right w:val="single" w:color="auto" w:sz="4" w:space="0"/>
            </w:tcBorders>
            <w:vAlign w:val="center"/>
          </w:tcPr>
          <w:p w14:paraId="61AFDB8F">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招标代理机构</w:t>
            </w:r>
          </w:p>
        </w:tc>
        <w:tc>
          <w:tcPr>
            <w:tcW w:w="6061" w:type="dxa"/>
            <w:tcBorders>
              <w:top w:val="single" w:color="auto" w:sz="4" w:space="0"/>
              <w:left w:val="single" w:color="auto" w:sz="4" w:space="0"/>
              <w:bottom w:val="single" w:color="auto" w:sz="4" w:space="0"/>
              <w:right w:val="single" w:color="auto" w:sz="4" w:space="0"/>
            </w:tcBorders>
            <w:vAlign w:val="center"/>
          </w:tcPr>
          <w:p w14:paraId="3286E1CE">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本项目招标代理机构为江苏省招标中心有限公司，以下简称“招标代理机构”</w:t>
            </w:r>
          </w:p>
        </w:tc>
      </w:tr>
      <w:tr w14:paraId="655E7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14:paraId="136B2168">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3</w:t>
            </w:r>
          </w:p>
        </w:tc>
        <w:tc>
          <w:tcPr>
            <w:tcW w:w="851" w:type="dxa"/>
            <w:tcBorders>
              <w:top w:val="single" w:color="auto" w:sz="4" w:space="0"/>
              <w:left w:val="single" w:color="auto" w:sz="4" w:space="0"/>
              <w:bottom w:val="single" w:color="auto" w:sz="4" w:space="0"/>
              <w:right w:val="single" w:color="auto" w:sz="4" w:space="0"/>
            </w:tcBorders>
            <w:vAlign w:val="center"/>
          </w:tcPr>
          <w:p w14:paraId="0FED4B5B">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★1.3</w:t>
            </w:r>
          </w:p>
        </w:tc>
        <w:tc>
          <w:tcPr>
            <w:tcW w:w="1770" w:type="dxa"/>
            <w:tcBorders>
              <w:top w:val="single" w:color="auto" w:sz="4" w:space="0"/>
              <w:left w:val="single" w:color="auto" w:sz="4" w:space="0"/>
              <w:bottom w:val="single" w:color="auto" w:sz="4" w:space="0"/>
              <w:right w:val="single" w:color="auto" w:sz="4" w:space="0"/>
            </w:tcBorders>
            <w:vAlign w:val="center"/>
          </w:tcPr>
          <w:p w14:paraId="1D709ADB">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合格的投标人</w:t>
            </w:r>
          </w:p>
        </w:tc>
        <w:tc>
          <w:tcPr>
            <w:tcW w:w="6061" w:type="dxa"/>
            <w:tcBorders>
              <w:top w:val="single" w:color="auto" w:sz="4" w:space="0"/>
              <w:left w:val="single" w:color="auto" w:sz="4" w:space="0"/>
              <w:bottom w:val="single" w:color="auto" w:sz="4" w:space="0"/>
              <w:right w:val="single" w:color="auto" w:sz="4" w:space="0"/>
            </w:tcBorders>
            <w:vAlign w:val="center"/>
          </w:tcPr>
          <w:p w14:paraId="03F19143">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见招标文件第一章《招标公告》</w:t>
            </w:r>
          </w:p>
        </w:tc>
      </w:tr>
      <w:tr w14:paraId="65B78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7" w:type="dxa"/>
            <w:tcBorders>
              <w:top w:val="single" w:color="auto" w:sz="4" w:space="0"/>
              <w:left w:val="single" w:color="auto" w:sz="4" w:space="0"/>
              <w:bottom w:val="single" w:color="auto" w:sz="4" w:space="0"/>
              <w:right w:val="single" w:color="auto" w:sz="4" w:space="0"/>
            </w:tcBorders>
            <w:vAlign w:val="center"/>
          </w:tcPr>
          <w:p w14:paraId="74486DAB">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4</w:t>
            </w:r>
          </w:p>
        </w:tc>
        <w:tc>
          <w:tcPr>
            <w:tcW w:w="851" w:type="dxa"/>
            <w:tcBorders>
              <w:top w:val="single" w:color="auto" w:sz="4" w:space="0"/>
              <w:left w:val="single" w:color="auto" w:sz="4" w:space="0"/>
              <w:bottom w:val="single" w:color="auto" w:sz="4" w:space="0"/>
              <w:right w:val="single" w:color="auto" w:sz="4" w:space="0"/>
            </w:tcBorders>
            <w:vAlign w:val="center"/>
          </w:tcPr>
          <w:p w14:paraId="19A43DBF">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3.3</w:t>
            </w:r>
          </w:p>
        </w:tc>
        <w:tc>
          <w:tcPr>
            <w:tcW w:w="1770" w:type="dxa"/>
            <w:tcBorders>
              <w:top w:val="single" w:color="auto" w:sz="4" w:space="0"/>
              <w:left w:val="single" w:color="auto" w:sz="4" w:space="0"/>
              <w:bottom w:val="single" w:color="auto" w:sz="4" w:space="0"/>
              <w:right w:val="single" w:color="auto" w:sz="4" w:space="0"/>
            </w:tcBorders>
            <w:vAlign w:val="center"/>
          </w:tcPr>
          <w:p w14:paraId="4CE18F58">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免责</w:t>
            </w:r>
          </w:p>
        </w:tc>
        <w:tc>
          <w:tcPr>
            <w:tcW w:w="6061" w:type="dxa"/>
            <w:tcBorders>
              <w:top w:val="single" w:color="auto" w:sz="4" w:space="0"/>
              <w:left w:val="single" w:color="auto" w:sz="4" w:space="0"/>
              <w:bottom w:val="single" w:color="auto" w:sz="4" w:space="0"/>
              <w:right w:val="single" w:color="auto" w:sz="4" w:space="0"/>
            </w:tcBorders>
            <w:vAlign w:val="center"/>
          </w:tcPr>
          <w:p w14:paraId="0444FD56">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招标人在招标文件中向投标人提供了业务需求和技术要求，但并不保证能够全面而准确地满足项目实施需要，投标人应考虑合理的实施方案，方案应</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满足但不限于</w:t>
            </w:r>
            <w:r>
              <w:rPr>
                <w:rFonts w:hint="default" w:ascii="Times New Roman Regular" w:hAnsi="Times New Roman Regular" w:eastAsia="宋体" w:cs="Times New Roman Regular"/>
                <w:color w:val="000000" w:themeColor="text1"/>
                <w:highlight w:val="none"/>
                <w14:textFill>
                  <w14:solidFill>
                    <w14:schemeClr w14:val="tx1"/>
                  </w14:solidFill>
                </w14:textFill>
              </w:rPr>
              <w:t>业务需求和技术要求，并对此负责。</w:t>
            </w:r>
          </w:p>
        </w:tc>
      </w:tr>
      <w:tr w14:paraId="4D19E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14:paraId="4C01C3A3">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5</w:t>
            </w:r>
          </w:p>
        </w:tc>
        <w:tc>
          <w:tcPr>
            <w:tcW w:w="851" w:type="dxa"/>
            <w:tcBorders>
              <w:top w:val="single" w:color="auto" w:sz="4" w:space="0"/>
              <w:left w:val="single" w:color="auto" w:sz="4" w:space="0"/>
              <w:bottom w:val="single" w:color="auto" w:sz="4" w:space="0"/>
              <w:right w:val="single" w:color="auto" w:sz="4" w:space="0"/>
            </w:tcBorders>
            <w:vAlign w:val="center"/>
          </w:tcPr>
          <w:p w14:paraId="7ABB150F">
            <w:pPr>
              <w:spacing w:line="360" w:lineRule="auto"/>
              <w:jc w:val="center"/>
              <w:rPr>
                <w:rFonts w:hint="default" w:ascii="Times New Roman Regular" w:hAnsi="Times New Roman Regular" w:eastAsia="宋体" w:cs="Times New Roman Regular"/>
                <w:color w:val="000000" w:themeColor="text1"/>
                <w:szCs w:val="18"/>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18"/>
                <w:highlight w:val="none"/>
                <w14:textFill>
                  <w14:solidFill>
                    <w14:schemeClr w14:val="tx1"/>
                  </w14:solidFill>
                </w14:textFill>
              </w:rPr>
              <w:t>4</w:t>
            </w:r>
          </w:p>
        </w:tc>
        <w:tc>
          <w:tcPr>
            <w:tcW w:w="1770" w:type="dxa"/>
            <w:tcBorders>
              <w:top w:val="single" w:color="auto" w:sz="4" w:space="0"/>
              <w:left w:val="single" w:color="auto" w:sz="4" w:space="0"/>
              <w:bottom w:val="single" w:color="auto" w:sz="4" w:space="0"/>
              <w:right w:val="single" w:color="auto" w:sz="4" w:space="0"/>
            </w:tcBorders>
            <w:vAlign w:val="center"/>
          </w:tcPr>
          <w:p w14:paraId="7623E046">
            <w:pPr>
              <w:spacing w:line="360" w:lineRule="auto"/>
              <w:jc w:val="center"/>
              <w:rPr>
                <w:rFonts w:hint="default" w:ascii="Times New Roman Regular" w:hAnsi="Times New Roman Regular" w:eastAsia="宋体" w:cs="Times New Roman Regular"/>
                <w:color w:val="000000" w:themeColor="text1"/>
                <w:szCs w:val="18"/>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18"/>
                <w:highlight w:val="none"/>
                <w14:textFill>
                  <w14:solidFill>
                    <w14:schemeClr w14:val="tx1"/>
                  </w14:solidFill>
                </w14:textFill>
              </w:rPr>
              <w:t>招标文件的澄清</w:t>
            </w:r>
          </w:p>
        </w:tc>
        <w:tc>
          <w:tcPr>
            <w:tcW w:w="6061" w:type="dxa"/>
            <w:tcBorders>
              <w:top w:val="single" w:color="auto" w:sz="4" w:space="0"/>
              <w:left w:val="single" w:color="auto" w:sz="4" w:space="0"/>
              <w:bottom w:val="single" w:color="auto" w:sz="4" w:space="0"/>
              <w:right w:val="single" w:color="auto" w:sz="4" w:space="0"/>
            </w:tcBorders>
            <w:vAlign w:val="center"/>
          </w:tcPr>
          <w:p w14:paraId="595FD923">
            <w:pPr>
              <w:spacing w:line="360" w:lineRule="auto"/>
              <w:rPr>
                <w:rFonts w:hint="default" w:ascii="Times New Roman Regular" w:hAnsi="Times New Roman Regular" w:eastAsia="宋体" w:cs="Times New Roman Regular"/>
                <w:color w:val="000000" w:themeColor="text1"/>
                <w:szCs w:val="18"/>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18"/>
                <w:highlight w:val="none"/>
                <w14:textFill>
                  <w14:solidFill>
                    <w14:schemeClr w14:val="tx1"/>
                  </w14:solidFill>
                </w14:textFill>
              </w:rPr>
              <w:t>见招标文件第一章《招标公告》</w:t>
            </w:r>
          </w:p>
        </w:tc>
      </w:tr>
      <w:tr w14:paraId="4D927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14:paraId="761A397F">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6</w:t>
            </w:r>
          </w:p>
        </w:tc>
        <w:tc>
          <w:tcPr>
            <w:tcW w:w="851" w:type="dxa"/>
            <w:tcBorders>
              <w:top w:val="single" w:color="auto" w:sz="4" w:space="0"/>
              <w:left w:val="single" w:color="auto" w:sz="4" w:space="0"/>
              <w:bottom w:val="single" w:color="auto" w:sz="4" w:space="0"/>
              <w:right w:val="single" w:color="auto" w:sz="4" w:space="0"/>
            </w:tcBorders>
            <w:vAlign w:val="center"/>
          </w:tcPr>
          <w:p w14:paraId="671CBD7D">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8.1</w:t>
            </w:r>
          </w:p>
        </w:tc>
        <w:tc>
          <w:tcPr>
            <w:tcW w:w="1770" w:type="dxa"/>
            <w:tcBorders>
              <w:top w:val="single" w:color="auto" w:sz="4" w:space="0"/>
              <w:left w:val="single" w:color="auto" w:sz="4" w:space="0"/>
              <w:bottom w:val="single" w:color="auto" w:sz="4" w:space="0"/>
              <w:right w:val="single" w:color="auto" w:sz="4" w:space="0"/>
            </w:tcBorders>
            <w:vAlign w:val="center"/>
          </w:tcPr>
          <w:p w14:paraId="549E4418">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投标文件的式样和签署</w:t>
            </w:r>
          </w:p>
        </w:tc>
        <w:tc>
          <w:tcPr>
            <w:tcW w:w="6061" w:type="dxa"/>
            <w:tcBorders>
              <w:top w:val="single" w:color="auto" w:sz="4" w:space="0"/>
              <w:left w:val="single" w:color="auto" w:sz="4" w:space="0"/>
              <w:bottom w:val="single" w:color="auto" w:sz="4" w:space="0"/>
              <w:right w:val="single" w:color="auto" w:sz="4" w:space="0"/>
            </w:tcBorders>
            <w:vAlign w:val="center"/>
          </w:tcPr>
          <w:p w14:paraId="3C6438BF">
            <w:pPr>
              <w:spacing w:line="360" w:lineRule="auto"/>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1、</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投标文件一式</w:t>
            </w:r>
            <w:r>
              <w:rPr>
                <w:rFonts w:hint="eastAsia" w:ascii="Times New Roman Regular" w:hAnsi="Times New Roman Regular" w:cs="Times New Roman Regular"/>
                <w:color w:val="000000" w:themeColor="text1"/>
                <w:szCs w:val="21"/>
                <w:highlight w:val="none"/>
                <w:lang w:val="en-US" w:eastAsia="zh-CN"/>
                <w14:textFill>
                  <w14:solidFill>
                    <w14:schemeClr w14:val="tx1"/>
                  </w14:solidFill>
                </w14:textFill>
              </w:rPr>
              <w:t>6</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份（</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★1份正本</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w:t>
            </w:r>
            <w:r>
              <w:rPr>
                <w:rFonts w:hint="eastAsia" w:ascii="Times New Roman Regular" w:hAnsi="Times New Roman Regular" w:cs="Times New Roman Regular"/>
                <w:color w:val="000000" w:themeColor="text1"/>
                <w:szCs w:val="21"/>
                <w:highlight w:val="none"/>
                <w:lang w:val="en-US" w:eastAsia="zh-CN"/>
                <w14:textFill>
                  <w14:solidFill>
                    <w14:schemeClr w14:val="tx1"/>
                  </w14:solidFill>
                </w14:textFill>
              </w:rPr>
              <w:t>5</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份副本），电子版本一份（U盘，</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提供</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WORD格式</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的投标文件</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1份及正本投标文件的扫描件PDF格式1份。</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电子文件命名格式：单位名称+电子文件）。U盘表面标签注明单位名称</w:t>
            </w:r>
          </w:p>
          <w:p w14:paraId="7D21DF78">
            <w:pPr>
              <w:spacing w:line="360" w:lineRule="auto"/>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注：纸质文件与电子文件有差异时，以纸质文件为准。</w:t>
            </w:r>
          </w:p>
          <w:p w14:paraId="66C0B002">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2、</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投标文件用中文编写，A4纸软面胶装，并编制目录及逐页编码。投标文件采用软面胶装，并编制目录及逐页编码。</w:t>
            </w:r>
          </w:p>
          <w:p w14:paraId="6AFBA457">
            <w:pPr>
              <w:spacing w:line="360" w:lineRule="auto"/>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3、</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投标人须对第三章《评标办法》中的要求逐项说明在投标文件中装订页码，并将该页装订在投标文件的首页。</w:t>
            </w:r>
          </w:p>
          <w:p w14:paraId="6DE6E2AA">
            <w:pPr>
              <w:spacing w:line="360" w:lineRule="auto"/>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4、投标文件中的投标一览表须单独密封并与投标文件其他内容一同提交。</w:t>
            </w:r>
          </w:p>
        </w:tc>
      </w:tr>
      <w:tr w14:paraId="242E7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7" w:type="dxa"/>
            <w:tcBorders>
              <w:top w:val="single" w:color="auto" w:sz="4" w:space="0"/>
              <w:left w:val="single" w:color="auto" w:sz="4" w:space="0"/>
              <w:bottom w:val="single" w:color="auto" w:sz="4" w:space="0"/>
              <w:right w:val="single" w:color="auto" w:sz="4" w:space="0"/>
            </w:tcBorders>
            <w:vAlign w:val="center"/>
          </w:tcPr>
          <w:p w14:paraId="083AF909">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7</w:t>
            </w:r>
          </w:p>
        </w:tc>
        <w:tc>
          <w:tcPr>
            <w:tcW w:w="851" w:type="dxa"/>
            <w:tcBorders>
              <w:top w:val="single" w:color="auto" w:sz="4" w:space="0"/>
              <w:left w:val="single" w:color="auto" w:sz="4" w:space="0"/>
              <w:bottom w:val="single" w:color="auto" w:sz="4" w:space="0"/>
              <w:right w:val="single" w:color="auto" w:sz="4" w:space="0"/>
            </w:tcBorders>
            <w:vAlign w:val="center"/>
          </w:tcPr>
          <w:p w14:paraId="5970886A">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9.1</w:t>
            </w:r>
          </w:p>
        </w:tc>
        <w:tc>
          <w:tcPr>
            <w:tcW w:w="1770" w:type="dxa"/>
            <w:tcBorders>
              <w:top w:val="single" w:color="auto" w:sz="4" w:space="0"/>
              <w:left w:val="single" w:color="auto" w:sz="4" w:space="0"/>
              <w:bottom w:val="single" w:color="auto" w:sz="4" w:space="0"/>
              <w:right w:val="single" w:color="auto" w:sz="4" w:space="0"/>
            </w:tcBorders>
            <w:vAlign w:val="center"/>
          </w:tcPr>
          <w:p w14:paraId="4D2E228C">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报价</w:t>
            </w:r>
          </w:p>
        </w:tc>
        <w:tc>
          <w:tcPr>
            <w:tcW w:w="6061" w:type="dxa"/>
            <w:tcBorders>
              <w:top w:val="single" w:color="auto" w:sz="4" w:space="0"/>
              <w:left w:val="single" w:color="auto" w:sz="4" w:space="0"/>
              <w:bottom w:val="single" w:color="auto" w:sz="4" w:space="0"/>
              <w:right w:val="single" w:color="auto" w:sz="4" w:space="0"/>
            </w:tcBorders>
            <w:vAlign w:val="center"/>
          </w:tcPr>
          <w:p w14:paraId="7DF03F1B">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1、</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投标人应根据《技术/服务需求书》中，在投标文件中提供其满足技术要求的服务内容、报价（格式见附件）。</w:t>
            </w:r>
          </w:p>
          <w:p w14:paraId="36ACF48C">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2、</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投标人的投标报价应包括本项目所涉及招标内容所需全部费用，招标人不再为此支付任何其他费用。</w:t>
            </w:r>
          </w:p>
        </w:tc>
      </w:tr>
      <w:tr w14:paraId="054A6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14:paraId="25F31B8A">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8</w:t>
            </w:r>
          </w:p>
        </w:tc>
        <w:tc>
          <w:tcPr>
            <w:tcW w:w="851" w:type="dxa"/>
            <w:tcBorders>
              <w:top w:val="single" w:color="auto" w:sz="4" w:space="0"/>
              <w:left w:val="single" w:color="auto" w:sz="4" w:space="0"/>
              <w:bottom w:val="single" w:color="auto" w:sz="4" w:space="0"/>
              <w:right w:val="single" w:color="auto" w:sz="4" w:space="0"/>
            </w:tcBorders>
            <w:vAlign w:val="center"/>
          </w:tcPr>
          <w:p w14:paraId="7A74316E">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★10.1</w:t>
            </w:r>
          </w:p>
        </w:tc>
        <w:tc>
          <w:tcPr>
            <w:tcW w:w="1770" w:type="dxa"/>
            <w:tcBorders>
              <w:top w:val="single" w:color="auto" w:sz="4" w:space="0"/>
              <w:left w:val="single" w:color="auto" w:sz="4" w:space="0"/>
              <w:bottom w:val="single" w:color="auto" w:sz="4" w:space="0"/>
              <w:right w:val="single" w:color="auto" w:sz="4" w:space="0"/>
            </w:tcBorders>
            <w:vAlign w:val="center"/>
          </w:tcPr>
          <w:p w14:paraId="569940EC">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投标保证金</w:t>
            </w:r>
          </w:p>
        </w:tc>
        <w:tc>
          <w:tcPr>
            <w:tcW w:w="6061" w:type="dxa"/>
            <w:tcBorders>
              <w:top w:val="single" w:color="auto" w:sz="4" w:space="0"/>
              <w:left w:val="single" w:color="auto" w:sz="4" w:space="0"/>
              <w:bottom w:val="single" w:color="auto" w:sz="4" w:space="0"/>
              <w:right w:val="single" w:color="auto" w:sz="4" w:space="0"/>
            </w:tcBorders>
            <w:vAlign w:val="center"/>
          </w:tcPr>
          <w:p w14:paraId="505C703B">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投标人应提交</w:t>
            </w:r>
            <w:r>
              <w:rPr>
                <w:rFonts w:hint="default" w:ascii="Times New Roman Regular" w:hAnsi="Times New Roman Regular" w:cs="Times New Roman Regular"/>
                <w:b/>
                <w:bCs/>
                <w:color w:val="000000" w:themeColor="text1"/>
                <w:szCs w:val="21"/>
                <w:highlight w:val="none"/>
                <w14:textFill>
                  <w14:solidFill>
                    <w14:schemeClr w14:val="tx1"/>
                  </w14:solidFill>
                </w14:textFill>
              </w:rPr>
              <w:t>人民币</w:t>
            </w:r>
            <w:r>
              <w:rPr>
                <w:rFonts w:hint="eastAsia" w:ascii="Times New Roman Regular" w:hAnsi="Times New Roman Regular" w:cs="Times New Roman Regular"/>
                <w:b/>
                <w:bCs/>
                <w:color w:val="000000" w:themeColor="text1"/>
                <w:szCs w:val="21"/>
                <w:highlight w:val="none"/>
                <w:lang w:val="en-US" w:eastAsia="zh-CN"/>
                <w14:textFill>
                  <w14:solidFill>
                    <w14:schemeClr w14:val="tx1"/>
                  </w14:solidFill>
                </w14:textFill>
              </w:rPr>
              <w:t>贰万元</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作为投标保证金。</w:t>
            </w:r>
          </w:p>
        </w:tc>
      </w:tr>
      <w:tr w14:paraId="1EFBB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7" w:type="dxa"/>
            <w:vMerge w:val="restart"/>
            <w:tcBorders>
              <w:top w:val="single" w:color="auto" w:sz="4" w:space="0"/>
              <w:left w:val="single" w:color="auto" w:sz="4" w:space="0"/>
              <w:right w:val="single" w:color="auto" w:sz="4" w:space="0"/>
            </w:tcBorders>
            <w:vAlign w:val="center"/>
          </w:tcPr>
          <w:p w14:paraId="116E6D03">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9</w:t>
            </w:r>
          </w:p>
        </w:tc>
        <w:tc>
          <w:tcPr>
            <w:tcW w:w="851" w:type="dxa"/>
            <w:vMerge w:val="restart"/>
            <w:tcBorders>
              <w:top w:val="single" w:color="auto" w:sz="4" w:space="0"/>
              <w:left w:val="single" w:color="auto" w:sz="4" w:space="0"/>
              <w:right w:val="single" w:color="auto" w:sz="4" w:space="0"/>
            </w:tcBorders>
            <w:vAlign w:val="center"/>
          </w:tcPr>
          <w:p w14:paraId="5458B599">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10.3</w:t>
            </w:r>
          </w:p>
        </w:tc>
        <w:tc>
          <w:tcPr>
            <w:tcW w:w="1770" w:type="dxa"/>
            <w:tcBorders>
              <w:top w:val="single" w:color="auto" w:sz="4" w:space="0"/>
              <w:left w:val="single" w:color="auto" w:sz="4" w:space="0"/>
              <w:bottom w:val="single" w:color="auto" w:sz="4" w:space="0"/>
              <w:right w:val="single" w:color="auto" w:sz="4" w:space="0"/>
            </w:tcBorders>
            <w:vAlign w:val="center"/>
          </w:tcPr>
          <w:p w14:paraId="6A3BA08C">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投标保证金</w:t>
            </w:r>
          </w:p>
          <w:p w14:paraId="0C8AFF44">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形式</w:t>
            </w:r>
          </w:p>
        </w:tc>
        <w:tc>
          <w:tcPr>
            <w:tcW w:w="6061" w:type="dxa"/>
            <w:tcBorders>
              <w:top w:val="single" w:color="auto" w:sz="4" w:space="0"/>
              <w:left w:val="single" w:color="auto" w:sz="4" w:space="0"/>
              <w:bottom w:val="single" w:color="auto" w:sz="4" w:space="0"/>
              <w:right w:val="single" w:color="auto" w:sz="4" w:space="0"/>
            </w:tcBorders>
            <w:vAlign w:val="center"/>
          </w:tcPr>
          <w:p w14:paraId="4B6F9677">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1、投标保证金应</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从投标人的账户转出，采用电汇（提供电汇底单）、网银转账（提供网银转账截图），不接受其他形式作为投标保证金。</w:t>
            </w:r>
          </w:p>
          <w:p w14:paraId="12EC2701">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2、</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投标人应在递交投标文件时将投标保证金单独密封并随投标文件一同提交。</w:t>
            </w:r>
          </w:p>
          <w:p w14:paraId="08A107B1">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3、</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保证金汇入账户：</w:t>
            </w:r>
          </w:p>
          <w:p w14:paraId="24B0B8DD">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户  名：江苏省招标中心有限公司</w:t>
            </w:r>
          </w:p>
          <w:p w14:paraId="2AB0CC87">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账  号：0164280000000953</w:t>
            </w:r>
          </w:p>
          <w:p w14:paraId="5BA33381">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开户行：南京银行南京兴隆大街支行</w:t>
            </w:r>
          </w:p>
        </w:tc>
      </w:tr>
      <w:tr w14:paraId="7A11B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7" w:type="dxa"/>
            <w:vMerge w:val="continue"/>
            <w:tcBorders>
              <w:left w:val="single" w:color="auto" w:sz="4" w:space="0"/>
              <w:bottom w:val="single" w:color="auto" w:sz="4" w:space="0"/>
              <w:right w:val="single" w:color="auto" w:sz="4" w:space="0"/>
            </w:tcBorders>
            <w:vAlign w:val="center"/>
          </w:tcPr>
          <w:p w14:paraId="3A4B427E">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851" w:type="dxa"/>
            <w:vMerge w:val="continue"/>
            <w:tcBorders>
              <w:left w:val="single" w:color="auto" w:sz="4" w:space="0"/>
              <w:bottom w:val="single" w:color="auto" w:sz="4" w:space="0"/>
              <w:right w:val="single" w:color="auto" w:sz="4" w:space="0"/>
            </w:tcBorders>
            <w:vAlign w:val="center"/>
          </w:tcPr>
          <w:p w14:paraId="7442B71C">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1770" w:type="dxa"/>
            <w:tcBorders>
              <w:top w:val="single" w:color="auto" w:sz="4" w:space="0"/>
              <w:left w:val="single" w:color="auto" w:sz="4" w:space="0"/>
              <w:bottom w:val="single" w:color="auto" w:sz="4" w:space="0"/>
              <w:right w:val="single" w:color="auto" w:sz="4" w:space="0"/>
            </w:tcBorders>
            <w:vAlign w:val="center"/>
          </w:tcPr>
          <w:p w14:paraId="3E77971F">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JSTCC系统中有关保证金的关联说明</w:t>
            </w:r>
          </w:p>
        </w:tc>
        <w:tc>
          <w:tcPr>
            <w:tcW w:w="6061" w:type="dxa"/>
            <w:tcBorders>
              <w:top w:val="single" w:color="auto" w:sz="4" w:space="0"/>
              <w:left w:val="single" w:color="auto" w:sz="4" w:space="0"/>
              <w:bottom w:val="single" w:color="auto" w:sz="4" w:space="0"/>
              <w:right w:val="single" w:color="auto" w:sz="4" w:space="0"/>
            </w:tcBorders>
            <w:vAlign w:val="center"/>
          </w:tcPr>
          <w:p w14:paraId="0CED541C">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一、投标人在汇款缴纳保证金时，请在汇款附言中正确填写项目编号。因附言信息有误导致保证金无法正确关联的，由投标人自行承担后果。</w:t>
            </w:r>
          </w:p>
          <w:p w14:paraId="07C07378">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二、关联保证金步骤</w:t>
            </w:r>
          </w:p>
          <w:p w14:paraId="7D1A6608">
            <w:pPr>
              <w:spacing w:line="360" w:lineRule="auto"/>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1、系统自动关联成功</w:t>
            </w:r>
          </w:p>
          <w:p w14:paraId="78C93DE2">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投标人收到系统提示</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确认关联</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保证金的短信后，登录www.jstcc.cn平台，进入项目管理菜单下的保证金管理，选择对应的项目进行确认关联的操作。</w:t>
            </w:r>
          </w:p>
          <w:p w14:paraId="5B580667">
            <w:pPr>
              <w:spacing w:line="360" w:lineRule="auto"/>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2、系统自动关联失败</w:t>
            </w:r>
          </w:p>
          <w:p w14:paraId="5AFA8EA2">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（1）投标人收到系统提示关联保证金的短信后，登录www.jstcc.cn平台，进入项目管理菜单下的保证金管理，选择对应的项目进行关联操作。</w:t>
            </w:r>
          </w:p>
          <w:p w14:paraId="593EC84C">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（2）点击需要关联的项目名称后进入项目页面，对未关联的项目进行关联。</w:t>
            </w:r>
          </w:p>
          <w:p w14:paraId="5896F794">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（3）在关联页面，选择需要关联的流水，并输入对应流水总金额的保证金金额后，点击确认关联即可完成关联操作。</w:t>
            </w:r>
          </w:p>
          <w:p w14:paraId="32A4DF27">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注意：保证金的关联操作必须在投标截止时间前进行，否则将影响投标。</w:t>
            </w:r>
          </w:p>
        </w:tc>
      </w:tr>
      <w:tr w14:paraId="4F099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7" w:type="dxa"/>
            <w:tcBorders>
              <w:top w:val="single" w:color="auto" w:sz="4" w:space="0"/>
              <w:left w:val="single" w:color="auto" w:sz="4" w:space="0"/>
              <w:bottom w:val="single" w:color="auto" w:sz="4" w:space="0"/>
              <w:right w:val="single" w:color="auto" w:sz="4" w:space="0"/>
            </w:tcBorders>
            <w:vAlign w:val="center"/>
          </w:tcPr>
          <w:p w14:paraId="144E5FEB">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10</w:t>
            </w:r>
          </w:p>
        </w:tc>
        <w:tc>
          <w:tcPr>
            <w:tcW w:w="851" w:type="dxa"/>
            <w:tcBorders>
              <w:top w:val="single" w:color="auto" w:sz="4" w:space="0"/>
              <w:left w:val="single" w:color="auto" w:sz="4" w:space="0"/>
              <w:bottom w:val="single" w:color="auto" w:sz="4" w:space="0"/>
              <w:right w:val="single" w:color="auto" w:sz="4" w:space="0"/>
            </w:tcBorders>
            <w:vAlign w:val="center"/>
          </w:tcPr>
          <w:p w14:paraId="1DC27E09">
            <w:pPr>
              <w:spacing w:line="360" w:lineRule="auto"/>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★11.1</w:t>
            </w:r>
          </w:p>
        </w:tc>
        <w:tc>
          <w:tcPr>
            <w:tcW w:w="1770" w:type="dxa"/>
            <w:tcBorders>
              <w:top w:val="single" w:color="auto" w:sz="4" w:space="0"/>
              <w:left w:val="single" w:color="auto" w:sz="4" w:space="0"/>
              <w:bottom w:val="single" w:color="auto" w:sz="4" w:space="0"/>
              <w:right w:val="single" w:color="auto" w:sz="4" w:space="0"/>
            </w:tcBorders>
            <w:vAlign w:val="center"/>
          </w:tcPr>
          <w:p w14:paraId="4969D392">
            <w:pPr>
              <w:spacing w:line="360" w:lineRule="auto"/>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投标有效期</w:t>
            </w:r>
          </w:p>
        </w:tc>
        <w:tc>
          <w:tcPr>
            <w:tcW w:w="6061" w:type="dxa"/>
            <w:tcBorders>
              <w:top w:val="single" w:color="auto" w:sz="4" w:space="0"/>
              <w:left w:val="single" w:color="auto" w:sz="4" w:space="0"/>
              <w:bottom w:val="single" w:color="auto" w:sz="4" w:space="0"/>
              <w:right w:val="single" w:color="auto" w:sz="4" w:space="0"/>
            </w:tcBorders>
            <w:vAlign w:val="center"/>
          </w:tcPr>
          <w:p w14:paraId="7BE659A2">
            <w:pPr>
              <w:spacing w:line="360" w:lineRule="auto"/>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投标人递交的投标文件应在规定的递交投标文件截止日后的90天内保持有效。</w:t>
            </w:r>
          </w:p>
        </w:tc>
      </w:tr>
      <w:tr w14:paraId="37D3D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14:paraId="3D980390">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11</w:t>
            </w:r>
          </w:p>
        </w:tc>
        <w:tc>
          <w:tcPr>
            <w:tcW w:w="851" w:type="dxa"/>
            <w:tcBorders>
              <w:top w:val="single" w:color="auto" w:sz="4" w:space="0"/>
              <w:left w:val="single" w:color="auto" w:sz="4" w:space="0"/>
              <w:bottom w:val="single" w:color="auto" w:sz="4" w:space="0"/>
              <w:right w:val="single" w:color="auto" w:sz="4" w:space="0"/>
            </w:tcBorders>
            <w:vAlign w:val="center"/>
          </w:tcPr>
          <w:p w14:paraId="0BCD76B2">
            <w:pPr>
              <w:spacing w:line="360" w:lineRule="auto"/>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★13.1</w:t>
            </w:r>
          </w:p>
        </w:tc>
        <w:tc>
          <w:tcPr>
            <w:tcW w:w="1770" w:type="dxa"/>
            <w:tcBorders>
              <w:top w:val="single" w:color="auto" w:sz="4" w:space="0"/>
              <w:left w:val="single" w:color="auto" w:sz="4" w:space="0"/>
              <w:bottom w:val="single" w:color="auto" w:sz="4" w:space="0"/>
              <w:right w:val="single" w:color="auto" w:sz="4" w:space="0"/>
            </w:tcBorders>
            <w:vAlign w:val="center"/>
          </w:tcPr>
          <w:p w14:paraId="644F33CC">
            <w:pPr>
              <w:spacing w:line="360" w:lineRule="auto"/>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递交投标文件截止时间</w:t>
            </w:r>
          </w:p>
        </w:tc>
        <w:tc>
          <w:tcPr>
            <w:tcW w:w="6061" w:type="dxa"/>
            <w:tcBorders>
              <w:top w:val="single" w:color="auto" w:sz="4" w:space="0"/>
              <w:left w:val="single" w:color="auto" w:sz="4" w:space="0"/>
              <w:bottom w:val="single" w:color="auto" w:sz="4" w:space="0"/>
              <w:right w:val="single" w:color="auto" w:sz="4" w:space="0"/>
            </w:tcBorders>
            <w:vAlign w:val="center"/>
          </w:tcPr>
          <w:p w14:paraId="4D830E99">
            <w:pPr>
              <w:spacing w:line="360" w:lineRule="auto"/>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见招标文件第一章《招标公告》</w:t>
            </w:r>
          </w:p>
        </w:tc>
      </w:tr>
      <w:tr w14:paraId="34BF5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14:paraId="54CE5652">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12</w:t>
            </w:r>
          </w:p>
        </w:tc>
        <w:tc>
          <w:tcPr>
            <w:tcW w:w="851" w:type="dxa"/>
            <w:tcBorders>
              <w:top w:val="single" w:color="auto" w:sz="4" w:space="0"/>
              <w:left w:val="single" w:color="auto" w:sz="4" w:space="0"/>
              <w:bottom w:val="single" w:color="auto" w:sz="4" w:space="0"/>
              <w:right w:val="single" w:color="auto" w:sz="4" w:space="0"/>
            </w:tcBorders>
            <w:vAlign w:val="center"/>
          </w:tcPr>
          <w:p w14:paraId="0AD26D2C">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16.1</w:t>
            </w:r>
          </w:p>
        </w:tc>
        <w:tc>
          <w:tcPr>
            <w:tcW w:w="1770" w:type="dxa"/>
            <w:tcBorders>
              <w:top w:val="single" w:color="auto" w:sz="4" w:space="0"/>
              <w:left w:val="single" w:color="auto" w:sz="4" w:space="0"/>
              <w:bottom w:val="single" w:color="auto" w:sz="4" w:space="0"/>
              <w:right w:val="single" w:color="auto" w:sz="4" w:space="0"/>
            </w:tcBorders>
            <w:vAlign w:val="center"/>
          </w:tcPr>
          <w:p w14:paraId="45B2DB3E">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开标时间</w:t>
            </w:r>
          </w:p>
          <w:p w14:paraId="7991C471">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和地点</w:t>
            </w:r>
          </w:p>
        </w:tc>
        <w:tc>
          <w:tcPr>
            <w:tcW w:w="6061" w:type="dxa"/>
            <w:tcBorders>
              <w:top w:val="single" w:color="auto" w:sz="4" w:space="0"/>
              <w:left w:val="single" w:color="auto" w:sz="4" w:space="0"/>
              <w:bottom w:val="single" w:color="auto" w:sz="4" w:space="0"/>
              <w:right w:val="single" w:color="auto" w:sz="4" w:space="0"/>
            </w:tcBorders>
            <w:vAlign w:val="center"/>
          </w:tcPr>
          <w:p w14:paraId="682A2AF8">
            <w:pPr>
              <w:spacing w:line="360" w:lineRule="auto"/>
              <w:ind w:left="496" w:hanging="495" w:hangingChars="236"/>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见招标文件第一章《招标公告》</w:t>
            </w:r>
          </w:p>
        </w:tc>
      </w:tr>
      <w:tr w14:paraId="2120F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7" w:type="dxa"/>
            <w:tcBorders>
              <w:top w:val="single" w:color="auto" w:sz="4" w:space="0"/>
              <w:left w:val="single" w:color="auto" w:sz="4" w:space="0"/>
              <w:bottom w:val="single" w:color="auto" w:sz="4" w:space="0"/>
              <w:right w:val="single" w:color="auto" w:sz="4" w:space="0"/>
            </w:tcBorders>
            <w:vAlign w:val="center"/>
          </w:tcPr>
          <w:p w14:paraId="2BCA9264">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13</w:t>
            </w:r>
          </w:p>
        </w:tc>
        <w:tc>
          <w:tcPr>
            <w:tcW w:w="851" w:type="dxa"/>
            <w:tcBorders>
              <w:top w:val="single" w:color="auto" w:sz="4" w:space="0"/>
              <w:left w:val="single" w:color="auto" w:sz="4" w:space="0"/>
              <w:bottom w:val="single" w:color="auto" w:sz="4" w:space="0"/>
              <w:right w:val="single" w:color="auto" w:sz="4" w:space="0"/>
            </w:tcBorders>
            <w:vAlign w:val="center"/>
          </w:tcPr>
          <w:p w14:paraId="155ECC8A">
            <w:pPr>
              <w:spacing w:line="360" w:lineRule="auto"/>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★19.5</w:t>
            </w:r>
          </w:p>
        </w:tc>
        <w:tc>
          <w:tcPr>
            <w:tcW w:w="1770" w:type="dxa"/>
            <w:tcBorders>
              <w:top w:val="single" w:color="auto" w:sz="4" w:space="0"/>
              <w:left w:val="single" w:color="auto" w:sz="4" w:space="0"/>
              <w:bottom w:val="single" w:color="auto" w:sz="4" w:space="0"/>
              <w:right w:val="single" w:color="auto" w:sz="4" w:space="0"/>
            </w:tcBorders>
            <w:vAlign w:val="center"/>
          </w:tcPr>
          <w:p w14:paraId="70D9852C">
            <w:pPr>
              <w:spacing w:line="360" w:lineRule="auto"/>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如发现下列情况之一的，其投标文件将可能被拒绝</w:t>
            </w:r>
          </w:p>
        </w:tc>
        <w:tc>
          <w:tcPr>
            <w:tcW w:w="6061" w:type="dxa"/>
            <w:tcBorders>
              <w:top w:val="single" w:color="auto" w:sz="4" w:space="0"/>
              <w:left w:val="single" w:color="auto" w:sz="4" w:space="0"/>
              <w:bottom w:val="single" w:color="auto" w:sz="4" w:space="0"/>
              <w:right w:val="single" w:color="auto" w:sz="4" w:space="0"/>
            </w:tcBorders>
            <w:vAlign w:val="center"/>
          </w:tcPr>
          <w:p w14:paraId="63D6EE48">
            <w:pPr>
              <w:spacing w:line="360" w:lineRule="auto"/>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1、</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不满足招标文件对合格投标人的基本资质要求或不能提供实质性满足证明的；</w:t>
            </w:r>
          </w:p>
          <w:p w14:paraId="47801F64">
            <w:pPr>
              <w:spacing w:line="360" w:lineRule="auto"/>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2、</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投标人未提交投标保证金或金额不足、投标保证金形式不符合招标文件要求的；</w:t>
            </w:r>
          </w:p>
          <w:p w14:paraId="19411400">
            <w:pPr>
              <w:numPr>
                <w:ilvl w:val="255"/>
                <w:numId w:val="0"/>
              </w:numPr>
              <w:spacing w:line="360" w:lineRule="auto"/>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3、</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投标人在投标文件中提供的技术或服务条款的关键条款（“★”号条款）不能实质性满足招标文件要求或不能提供实质性满足证明的；</w:t>
            </w:r>
          </w:p>
          <w:p w14:paraId="70A90137">
            <w:pPr>
              <w:spacing w:line="360" w:lineRule="auto"/>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4、</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资格证明文件不全、失效或不符合招标文件要求的；</w:t>
            </w:r>
          </w:p>
          <w:p w14:paraId="1EA0842F">
            <w:pPr>
              <w:spacing w:line="360" w:lineRule="auto"/>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highlight w:val="none"/>
                <w:lang w:val="en-US" w:eastAsia="zh-CN"/>
                <w14:textFill>
                  <w14:solidFill>
                    <w14:schemeClr w14:val="tx1"/>
                  </w14:solidFill>
                </w14:textFill>
              </w:rPr>
              <w:t>5、</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投标文件未按招标文件要求由法定代表人签字或签章，或签字人无法定代表人有效授权的；</w:t>
            </w:r>
          </w:p>
          <w:p w14:paraId="0EFBB374">
            <w:pPr>
              <w:spacing w:line="360" w:lineRule="auto"/>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6、</w:t>
            </w:r>
            <w:r>
              <w:rPr>
                <w:rFonts w:hint="default" w:ascii="Times New Roman Regular" w:hAnsi="Times New Roman Regular" w:eastAsia="宋体" w:cs="Times New Roman Regular"/>
                <w:b/>
                <w:bCs/>
                <w:color w:val="000000" w:themeColor="text1"/>
                <w:highlight w:val="none"/>
                <w14:textFill>
                  <w14:solidFill>
                    <w14:schemeClr w14:val="tx1"/>
                  </w14:solidFill>
                </w14:textFill>
              </w:rPr>
              <w:t>投标文件未按招标文件要求加盖投标人公章，或加盖的专用章无公章有效授权的；</w:t>
            </w:r>
          </w:p>
          <w:p w14:paraId="69201B57">
            <w:pPr>
              <w:spacing w:line="360" w:lineRule="auto"/>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7、</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投标文件</w:t>
            </w: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的</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投标有效期不足的；</w:t>
            </w:r>
          </w:p>
          <w:p w14:paraId="0FC5CD46">
            <w:pPr>
              <w:spacing w:line="360" w:lineRule="auto"/>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8、</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投标文件中提供虚假或失实资料的；</w:t>
            </w:r>
          </w:p>
          <w:p w14:paraId="3260A2CA">
            <w:pPr>
              <w:spacing w:line="360" w:lineRule="auto"/>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9、</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未按照招标文件规定的方式领取招标文件并按要求递交投标文件的；</w:t>
            </w:r>
          </w:p>
          <w:p w14:paraId="4051E73D">
            <w:pPr>
              <w:spacing w:line="360" w:lineRule="auto"/>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10、</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评标委员会认为不能实质上满足招标文件其他要求的或投标文件中附有招标人不能接受的条件的。</w:t>
            </w:r>
          </w:p>
        </w:tc>
      </w:tr>
      <w:tr w14:paraId="06882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7" w:type="dxa"/>
            <w:tcBorders>
              <w:top w:val="single" w:color="auto" w:sz="4" w:space="0"/>
              <w:left w:val="single" w:color="auto" w:sz="4" w:space="0"/>
              <w:bottom w:val="single" w:color="auto" w:sz="4" w:space="0"/>
              <w:right w:val="single" w:color="auto" w:sz="4" w:space="0"/>
            </w:tcBorders>
            <w:vAlign w:val="center"/>
          </w:tcPr>
          <w:p w14:paraId="07B409DF">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14</w:t>
            </w:r>
          </w:p>
        </w:tc>
        <w:tc>
          <w:tcPr>
            <w:tcW w:w="851" w:type="dxa"/>
            <w:tcBorders>
              <w:top w:val="single" w:color="auto" w:sz="4" w:space="0"/>
              <w:left w:val="single" w:color="auto" w:sz="4" w:space="0"/>
              <w:bottom w:val="single" w:color="auto" w:sz="4" w:space="0"/>
              <w:right w:val="single" w:color="auto" w:sz="4" w:space="0"/>
            </w:tcBorders>
            <w:vAlign w:val="center"/>
          </w:tcPr>
          <w:p w14:paraId="20EB710D">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20</w:t>
            </w:r>
          </w:p>
        </w:tc>
        <w:tc>
          <w:tcPr>
            <w:tcW w:w="1770" w:type="dxa"/>
            <w:tcBorders>
              <w:top w:val="single" w:color="auto" w:sz="4" w:space="0"/>
              <w:left w:val="single" w:color="auto" w:sz="4" w:space="0"/>
              <w:bottom w:val="single" w:color="auto" w:sz="4" w:space="0"/>
              <w:right w:val="single" w:color="auto" w:sz="4" w:space="0"/>
            </w:tcBorders>
            <w:vAlign w:val="center"/>
          </w:tcPr>
          <w:p w14:paraId="035CCCAE">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评标</w:t>
            </w:r>
          </w:p>
        </w:tc>
        <w:tc>
          <w:tcPr>
            <w:tcW w:w="6061" w:type="dxa"/>
            <w:tcBorders>
              <w:top w:val="single" w:color="auto" w:sz="4" w:space="0"/>
              <w:left w:val="single" w:color="auto" w:sz="4" w:space="0"/>
              <w:bottom w:val="single" w:color="auto" w:sz="4" w:space="0"/>
              <w:right w:val="single" w:color="auto" w:sz="4" w:space="0"/>
            </w:tcBorders>
            <w:vAlign w:val="center"/>
          </w:tcPr>
          <w:p w14:paraId="1A24D13B">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20.1.1评标委员会将按照本须知第20条规定对投标文件进行评价和比较。</w:t>
            </w:r>
          </w:p>
          <w:p w14:paraId="117B89BF">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20.1.2评标委员会根据本招标文件要求对投标人进行初步审查，初步审查</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分为资格审查和符合性审查。</w:t>
            </w:r>
            <w:r>
              <w:rPr>
                <w:rFonts w:hint="default" w:ascii="Times New Roman Regular" w:hAnsi="Times New Roman Regular" w:eastAsia="宋体" w:cs="Times New Roman Regular"/>
                <w:color w:val="000000" w:themeColor="text1"/>
                <w:highlight w:val="none"/>
                <w14:textFill>
                  <w14:solidFill>
                    <w14:schemeClr w14:val="tx1"/>
                  </w14:solidFill>
                </w14:textFill>
              </w:rPr>
              <w:t>资格审查依据“合格投标人基本资格要求”（格式详见第三章《评标办法》附表1：</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资格审查表）；</w:t>
            </w:r>
            <w:r>
              <w:rPr>
                <w:rFonts w:hint="default" w:ascii="Times New Roman Regular" w:hAnsi="Times New Roman Regular" w:eastAsia="宋体" w:cs="Times New Roman Regular"/>
                <w:color w:val="000000" w:themeColor="text1"/>
                <w:highlight w:val="none"/>
                <w14:textFill>
                  <w14:solidFill>
                    <w14:schemeClr w14:val="tx1"/>
                  </w14:solidFill>
                </w14:textFill>
              </w:rPr>
              <w:t>符合性审查要求及格式详见第三章《评标办法》附表2：</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符合性审查表</w:t>
            </w:r>
            <w:r>
              <w:rPr>
                <w:rFonts w:hint="default" w:ascii="Times New Roman Regular" w:hAnsi="Times New Roman Regular" w:eastAsia="宋体" w:cs="Times New Roman Regular"/>
                <w:color w:val="000000" w:themeColor="text1"/>
                <w:highlight w:val="none"/>
                <w14:textFill>
                  <w14:solidFill>
                    <w14:schemeClr w14:val="tx1"/>
                  </w14:solidFill>
                </w14:textFill>
              </w:rPr>
              <w:t>。初步审查是对</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投标人实际响应情况进行审查，以确定投标人是否满足招标文件的实质性要求。</w:t>
            </w:r>
          </w:p>
          <w:p w14:paraId="4B601889">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20.1.</w:t>
            </w:r>
            <w:r>
              <w:rPr>
                <w:rFonts w:hint="default" w:ascii="Times New Roman Regular" w:hAnsi="Times New Roman Regular" w:eastAsia="宋体" w:cs="Times New Roman Regular"/>
                <w:color w:val="000000" w:themeColor="text1"/>
                <w:highlight w:val="none"/>
                <w:lang w:val="en-US" w:eastAsia="zh-CN"/>
                <w14:textFill>
                  <w14:solidFill>
                    <w14:schemeClr w14:val="tx1"/>
                  </w14:solidFill>
                </w14:textFill>
              </w:rPr>
              <w:t>3</w:t>
            </w:r>
            <w:r>
              <w:rPr>
                <w:rFonts w:hint="default" w:ascii="Times New Roman Regular" w:hAnsi="Times New Roman Regular" w:eastAsia="宋体" w:cs="Times New Roman Regular"/>
                <w:color w:val="000000" w:themeColor="text1"/>
                <w:highlight w:val="none"/>
                <w14:textFill>
                  <w14:solidFill>
                    <w14:schemeClr w14:val="tx1"/>
                  </w14:solidFill>
                </w14:textFill>
              </w:rPr>
              <w:t>详细评审：评标委员会对进入详细评审的投标人根据第三章《评标办法》附表3进行评标。</w:t>
            </w:r>
          </w:p>
          <w:p w14:paraId="409A29CB">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20.1.</w:t>
            </w:r>
            <w:r>
              <w:rPr>
                <w:rFonts w:hint="default" w:ascii="Times New Roman Regular" w:hAnsi="Times New Roman Regular" w:eastAsia="宋体" w:cs="Times New Roman Regular"/>
                <w:color w:val="000000" w:themeColor="text1"/>
                <w:highlight w:val="none"/>
                <w:lang w:val="en-US" w:eastAsia="zh-CN"/>
                <w14:textFill>
                  <w14:solidFill>
                    <w14:schemeClr w14:val="tx1"/>
                  </w14:solidFill>
                </w14:textFill>
              </w:rPr>
              <w:t>4</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评标委员会将根据综合评估结果，对各投标人按综合得分从高到低排序，并按综合得分排序顺序推荐不多于3名中标候选人。</w:t>
            </w:r>
          </w:p>
          <w:p w14:paraId="46A69107">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20.1.</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5</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当投标人综合得分相同时，</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按第三章《评标办法》规定的顺序</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确定投标人最终排名。</w:t>
            </w:r>
          </w:p>
        </w:tc>
      </w:tr>
      <w:tr w14:paraId="5A562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14:paraId="31294785">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15</w:t>
            </w:r>
          </w:p>
        </w:tc>
        <w:tc>
          <w:tcPr>
            <w:tcW w:w="851" w:type="dxa"/>
            <w:tcBorders>
              <w:top w:val="single" w:color="auto" w:sz="4" w:space="0"/>
              <w:left w:val="single" w:color="auto" w:sz="4" w:space="0"/>
              <w:bottom w:val="single" w:color="auto" w:sz="4" w:space="0"/>
              <w:right w:val="single" w:color="auto" w:sz="4" w:space="0"/>
            </w:tcBorders>
            <w:vAlign w:val="center"/>
          </w:tcPr>
          <w:p w14:paraId="17A992A2">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22.1</w:t>
            </w:r>
          </w:p>
        </w:tc>
        <w:tc>
          <w:tcPr>
            <w:tcW w:w="1770" w:type="dxa"/>
            <w:tcBorders>
              <w:top w:val="single" w:color="auto" w:sz="4" w:space="0"/>
              <w:left w:val="single" w:color="auto" w:sz="4" w:space="0"/>
              <w:bottom w:val="single" w:color="auto" w:sz="4" w:space="0"/>
              <w:right w:val="single" w:color="auto" w:sz="4" w:space="0"/>
            </w:tcBorders>
            <w:vAlign w:val="center"/>
          </w:tcPr>
          <w:p w14:paraId="5F6B181B">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中标人数量</w:t>
            </w:r>
          </w:p>
        </w:tc>
        <w:tc>
          <w:tcPr>
            <w:tcW w:w="6061" w:type="dxa"/>
            <w:tcBorders>
              <w:top w:val="single" w:color="auto" w:sz="4" w:space="0"/>
              <w:left w:val="single" w:color="auto" w:sz="4" w:space="0"/>
              <w:bottom w:val="single" w:color="auto" w:sz="4" w:space="0"/>
              <w:right w:val="single" w:color="auto" w:sz="4" w:space="0"/>
            </w:tcBorders>
            <w:vAlign w:val="center"/>
          </w:tcPr>
          <w:p w14:paraId="2A88BA0C">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确定</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1位中标人。</w:t>
            </w:r>
          </w:p>
        </w:tc>
      </w:tr>
      <w:tr w14:paraId="658D2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14:paraId="3694A6C6">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16</w:t>
            </w:r>
          </w:p>
        </w:tc>
        <w:tc>
          <w:tcPr>
            <w:tcW w:w="851" w:type="dxa"/>
            <w:tcBorders>
              <w:top w:val="single" w:color="auto" w:sz="4" w:space="0"/>
              <w:left w:val="single" w:color="auto" w:sz="4" w:space="0"/>
              <w:bottom w:val="single" w:color="auto" w:sz="4" w:space="0"/>
              <w:right w:val="single" w:color="auto" w:sz="4" w:space="0"/>
            </w:tcBorders>
            <w:vAlign w:val="center"/>
          </w:tcPr>
          <w:p w14:paraId="7FCEBCB0">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24.3</w:t>
            </w:r>
          </w:p>
        </w:tc>
        <w:tc>
          <w:tcPr>
            <w:tcW w:w="1770" w:type="dxa"/>
            <w:tcBorders>
              <w:top w:val="single" w:color="auto" w:sz="4" w:space="0"/>
              <w:left w:val="single" w:color="auto" w:sz="4" w:space="0"/>
              <w:bottom w:val="single" w:color="auto" w:sz="4" w:space="0"/>
              <w:right w:val="single" w:color="auto" w:sz="4" w:space="0"/>
            </w:tcBorders>
            <w:vAlign w:val="center"/>
          </w:tcPr>
          <w:p w14:paraId="3929A612">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招标代理</w:t>
            </w:r>
          </w:p>
          <w:p w14:paraId="0DD4DD61">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服务费</w:t>
            </w:r>
          </w:p>
        </w:tc>
        <w:tc>
          <w:tcPr>
            <w:tcW w:w="6061" w:type="dxa"/>
            <w:tcBorders>
              <w:top w:val="single" w:color="auto" w:sz="4" w:space="0"/>
              <w:left w:val="single" w:color="auto" w:sz="4" w:space="0"/>
              <w:bottom w:val="single" w:color="auto" w:sz="4" w:space="0"/>
              <w:right w:val="single" w:color="auto" w:sz="4" w:space="0"/>
            </w:tcBorders>
            <w:vAlign w:val="center"/>
          </w:tcPr>
          <w:p w14:paraId="3A3D87BD">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招标代理机构将根据本项目预算金额向中标人收取招标代理服务费，代理费以国家计委《招标代理服务收费管理暂行办法》（计价格[2002]1980号）、《关于招标代理服务收费有关问题的通知》（发改办价格[2003]857号）中规定的代理服务收费标准下浮34%计费，服务费一次付清</w:t>
            </w:r>
            <w:r>
              <w:rPr>
                <w:rFonts w:hint="eastAsia" w:ascii="Times New Roman Regular" w:hAnsi="Times New Roman Regular" w:cs="Times New Roman Regular"/>
                <w:color w:val="000000" w:themeColor="text1"/>
                <w:szCs w:val="21"/>
                <w:highlight w:val="none"/>
                <w:lang w:eastAsia="zh-CN"/>
                <w14:textFill>
                  <w14:solidFill>
                    <w14:schemeClr w14:val="tx1"/>
                  </w14:solidFill>
                </w14:textFill>
              </w:rPr>
              <w:t>，</w:t>
            </w:r>
            <w:r>
              <w:rPr>
                <w:rFonts w:hint="eastAsia" w:ascii="Times New Roman Regular" w:hAnsi="Times New Roman Regular" w:cs="Times New Roman Regular"/>
                <w:color w:val="000000" w:themeColor="text1"/>
                <w:szCs w:val="21"/>
                <w:highlight w:val="none"/>
                <w:lang w:val="en-US" w:eastAsia="zh-CN"/>
                <w14:textFill>
                  <w14:solidFill>
                    <w14:schemeClr w14:val="tx1"/>
                  </w14:solidFill>
                </w14:textFill>
              </w:rPr>
              <w:t>最低收费6000元。</w:t>
            </w:r>
          </w:p>
        </w:tc>
      </w:tr>
      <w:tr w14:paraId="0E037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14:paraId="73D0CF9A">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17</w:t>
            </w:r>
          </w:p>
        </w:tc>
        <w:tc>
          <w:tcPr>
            <w:tcW w:w="851" w:type="dxa"/>
            <w:tcBorders>
              <w:top w:val="single" w:color="auto" w:sz="4" w:space="0"/>
              <w:left w:val="single" w:color="auto" w:sz="4" w:space="0"/>
              <w:bottom w:val="single" w:color="auto" w:sz="4" w:space="0"/>
              <w:right w:val="single" w:color="auto" w:sz="4" w:space="0"/>
            </w:tcBorders>
            <w:vAlign w:val="center"/>
          </w:tcPr>
          <w:p w14:paraId="2CB945A7">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25</w:t>
            </w:r>
          </w:p>
        </w:tc>
        <w:tc>
          <w:tcPr>
            <w:tcW w:w="1770" w:type="dxa"/>
            <w:tcBorders>
              <w:top w:val="single" w:color="auto" w:sz="4" w:space="0"/>
              <w:left w:val="single" w:color="auto" w:sz="4" w:space="0"/>
              <w:bottom w:val="single" w:color="auto" w:sz="4" w:space="0"/>
              <w:right w:val="single" w:color="auto" w:sz="4" w:space="0"/>
            </w:tcBorders>
            <w:vAlign w:val="center"/>
          </w:tcPr>
          <w:p w14:paraId="5AB1D123">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签订合同</w:t>
            </w:r>
          </w:p>
        </w:tc>
        <w:tc>
          <w:tcPr>
            <w:tcW w:w="6061" w:type="dxa"/>
            <w:tcBorders>
              <w:top w:val="single" w:color="auto" w:sz="4" w:space="0"/>
              <w:left w:val="single" w:color="auto" w:sz="4" w:space="0"/>
              <w:bottom w:val="single" w:color="auto" w:sz="4" w:space="0"/>
              <w:right w:val="single" w:color="auto" w:sz="4" w:space="0"/>
            </w:tcBorders>
            <w:vAlign w:val="center"/>
          </w:tcPr>
          <w:p w14:paraId="72B111C4">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bookmarkStart w:id="17" w:name="OLE_LINK2"/>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招标人与中标人应当在中标通知书发出之日起三十日内，按照招标文件确定的事项签订采购合同。</w:t>
            </w:r>
            <w:bookmarkEnd w:id="17"/>
          </w:p>
        </w:tc>
      </w:tr>
      <w:tr w14:paraId="233D2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14:paraId="35B32B9F">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18</w:t>
            </w:r>
          </w:p>
        </w:tc>
        <w:tc>
          <w:tcPr>
            <w:tcW w:w="851" w:type="dxa"/>
            <w:tcBorders>
              <w:top w:val="single" w:color="auto" w:sz="4" w:space="0"/>
              <w:left w:val="single" w:color="auto" w:sz="4" w:space="0"/>
              <w:bottom w:val="single" w:color="auto" w:sz="4" w:space="0"/>
              <w:right w:val="single" w:color="auto" w:sz="4" w:space="0"/>
            </w:tcBorders>
            <w:vAlign w:val="center"/>
          </w:tcPr>
          <w:p w14:paraId="359D384C">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26</w:t>
            </w:r>
          </w:p>
        </w:tc>
        <w:tc>
          <w:tcPr>
            <w:tcW w:w="1770" w:type="dxa"/>
            <w:tcBorders>
              <w:top w:val="single" w:color="auto" w:sz="4" w:space="0"/>
              <w:left w:val="single" w:color="auto" w:sz="4" w:space="0"/>
              <w:bottom w:val="single" w:color="auto" w:sz="4" w:space="0"/>
              <w:right w:val="single" w:color="auto" w:sz="4" w:space="0"/>
            </w:tcBorders>
            <w:vAlign w:val="center"/>
          </w:tcPr>
          <w:p w14:paraId="6B8584AA">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履约保证金</w:t>
            </w:r>
          </w:p>
        </w:tc>
        <w:tc>
          <w:tcPr>
            <w:tcW w:w="6061" w:type="dxa"/>
            <w:tcBorders>
              <w:top w:val="single" w:color="auto" w:sz="4" w:space="0"/>
              <w:left w:val="single" w:color="auto" w:sz="4" w:space="0"/>
              <w:bottom w:val="single" w:color="auto" w:sz="4" w:space="0"/>
              <w:right w:val="single" w:color="auto" w:sz="4" w:space="0"/>
            </w:tcBorders>
            <w:vAlign w:val="center"/>
          </w:tcPr>
          <w:p w14:paraId="7C3F4B6A">
            <w:pPr>
              <w:spacing w:line="360" w:lineRule="auto"/>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不需要</w:t>
            </w:r>
          </w:p>
        </w:tc>
      </w:tr>
      <w:tr w14:paraId="4FC6C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tcBorders>
              <w:top w:val="single" w:color="auto" w:sz="4" w:space="0"/>
              <w:left w:val="single" w:color="auto" w:sz="4" w:space="0"/>
              <w:bottom w:val="single" w:color="auto" w:sz="4" w:space="0"/>
              <w:right w:val="single" w:color="auto" w:sz="4" w:space="0"/>
            </w:tcBorders>
            <w:vAlign w:val="center"/>
          </w:tcPr>
          <w:p w14:paraId="7B93913D">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19</w:t>
            </w:r>
          </w:p>
        </w:tc>
        <w:tc>
          <w:tcPr>
            <w:tcW w:w="851" w:type="dxa"/>
            <w:tcBorders>
              <w:top w:val="single" w:color="auto" w:sz="4" w:space="0"/>
              <w:left w:val="single" w:color="auto" w:sz="4" w:space="0"/>
              <w:bottom w:val="single" w:color="auto" w:sz="4" w:space="0"/>
              <w:right w:val="single" w:color="auto" w:sz="4" w:space="0"/>
            </w:tcBorders>
            <w:vAlign w:val="center"/>
          </w:tcPr>
          <w:p w14:paraId="6737D794">
            <w:pPr>
              <w:spacing w:line="360" w:lineRule="auto"/>
              <w:jc w:val="cente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27</w:t>
            </w:r>
          </w:p>
        </w:tc>
        <w:tc>
          <w:tcPr>
            <w:tcW w:w="1770" w:type="dxa"/>
            <w:tcBorders>
              <w:top w:val="single" w:color="auto" w:sz="4" w:space="0"/>
              <w:left w:val="single" w:color="auto" w:sz="4" w:space="0"/>
              <w:bottom w:val="single" w:color="auto" w:sz="4" w:space="0"/>
              <w:right w:val="single" w:color="auto" w:sz="4" w:space="0"/>
            </w:tcBorders>
            <w:vAlign w:val="center"/>
          </w:tcPr>
          <w:p w14:paraId="645643DF">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质疑</w:t>
            </w:r>
          </w:p>
        </w:tc>
        <w:tc>
          <w:tcPr>
            <w:tcW w:w="6061" w:type="dxa"/>
            <w:tcBorders>
              <w:top w:val="single" w:color="auto" w:sz="4" w:space="0"/>
              <w:left w:val="single" w:color="auto" w:sz="4" w:space="0"/>
              <w:bottom w:val="single" w:color="auto" w:sz="4" w:space="0"/>
              <w:right w:val="single" w:color="auto" w:sz="4" w:space="0"/>
            </w:tcBorders>
            <w:vAlign w:val="center"/>
          </w:tcPr>
          <w:p w14:paraId="5C76AC8F">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Cs/>
                <w:color w:val="000000" w:themeColor="text1"/>
                <w:highlight w:val="none"/>
                <w14:textFill>
                  <w14:solidFill>
                    <w14:schemeClr w14:val="tx1"/>
                  </w14:solidFill>
                </w14:textFill>
              </w:rPr>
              <w:t>以书面形式并电话通知招标人或采购代理机构。如采用邮件形式（盖章扫描件及WPS兼容格式文件发至</w:t>
            </w:r>
            <w:r>
              <w:rPr>
                <w:rFonts w:hint="default" w:ascii="Times New Roman Regular" w:hAnsi="Times New Roman Regular" w:eastAsia="宋体" w:cs="Times New Roman Regular"/>
                <w:iCs/>
                <w:color w:val="000000" w:themeColor="text1"/>
                <w:szCs w:val="21"/>
                <w:highlight w:val="none"/>
                <w:lang w:val="en-US" w:eastAsia="zh-CN"/>
                <w14:textFill>
                  <w14:solidFill>
                    <w14:schemeClr w14:val="tx1"/>
                  </w14:solidFill>
                </w14:textFill>
              </w:rPr>
              <w:t>18761879918@163.com</w:t>
            </w:r>
            <w:r>
              <w:rPr>
                <w:rFonts w:hint="default" w:ascii="Times New Roman Regular" w:hAnsi="Times New Roman Regular" w:eastAsia="宋体" w:cs="Times New Roman Regular"/>
                <w:bCs/>
                <w:color w:val="000000" w:themeColor="text1"/>
                <w:highlight w:val="none"/>
                <w14:textFill>
                  <w14:solidFill>
                    <w14:schemeClr w14:val="tx1"/>
                  </w14:solidFill>
                </w14:textFill>
              </w:rPr>
              <w:t>邮箱）通知，招标人或招标代理机构将以邮件形式进行答复。</w:t>
            </w:r>
          </w:p>
        </w:tc>
      </w:tr>
    </w:tbl>
    <w:p w14:paraId="64222F47">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highlight w:val="none"/>
          <w14:textFill>
            <w14:solidFill>
              <w14:schemeClr w14:val="tx1"/>
            </w14:solidFill>
          </w14:textFill>
        </w:rPr>
        <w:t>注：</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本表是对“投标人须知”的具体补充和修改，如有矛盾，应以本表为准。</w:t>
      </w:r>
    </w:p>
    <w:p w14:paraId="0E7C961B">
      <w:pPr>
        <w:pStyle w:val="24"/>
        <w:spacing w:line="360" w:lineRule="auto"/>
        <w:ind w:firstLine="640"/>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5C973F15">
      <w:pPr>
        <w:pStyle w:val="3"/>
        <w:spacing w:line="360" w:lineRule="auto"/>
        <w:jc w:val="center"/>
        <w:rPr>
          <w:rStyle w:val="32"/>
          <w:rFonts w:hint="default" w:ascii="Times New Roman Regular" w:hAnsi="Times New Roman Regular" w:eastAsia="宋体" w:cs="Times New Roman Regular"/>
          <w:b/>
          <w:color w:val="000000" w:themeColor="text1"/>
          <w:sz w:val="36"/>
          <w:szCs w:val="36"/>
          <w:highlight w:val="none"/>
          <w14:textFill>
            <w14:solidFill>
              <w14:schemeClr w14:val="tx1"/>
            </w14:solidFill>
          </w14:textFill>
        </w:rPr>
      </w:pPr>
      <w:r>
        <w:rPr>
          <w:rFonts w:hint="default" w:ascii="Times New Roman Regular" w:hAnsi="Times New Roman Regular" w:eastAsia="宋体" w:cs="Times New Roman Regular"/>
          <w:color w:val="000000" w:themeColor="text1"/>
          <w:sz w:val="32"/>
          <w:highlight w:val="none"/>
          <w14:textFill>
            <w14:solidFill>
              <w14:schemeClr w14:val="tx1"/>
            </w14:solidFill>
          </w14:textFill>
        </w:rPr>
        <w:br w:type="page"/>
      </w:r>
      <w:bookmarkStart w:id="18" w:name="_Toc136440084"/>
      <w:bookmarkStart w:id="19" w:name="_Toc136440208"/>
      <w:bookmarkStart w:id="20" w:name="_Toc1924472222"/>
      <w:bookmarkStart w:id="21" w:name="_Toc493429406"/>
      <w:bookmarkStart w:id="22" w:name="_Toc20130"/>
      <w:r>
        <w:rPr>
          <w:rStyle w:val="32"/>
          <w:rFonts w:hint="default" w:ascii="Times New Roman Regular" w:hAnsi="Times New Roman Regular" w:eastAsia="宋体" w:cs="Times New Roman Regular"/>
          <w:b/>
          <w:color w:val="000000" w:themeColor="text1"/>
          <w:sz w:val="36"/>
          <w:szCs w:val="36"/>
          <w:highlight w:val="none"/>
          <w14:textFill>
            <w14:solidFill>
              <w14:schemeClr w14:val="tx1"/>
            </w14:solidFill>
          </w14:textFill>
        </w:rPr>
        <w:t>投标人须知</w:t>
      </w:r>
      <w:bookmarkEnd w:id="18"/>
      <w:bookmarkEnd w:id="19"/>
      <w:bookmarkEnd w:id="20"/>
      <w:bookmarkEnd w:id="21"/>
      <w:bookmarkEnd w:id="22"/>
    </w:p>
    <w:p w14:paraId="315BE817">
      <w:pPr>
        <w:pStyle w:val="33"/>
        <w:spacing w:before="0" w:after="0" w:line="360" w:lineRule="auto"/>
        <w:ind w:firstLine="422" w:firstLineChars="200"/>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bookmarkStart w:id="23" w:name="_Toc136440085"/>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一、说  明</w:t>
      </w:r>
      <w:bookmarkEnd w:id="23"/>
    </w:p>
    <w:p w14:paraId="2DE37D91">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1.招标人及合格的投标人</w:t>
      </w:r>
    </w:p>
    <w:p w14:paraId="0B54FAE5">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1.1招标人是指提出国内采购货物及服务的国家机关、企业、事业单位或其它组织。本项目招标人</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（详见《投标人须知前附表》）</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w:t>
      </w:r>
    </w:p>
    <w:p w14:paraId="5629E726">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1.2招标代理机构是指招标人认定的从事国内、国际招标业务的法人或社会中介组织。本项目招标代理机构</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（详见《投标人须知前附表》）</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w:t>
      </w:r>
    </w:p>
    <w:p w14:paraId="20959358">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1.3合格的投标人</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（详见《投标人须知前附表》）</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w:t>
      </w:r>
    </w:p>
    <w:p w14:paraId="25425815">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7D39F18C">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2.费用</w:t>
      </w:r>
    </w:p>
    <w:p w14:paraId="32F4727C">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2.1投标人应承担所有与准备和参加竞争有关的费用。不论结果如何，招标人均无义务和责任承担这些费用。</w:t>
      </w:r>
    </w:p>
    <w:p w14:paraId="66D8C4CE">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2502F0CC">
      <w:pPr>
        <w:pStyle w:val="33"/>
        <w:spacing w:before="0" w:after="0" w:line="360" w:lineRule="auto"/>
        <w:ind w:firstLine="422" w:firstLineChars="200"/>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bookmarkStart w:id="24" w:name="_Toc136440086"/>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二、招标文件</w:t>
      </w:r>
      <w:bookmarkEnd w:id="24"/>
    </w:p>
    <w:p w14:paraId="7CDC9367">
      <w:pPr>
        <w:pStyle w:val="34"/>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3.招标文件构成</w:t>
      </w:r>
    </w:p>
    <w:p w14:paraId="350FD9B1">
      <w:pPr>
        <w:pStyle w:val="34"/>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3.1 招标文件共六章，内容如下：</w:t>
      </w:r>
    </w:p>
    <w:p w14:paraId="3C1F3E22">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第一章 招标公告</w:t>
      </w:r>
    </w:p>
    <w:p w14:paraId="159F683C">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第二章 投标人须知前附表及投标人须知</w:t>
      </w:r>
    </w:p>
    <w:p w14:paraId="1F6E7D05">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第三章 评标办法</w:t>
      </w:r>
    </w:p>
    <w:p w14:paraId="6CBEFDA2">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第四章 合同主要条款及格式</w:t>
      </w:r>
    </w:p>
    <w:p w14:paraId="7615215D">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第五章 技术/服务需求书</w:t>
      </w:r>
    </w:p>
    <w:p w14:paraId="23ADF42F">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第六章 附件</w:t>
      </w:r>
    </w:p>
    <w:p w14:paraId="637D6B3D">
      <w:pPr>
        <w:pStyle w:val="34"/>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3.2投标人应认真阅读招标文件中所有的事项、格式、条款和技术规范等。投标人没有按照招标文件要求提交全部资料，或者投标文件没有对招标文件在各方面都作出实质性响应是投标人的风险，并可能导致其投标文件被拒绝。</w:t>
      </w:r>
    </w:p>
    <w:p w14:paraId="5D87FDE4">
      <w:pPr>
        <w:pStyle w:val="34"/>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bookmarkStart w:id="25" w:name="_Hlk10423610"/>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3.3招标人在招标文件中向投标人提供了业务需求和技术要求，但并不保证能够全面而准确地满足项目实施需要，投标人应考虑合理的设计方案，方案应满足但不限于业务需求和技术要求，并对此负责。</w:t>
      </w:r>
    </w:p>
    <w:bookmarkEnd w:id="25"/>
    <w:p w14:paraId="452401E6">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4.招标文件的澄清</w:t>
      </w:r>
    </w:p>
    <w:p w14:paraId="1169A7E1">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bookmarkStart w:id="26" w:name="_Hlk12015005"/>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4.1任何要求对招标文件进行澄清的投标人，均应按</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（详见《招标公告》）</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以书面形式通知招标代理机构。逾期的澄清要求将不被接受。</w:t>
      </w:r>
    </w:p>
    <w:bookmarkEnd w:id="26"/>
    <w:p w14:paraId="1D5A159E">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23FC0EB0">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5.招标文件的修改</w:t>
      </w:r>
    </w:p>
    <w:p w14:paraId="17CC49EF">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5.1为使投标人准备投标文件时有充分时间对招标文件的修改部分进行研究，招标人可自行决定是否延长递交投标文件截止时间。</w:t>
      </w:r>
    </w:p>
    <w:p w14:paraId="133D210E">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5.2在递交投标文件截止时间（包含延长了的递交投标文件截止时间）以前的任何时候，无论出于何种原因，招标人及招标代理机构可主动地或在解答投标人提出的澄清问题时对招标文件进行修改。</w:t>
      </w:r>
    </w:p>
    <w:p w14:paraId="2B29D7A6">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5.3招标文件的修改或澄清将以书面形式在www.jstcc.cn平台发布，并通知所有购买招标文件的投标人，投标人在收到上述通知后，应立即下载，并对其具有约束力。投标人未下载招标文件的修改或澄清是其自身的风险，招标人对此不承担责任。</w:t>
      </w:r>
    </w:p>
    <w:p w14:paraId="7F42D2AB">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4198E262">
      <w:pPr>
        <w:pStyle w:val="4"/>
        <w:spacing w:before="0" w:after="0" w:line="360" w:lineRule="auto"/>
        <w:ind w:firstLine="422" w:firstLineChars="200"/>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bookmarkStart w:id="27" w:name="_Toc1866162"/>
      <w:bookmarkStart w:id="28" w:name="_Toc26946"/>
      <w:bookmarkStart w:id="29" w:name="_Toc2035701"/>
      <w:bookmarkStart w:id="30" w:name="_Toc136440087"/>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三、投标文件的编制</w:t>
      </w:r>
      <w:bookmarkEnd w:id="27"/>
      <w:bookmarkEnd w:id="28"/>
      <w:bookmarkEnd w:id="29"/>
      <w:bookmarkEnd w:id="30"/>
    </w:p>
    <w:p w14:paraId="2131919C">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6.投标文件的语言</w:t>
      </w:r>
    </w:p>
    <w:p w14:paraId="05ABD682">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6.1投标人提交的投标文件以及投标人与招标代理机构（招标人）就有关投标文件的所有来往函电均应使用中文书写。投标人提交的支持文件和印制的文献可以用另一种语言，但相应内容应附有中文的翻译本，在解释投标文件时以中文翻译本为准。</w:t>
      </w:r>
    </w:p>
    <w:p w14:paraId="2C50DB9F">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3506248D">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7.投标文件构成</w:t>
      </w:r>
    </w:p>
    <w:p w14:paraId="47B4FB21">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7.1投标人应按下列投标文件格式要求组成投标文件（对以下所要求的投标文件如有任何一项未实质性响应，将可能导致其投标文件被拒绝）：投标文件基本文件；投标人资格证明文件，证明投标人是合格的和有能力履行合同的文件；证明投标人提供的货物及服务的合格性和符合招标文件规定的文件；招标文件要求的其它文件；投标人认为其它需提供的文件。</w:t>
      </w:r>
    </w:p>
    <w:p w14:paraId="05130CE4">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1）投标文件基本文件</w:t>
      </w:r>
    </w:p>
    <w:p w14:paraId="46E22985">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a)投标函（格式见 附件）</w:t>
      </w:r>
    </w:p>
    <w:p w14:paraId="6D5FB0F9">
      <w:pPr>
        <w:spacing w:line="360" w:lineRule="auto"/>
        <w:ind w:firstLine="420" w:firstLineChars="200"/>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b)投标一览表（格式见 附件）</w:t>
      </w:r>
    </w:p>
    <w:p w14:paraId="0B15429C">
      <w:pPr>
        <w:pStyle w:val="7"/>
        <w:spacing w:line="360" w:lineRule="auto"/>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c)分项报价表（格式见 附件）</w:t>
      </w:r>
    </w:p>
    <w:p w14:paraId="49A921C7">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2）投标人提交的证明其合格且中标后有能力履行合同的资格证明文件。资格证明文件应包括下列部分：</w:t>
      </w:r>
    </w:p>
    <w:p w14:paraId="7881B797">
      <w:pPr>
        <w:numPr>
          <w:ilvl w:val="0"/>
          <w:numId w:val="2"/>
        </w:num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bookmarkStart w:id="31" w:name="_Hlk9296398"/>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投标人须具有独立承担民事责任的能力（须提供法人或者其他组织的营业执照等证明文件，自然人的身份证明）</w:t>
      </w:r>
      <w:r>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t>。</w:t>
      </w:r>
    </w:p>
    <w:p w14:paraId="236D1611">
      <w:pPr>
        <w:numPr>
          <w:ilvl w:val="0"/>
          <w:numId w:val="2"/>
        </w:num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法定代表人授权书（格式见 附件）。</w:t>
      </w:r>
    </w:p>
    <w:p w14:paraId="2AF4478B">
      <w:pPr>
        <w:numPr>
          <w:ilvl w:val="0"/>
          <w:numId w:val="2"/>
        </w:num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商务条款偏离表及技术服务需求偏离表（格式见 附件）（如投标文件的商务或技术条款响应与招标文件有偏离，需在表中注明）。</w:t>
      </w:r>
    </w:p>
    <w:p w14:paraId="78697044">
      <w:pPr>
        <w:numPr>
          <w:ilvl w:val="0"/>
          <w:numId w:val="2"/>
        </w:num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资格证明文件（格式见 附件）。</w:t>
      </w:r>
    </w:p>
    <w:p w14:paraId="0004D991">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3）证明投标人提供的货物或服务的合格性和符合招标文件规定的文件。</w:t>
      </w:r>
    </w:p>
    <w:p w14:paraId="551B42B3">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4）招标文件要求的其它文件（如有）。</w:t>
      </w:r>
    </w:p>
    <w:p w14:paraId="11DAC19F">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5）投标人认为其它需提供的文件。</w:t>
      </w:r>
    </w:p>
    <w:p w14:paraId="1042A404">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7.2投标人提供的以上材料必须真实有效，任何一项的虚假将导致其投标文件被拒绝。</w:t>
      </w:r>
    </w:p>
    <w:bookmarkEnd w:id="31"/>
    <w:p w14:paraId="679AEA38">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3D184C19">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bookmarkStart w:id="32" w:name="_Hlk9296432"/>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8.投标文件的式样和签署</w:t>
      </w:r>
    </w:p>
    <w:p w14:paraId="682C282E">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8.1投标文件份数：（详见《投标人须知前附表》）：</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投标文件应</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标注投标人名称，项目名称、编号和时间。投标文件用中文编写，A4纸胶装。其中正本必须注明“正本”字样，正、副本及电子版本内容</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应</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保持一致，副本可以用复印件。若正本和副本或电子版本不符，以正本为准。</w:t>
      </w:r>
    </w:p>
    <w:p w14:paraId="010E6965">
      <w:pPr>
        <w:spacing w:line="360" w:lineRule="auto"/>
        <w:ind w:firstLine="420" w:firstLineChars="200"/>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8.2投标文件需由投标人法定代表人或经法定代表人正式授权并对投标人有约束力的代表在投标文件上签字。投标文件如是授权代表签字，须将“法定代表人授权书”附在投标文件中。</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★投标文件无法定代表人签字，或签字无法定代表人有效授权，投标文件将被拒绝。投标文件须按招标文件要求加盖投标人公章。投标文件未按招标文件要求加盖投标人公章的，该投标文件将可能被拒绝。</w:t>
      </w:r>
    </w:p>
    <w:p w14:paraId="20EE04C3">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8.3如投标人对招标文件个别内容不能接受，应在投标文件中另做声明，否则将视为投标人接受招标文件全部内容。</w:t>
      </w:r>
    </w:p>
    <w:p w14:paraId="663961BD">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8.4任何对投标文件行间插字、涂改和增删，必须由投标文件签字人签字或盖章后才有效。</w:t>
      </w:r>
    </w:p>
    <w:p w14:paraId="42677E24">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8.5投标文件因字迹潦草或表达不清所引起的后果由投标人负责。</w:t>
      </w:r>
    </w:p>
    <w:p w14:paraId="175F1195">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8.6投标人在投标过程中相关文件的签订、履行、通知等事项的书面文件中的单位盖章、印章、公章等处均仅指与投标人名称全称相一致的标准公章。如投标过程中投标人使用其他形式（如带有“专用章”等字样）的印章，须提供特别说明函，明确“针对本次项目，该投标人专用章作为直接参与投标时相关文件的签章，其效力等同于公章”，特别说明函须同时加盖投标人公章及专用章。</w:t>
      </w:r>
    </w:p>
    <w:p w14:paraId="35324730">
      <w:pPr>
        <w:spacing w:line="360" w:lineRule="auto"/>
        <w:ind w:firstLine="422"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t>8.7为了节约纸张，建议投标人尽量双面打印投标文件，以便招标人存档。</w:t>
      </w:r>
    </w:p>
    <w:bookmarkEnd w:id="32"/>
    <w:p w14:paraId="64E1CFE8">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45F1DE75">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9.报价</w:t>
      </w:r>
    </w:p>
    <w:p w14:paraId="6AF00CE9">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9.1报价：投标人应按照招标文件要求，在投标文件中报出本项目包含的所有货物及服务的报价（格式见 附件）。</w:t>
      </w:r>
    </w:p>
    <w:p w14:paraId="162C41C1">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9.2投标人的报价包括投标人为完成招标人的项目所发生的一切费用（包括全部相关货物及服务）且已包括与所报货物及服务相关的所有税费。投标人估算错误或漏项的风险一律由投标人承担。</w:t>
      </w:r>
    </w:p>
    <w:p w14:paraId="3AE34D60">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9.3投标人根据本须知9.1条规定将报价分成几部分并按附件格式填写分项报价表，是为了方便代理机构和招标人对投标文件进行比较，并不限制招标人以上述任何条件订立合同的权利。</w:t>
      </w:r>
    </w:p>
    <w:p w14:paraId="3D1C218F">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7B4041F0">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10.投标保证金</w:t>
      </w:r>
    </w:p>
    <w:p w14:paraId="6B2E8FF7">
      <w:pPr>
        <w:spacing w:line="360" w:lineRule="auto"/>
        <w:ind w:firstLine="420" w:firstLineChars="200"/>
        <w:rPr>
          <w:rFonts w:hint="default" w:ascii="Times New Roman Regular" w:hAnsi="Times New Roman Regular" w:eastAsia="宋体" w:cs="Times New Roman Regular"/>
          <w:color w:val="000000" w:themeColor="text1"/>
          <w:szCs w:val="21"/>
          <w:highlight w:val="none"/>
          <w:u w:val="single"/>
          <w:lang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10.1投标人应提交规定金额的投标保证金，并作为其投标文件的一部分</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（详见《投标人须知前附表》）</w:t>
      </w:r>
      <w:r>
        <w:rPr>
          <w:rFonts w:hint="default" w:ascii="Times New Roman Regular" w:hAnsi="Times New Roman Regular" w:eastAsia="宋体" w:cs="Times New Roman Regular"/>
          <w:color w:val="000000" w:themeColor="text1"/>
          <w:szCs w:val="21"/>
          <w:highlight w:val="none"/>
          <w:u w:val="single"/>
          <w:lang w:eastAsia="zh-CN"/>
          <w14:textFill>
            <w14:solidFill>
              <w14:schemeClr w14:val="tx1"/>
            </w14:solidFill>
          </w14:textFill>
        </w:rPr>
        <w:t>。</w:t>
      </w:r>
    </w:p>
    <w:p w14:paraId="7455F9A1">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10.2投标保证金是为了保护招标代理机构和招标人免遭因投标人的行为而蒙受损失。招标代理机构和招标人在因投标人的行为受到损害时可根据本须知第10.6条的规定没收投标人的投标保证金。</w:t>
      </w:r>
    </w:p>
    <w:p w14:paraId="21567BEB">
      <w:pPr>
        <w:spacing w:line="360" w:lineRule="auto"/>
        <w:ind w:firstLine="420" w:firstLineChars="200"/>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10.3投标保证金应用报价货币，并采用下列任何一种形式：</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（详见《投标人须知前附表》）</w:t>
      </w:r>
    </w:p>
    <w:p w14:paraId="0DDCA58A">
      <w:pPr>
        <w:spacing w:line="360" w:lineRule="auto"/>
        <w:ind w:firstLine="422"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★10.4凡没有根据本须知第10.1条的规定随附投标保证金的投标文件，应按本须知第19条的规定视为非响应性文件予以拒绝。</w:t>
      </w:r>
    </w:p>
    <w:p w14:paraId="64C75754">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10.5投标人的投标保证金，采购人或者采购代理机构应当自中标通知书发出之日起5个工作日内退还未中标人的投标保证金，自采购合同签订之日起5个工作日内退还中标人的投标保证金或者转为中标人的履约保证金。</w:t>
      </w:r>
    </w:p>
    <w:p w14:paraId="4E6E1432">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10.6下列任何情况发生时，投标保证金将被没收：</w:t>
      </w:r>
    </w:p>
    <w:p w14:paraId="7009A478">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1）投标人在招标文件中规定的投标有效期内撤销其投标文件；</w:t>
      </w:r>
    </w:p>
    <w:p w14:paraId="3CF7756C">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2）投标人提供的有关资料、资格证明文件被确认是不真实的；</w:t>
      </w:r>
    </w:p>
    <w:p w14:paraId="7C608460">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3）中标人未能根据本须知第24.3条的规定交纳招标代理服务费；</w:t>
      </w:r>
    </w:p>
    <w:p w14:paraId="1DC35668">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 xml:space="preserve">4）中标人在规定期限内未能根据本须知第25条规定签订合同主要条款及格式。 </w:t>
      </w:r>
    </w:p>
    <w:p w14:paraId="69D68D40">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66F5B64D">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11.投标有效期</w:t>
      </w:r>
    </w:p>
    <w:p w14:paraId="7B5F90F2">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11.1投标人递交的投标文件应在规定的递交投标文件截止日后的</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（详见《投标人须知前附表》）</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天内保持有效。</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★有效期不满足要求的投标文件将被视为非响应性文件而予以拒绝。</w:t>
      </w:r>
    </w:p>
    <w:p w14:paraId="1C48801D">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11.2特殊情况下，在原投标有效期截止之前，招标人可要求投标人同意延长投标有效期。这种要求与答复均应以书面形式提交。接受延长投标有效期的投标人将不会被要求和允许修正其投标文件，而只会被要求相应地延长其投标保证金的有效期。在这种情况下，本须知第10条有关投标保证金的退还和没收的规定将在延长了的有效期内继续有效。</w:t>
      </w:r>
    </w:p>
    <w:p w14:paraId="2467971A">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351C8D9F">
      <w:pPr>
        <w:pStyle w:val="4"/>
        <w:spacing w:before="0" w:after="0" w:line="360" w:lineRule="auto"/>
        <w:ind w:firstLine="422" w:firstLineChars="200"/>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bookmarkStart w:id="33" w:name="_Toc11903"/>
      <w:bookmarkStart w:id="34" w:name="_Toc2035702"/>
      <w:bookmarkStart w:id="35" w:name="_Toc1866163"/>
      <w:bookmarkStart w:id="36" w:name="_Toc136440088"/>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四、投标文件的递交</w:t>
      </w:r>
      <w:bookmarkEnd w:id="33"/>
      <w:bookmarkEnd w:id="34"/>
      <w:bookmarkEnd w:id="35"/>
      <w:bookmarkEnd w:id="36"/>
    </w:p>
    <w:p w14:paraId="2371EA0D">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12.投标文件的密封和标记</w:t>
      </w:r>
    </w:p>
    <w:p w14:paraId="642CADAB">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12.1投标人</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的投标文件正本、副本及电子档文件均应</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密封提交，且在</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密封包装上</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标明“正本”、“副本”、“电子文档”字样。</w:t>
      </w:r>
    </w:p>
    <w:p w14:paraId="210F54C3">
      <w:pPr>
        <w:pStyle w:val="12"/>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12.2</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投标文件的密封包装</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应：</w:t>
      </w:r>
    </w:p>
    <w:p w14:paraId="643375EF">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1）标明递交至“招标公告”中指明的地点。</w:t>
      </w:r>
    </w:p>
    <w:p w14:paraId="25403B66">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2）注明“招标公告”中指明的项目名称和“在</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”之前不得启封的字样，并填入“招标公告”中规定的日期和时间。</w:t>
      </w:r>
    </w:p>
    <w:p w14:paraId="2C338F46">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12.3</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投标文件密封包装上</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应写明投标人名称和地址，以便若其投标文件被宣布为“迟到”投标文件时，能原封退回。</w:t>
      </w:r>
    </w:p>
    <w:p w14:paraId="510C3464">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12.4如果</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投标文件密封包装</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未按本须知第12.2条要求加写标记和密封，招标代理机构对误投或过早启封概不负责。</w:t>
      </w:r>
    </w:p>
    <w:p w14:paraId="5C42B080">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12.5投标人</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应按规定</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在递交投标文件截止时间之前将投标文件送达招标代理机构。投标人须承担因未</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按规定</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送达</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投标文件</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所造成的一切责任。</w:t>
      </w:r>
    </w:p>
    <w:p w14:paraId="057A05FB">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35441BBE">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13.递交投标文件截止时间</w:t>
      </w:r>
    </w:p>
    <w:p w14:paraId="10E90C49">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13.1招标代理机构收到投标文件的时间不迟于北京时间</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年</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月</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日</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 xml:space="preserve">  ： </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整</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（详见《投标人须知前附表》）</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w:t>
      </w:r>
    </w:p>
    <w:p w14:paraId="57891234">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408C2BE2">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14.迟交的投标文件</w:t>
      </w:r>
    </w:p>
    <w:p w14:paraId="5C7C5285">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14.1 招标代理机构将拒绝并原封退回在规定的递交投标文件截止时间后收到的任何投标文件。</w:t>
      </w:r>
    </w:p>
    <w:p w14:paraId="287694DB">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6839558C">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15.投标文件的修改与撤回</w:t>
      </w:r>
    </w:p>
    <w:p w14:paraId="7A93BA57">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15.1投标人在递交投标文件后，可以修改或撤回其投标文件，但招标代理机构（或招标人）必须在规定的递交投标文件截止时间之前，收到投标人发出的修改或撤回的书面通知。</w:t>
      </w:r>
    </w:p>
    <w:p w14:paraId="10609DAF">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15.2投标人的修改或撤回通知应按本须知第12条规定编制、密封、标记和发送。</w:t>
      </w:r>
    </w:p>
    <w:p w14:paraId="658E02A3">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15.3在递交投标文件截止时间之后，投标人不得对其投标文件做任何修改。</w:t>
      </w:r>
    </w:p>
    <w:p w14:paraId="14080CAC">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15.4从递交投标文件截止时间至投标人在投标函格式中确定的投标有效期之间的这段时间内，投标人不得撤销其投标文件，否则其投标保证金将按照本须知第10.6条的规定被没收。</w:t>
      </w:r>
    </w:p>
    <w:p w14:paraId="13DAD3B7">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4CF8D3EB">
      <w:pPr>
        <w:pStyle w:val="4"/>
        <w:spacing w:before="0" w:after="0" w:line="360" w:lineRule="auto"/>
        <w:ind w:firstLine="422" w:firstLineChars="200"/>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bookmarkStart w:id="37" w:name="_Toc2035703"/>
      <w:bookmarkStart w:id="38" w:name="_Toc11647"/>
      <w:bookmarkStart w:id="39" w:name="_Toc1866164"/>
      <w:bookmarkStart w:id="40" w:name="_Toc136440089"/>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五、开标与评标</w:t>
      </w:r>
      <w:bookmarkEnd w:id="37"/>
      <w:bookmarkEnd w:id="38"/>
      <w:bookmarkEnd w:id="39"/>
      <w:bookmarkEnd w:id="40"/>
    </w:p>
    <w:p w14:paraId="00E6C04E">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16.开标</w:t>
      </w:r>
    </w:p>
    <w:p w14:paraId="2F6C3353">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16.1 招标代理机构将在“投标人须知前附表”中规定的时间和地点组织开标。</w:t>
      </w:r>
    </w:p>
    <w:p w14:paraId="64F9B977">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16.2按照第15条规定，同意撤回的投标将不予开封。</w:t>
      </w:r>
    </w:p>
    <w:p w14:paraId="5B4CE60E">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16.3开标时，将查验投标文件密封情况，确认无误后拆封唱标，若投标文件未密封，或未提交投标保证金（包括投标保证金不符合第10条规定），投标文件无效。</w:t>
      </w:r>
    </w:p>
    <w:p w14:paraId="302284BF">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16.4开标时，招标代理机构将当众宣读每份投标文件中“投标一览表</w:t>
      </w:r>
      <w:r>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t>（</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或报价表）</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中</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的各项内容，以及招标人认为合适的其他详细内容。</w:t>
      </w:r>
    </w:p>
    <w:p w14:paraId="374B6F2D">
      <w:pPr>
        <w:spacing w:line="360" w:lineRule="auto"/>
        <w:ind w:firstLine="420" w:firstLineChars="200"/>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16.5 招标代理机构将做开标记录，开标记录包括按第16.4条规定在开标时宣读的全部内容。</w:t>
      </w:r>
    </w:p>
    <w:p w14:paraId="431DE292">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17.评标委员会</w:t>
      </w:r>
    </w:p>
    <w:p w14:paraId="6C89D301">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17.1招标代理机构根据要求组建评标委员会，评标委员会负责整个项目的评标工作。</w:t>
      </w:r>
    </w:p>
    <w:p w14:paraId="44357758">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18.投标文件的澄清</w:t>
      </w:r>
    </w:p>
    <w:p w14:paraId="523036DF">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18.1在评标期间，招标代理机构（招标人）可要求投标人对其投标文件的</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相关</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内容进行澄清或者说明，但是澄清或者说明不得超出投标文件的范围或者改变投标文件的实质性内容。有关澄清的要求和答复均应以书面形式提交。</w:t>
      </w:r>
    </w:p>
    <w:p w14:paraId="1EB5E2EE">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18.2</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评标委员会不一定</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对每个投标人都做澄清要求。</w:t>
      </w:r>
    </w:p>
    <w:p w14:paraId="42CF76BD">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18.3接到评标委员会澄清要求的投标人应派人按评标委员会通知的时间和地点做出书面澄清，书面澄清的内容须由投标人法定代表人或授权代表签署，并作为投标文件的补充部分。</w:t>
      </w:r>
    </w:p>
    <w:p w14:paraId="2C0B05EE">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18.4接到评标委员会澄清要求的投标人如未按第18条的规定做出澄清，其风险由投标人自行承担。</w:t>
      </w:r>
    </w:p>
    <w:p w14:paraId="3DEF4A10">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1FF9100C">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19.投标文件的初审</w:t>
      </w:r>
    </w:p>
    <w:p w14:paraId="30E953BC">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19.1评标委员会将初步审查投标文件是否完整、总体编排是否有序、文件签署是否合格、投标人是否提交了投标保证金、有无计算上的错误等。只有通过初步评审的投标才能进入详细评审。</w:t>
      </w:r>
    </w:p>
    <w:p w14:paraId="023E0FB1">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19.2投标文件报价出现前后不一致的，除招标文件另有规定外，按照下列规定修正：</w:t>
      </w:r>
    </w:p>
    <w:p w14:paraId="21ECBC37">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（1）投标文件中开标一览表（报价表）内容与投标文件中相应内容不一致的，以开标一览表（报价表）为准；</w:t>
      </w:r>
    </w:p>
    <w:p w14:paraId="11FD4554">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（2）大写金额和小写金额不一致的，以大写金额为准；</w:t>
      </w:r>
    </w:p>
    <w:p w14:paraId="3C596C9A">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（3）单价金额小数点或者百分比有明显错位的，以开标一览表的总价为准，并修改单价；</w:t>
      </w:r>
    </w:p>
    <w:p w14:paraId="4DA8158E">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（4）总价金额与按单价汇总金额不一致的，以单价金额计算结果为准。</w:t>
      </w:r>
    </w:p>
    <w:p w14:paraId="444FB89C">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同时出现两种以上不一致的，按照前款规定的顺序修正。</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★修正后的报价按照上述规定经投标人确认后产生约束力，投标人不确认的，其投标无效</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w:t>
      </w:r>
    </w:p>
    <w:p w14:paraId="416A1236">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bookmarkStart w:id="41" w:name="_Hlk9297065"/>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19.3对于投标文件中不构成实质性偏差的不正规、不一致或不规则，评标委员会可以接受，但这种接受不能损害或影响任何投标人的相对排序。</w:t>
      </w:r>
    </w:p>
    <w:p w14:paraId="1D497DC8">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19.4在详细评审之前，评标委员会要审查每份投标文件是否实质上响应了招标文件的要求。实质上响应的投标文件应该是与招标文件要求的全部条款、条件和规格相符，没有重大偏离的投标文件。对关键条文的偏离、保留或反对，例如关于投标保证金、适用法律、税及关税等内容的偏离将被认为是实质上的偏离。评标委员会决定投标文件的响应性只根据投标文件本身的内容，而不寻求外部的证据。</w:t>
      </w:r>
    </w:p>
    <w:p w14:paraId="276B252B">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19.5</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★实质上没有响应招标文件要求的投标文件将被拒绝。</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投标人不得通过修正或撤消不合要求的偏离或保留从而使其投标文件成为实质上响应的投标文件。如发现下列情况之一的，其投标文件将可能被拒绝：（详见《投标人须知前附表》）</w:t>
      </w:r>
    </w:p>
    <w:p w14:paraId="547DAF59">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19.6招标人保留对通过初审的投标人进行进一步审查的权利。招标人在认为必要的情况下，有权要求已通过初审的投标人提交有关资质证明文件的原件，★</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如发现投标人提供的投标文件与资质原件有不符、伪造或涂改等情况，将取消该投标人的资格</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w:t>
      </w:r>
    </w:p>
    <w:bookmarkEnd w:id="41"/>
    <w:p w14:paraId="5A2F9815">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19.7异常低价处理方式：</w:t>
      </w:r>
    </w:p>
    <w:p w14:paraId="65EDAB84">
      <w:pPr>
        <w:spacing w:line="360" w:lineRule="auto"/>
        <w:ind w:firstLine="420" w:firstLineChars="200"/>
        <w:rPr>
          <w:rFonts w:hint="eastAsia" w:ascii="Times New Roman Regular" w:hAnsi="Times New Roman Regular" w:eastAsia="宋体" w:cs="Times New Roman Regular"/>
          <w:color w:val="000000" w:themeColor="text1"/>
          <w:szCs w:val="21"/>
          <w:highlight w:val="none"/>
          <w14:textFill>
            <w14:solidFill>
              <w14:schemeClr w14:val="tx1"/>
            </w14:solidFill>
          </w14:textFill>
        </w:rPr>
      </w:pPr>
      <w:r>
        <w:rPr>
          <w:rFonts w:hint="eastAsia" w:ascii="Times New Roman Regular" w:hAnsi="Times New Roman Regular" w:eastAsia="宋体" w:cs="Times New Roman Regular"/>
          <w:color w:val="000000" w:themeColor="text1"/>
          <w:szCs w:val="21"/>
          <w:highlight w:val="none"/>
          <w14:textFill>
            <w14:solidFill>
              <w14:schemeClr w14:val="tx1"/>
            </w14:solidFill>
          </w14:textFill>
        </w:rPr>
        <w:t>评审中出现如下“可能低于成本或者影响履约的异常低价投标”情形之一的，评标委员会应当启动异常低价投标审查程序：</w:t>
      </w:r>
    </w:p>
    <w:p w14:paraId="1BD6F83F">
      <w:pPr>
        <w:spacing w:line="360" w:lineRule="auto"/>
        <w:ind w:firstLine="420" w:firstLineChars="200"/>
        <w:rPr>
          <w:rFonts w:hint="eastAsia" w:ascii="Times New Roman Regular" w:hAnsi="Times New Roman Regular" w:eastAsia="宋体" w:cs="Times New Roman Regular"/>
          <w:color w:val="000000" w:themeColor="text1"/>
          <w:szCs w:val="21"/>
          <w:highlight w:val="none"/>
          <w14:textFill>
            <w14:solidFill>
              <w14:schemeClr w14:val="tx1"/>
            </w14:solidFill>
          </w14:textFill>
        </w:rPr>
      </w:pPr>
      <w:r>
        <w:rPr>
          <w:rFonts w:hint="eastAsia"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1、</w:t>
      </w:r>
      <w:r>
        <w:rPr>
          <w:rFonts w:hint="eastAsia" w:ascii="Times New Roman Regular" w:hAnsi="Times New Roman Regular" w:eastAsia="宋体" w:cs="Times New Roman Regular"/>
          <w:color w:val="000000" w:themeColor="text1"/>
          <w:szCs w:val="21"/>
          <w:highlight w:val="none"/>
          <w14:textFill>
            <w14:solidFill>
              <w14:schemeClr w14:val="tx1"/>
            </w14:solidFill>
          </w14:textFill>
        </w:rPr>
        <w:t>投标报价低于全部通过初步评审投标人投标报价平均值50%的，即投标报价&lt;全部通过初步评审投标人投标报价平均值×50%；</w:t>
      </w:r>
    </w:p>
    <w:p w14:paraId="74701A95">
      <w:pPr>
        <w:spacing w:line="360" w:lineRule="auto"/>
        <w:ind w:firstLine="420" w:firstLineChars="200"/>
        <w:rPr>
          <w:rFonts w:hint="eastAsia" w:ascii="Times New Roman Regular" w:hAnsi="Times New Roman Regular" w:eastAsia="宋体" w:cs="Times New Roman Regular"/>
          <w:color w:val="000000" w:themeColor="text1"/>
          <w:szCs w:val="21"/>
          <w:highlight w:val="none"/>
          <w14:textFill>
            <w14:solidFill>
              <w14:schemeClr w14:val="tx1"/>
            </w14:solidFill>
          </w14:textFill>
        </w:rPr>
      </w:pPr>
      <w:r>
        <w:rPr>
          <w:rFonts w:hint="eastAsia"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2、</w:t>
      </w:r>
      <w:r>
        <w:rPr>
          <w:rFonts w:hint="eastAsia" w:ascii="Times New Roman Regular" w:hAnsi="Times New Roman Regular" w:eastAsia="宋体" w:cs="Times New Roman Regular"/>
          <w:color w:val="000000" w:themeColor="text1"/>
          <w:szCs w:val="21"/>
          <w:highlight w:val="none"/>
          <w14:textFill>
            <w14:solidFill>
              <w14:schemeClr w14:val="tx1"/>
            </w14:solidFill>
          </w14:textFill>
        </w:rPr>
        <w:t>投标报价低于通过符初步评审且报价次低投标人投标报价50%的，即投标报价&lt;通过初步评审且报价次低投标人投标报价×50%；</w:t>
      </w:r>
    </w:p>
    <w:p w14:paraId="48544E5C">
      <w:pPr>
        <w:spacing w:line="360" w:lineRule="auto"/>
        <w:ind w:firstLine="420" w:firstLineChars="200"/>
        <w:rPr>
          <w:rFonts w:hint="eastAsia" w:ascii="Times New Roman Regular" w:hAnsi="Times New Roman Regular" w:eastAsia="宋体" w:cs="Times New Roman Regular"/>
          <w:color w:val="000000" w:themeColor="text1"/>
          <w:szCs w:val="21"/>
          <w:highlight w:val="none"/>
          <w14:textFill>
            <w14:solidFill>
              <w14:schemeClr w14:val="tx1"/>
            </w14:solidFill>
          </w14:textFill>
        </w:rPr>
      </w:pPr>
      <w:r>
        <w:rPr>
          <w:rFonts w:hint="eastAsia"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3、</w:t>
      </w:r>
      <w:r>
        <w:rPr>
          <w:rFonts w:hint="eastAsia" w:ascii="Times New Roman Regular" w:hAnsi="Times New Roman Regular" w:eastAsia="宋体" w:cs="Times New Roman Regular"/>
          <w:color w:val="000000" w:themeColor="text1"/>
          <w:szCs w:val="21"/>
          <w:highlight w:val="none"/>
          <w14:textFill>
            <w14:solidFill>
              <w14:schemeClr w14:val="tx1"/>
            </w14:solidFill>
          </w14:textFill>
        </w:rPr>
        <w:t>投标报价低于招标项目最高投标限价45%的，即投标报价&lt;招标项目最高投标限价×45%；</w:t>
      </w:r>
    </w:p>
    <w:p w14:paraId="0FB28C9B">
      <w:pPr>
        <w:spacing w:line="360" w:lineRule="auto"/>
        <w:ind w:firstLine="420" w:firstLineChars="200"/>
        <w:rPr>
          <w:rFonts w:hint="eastAsia" w:ascii="Times New Roman Regular" w:hAnsi="Times New Roman Regular" w:eastAsia="宋体" w:cs="Times New Roman Regular"/>
          <w:color w:val="000000" w:themeColor="text1"/>
          <w:szCs w:val="21"/>
          <w:highlight w:val="none"/>
          <w14:textFill>
            <w14:solidFill>
              <w14:schemeClr w14:val="tx1"/>
            </w14:solidFill>
          </w14:textFill>
        </w:rPr>
      </w:pPr>
      <w:r>
        <w:rPr>
          <w:rFonts w:hint="eastAsia"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4、</w:t>
      </w:r>
      <w:r>
        <w:rPr>
          <w:rFonts w:hint="eastAsia" w:ascii="Times New Roman Regular" w:hAnsi="Times New Roman Regular" w:eastAsia="宋体" w:cs="Times New Roman Regular"/>
          <w:color w:val="000000" w:themeColor="text1"/>
          <w:szCs w:val="21"/>
          <w:highlight w:val="none"/>
          <w14:textFill>
            <w14:solidFill>
              <w14:schemeClr w14:val="tx1"/>
            </w14:solidFill>
          </w14:textFill>
        </w:rPr>
        <w:t>其他评标委员会认为投标人报价过低，有可能影响产品质量或者不能诚信履约的情形。</w:t>
      </w:r>
    </w:p>
    <w:p w14:paraId="47555BCC">
      <w:pPr>
        <w:spacing w:line="360" w:lineRule="auto"/>
        <w:ind w:firstLine="420" w:firstLineChars="200"/>
        <w:rPr>
          <w:rFonts w:hint="eastAsia" w:ascii="Times New Roman Regular" w:hAnsi="Times New Roman Regular" w:eastAsia="宋体" w:cs="Times New Roman Regular"/>
          <w:color w:val="000000" w:themeColor="text1"/>
          <w:szCs w:val="21"/>
          <w:highlight w:val="none"/>
          <w14:textFill>
            <w14:solidFill>
              <w14:schemeClr w14:val="tx1"/>
            </w14:solidFill>
          </w14:textFill>
        </w:rPr>
      </w:pPr>
      <w:r>
        <w:rPr>
          <w:rFonts w:hint="eastAsia" w:ascii="Times New Roman Regular" w:hAnsi="Times New Roman Regular" w:eastAsia="宋体" w:cs="Times New Roman Regular"/>
          <w:color w:val="000000" w:themeColor="text1"/>
          <w:szCs w:val="21"/>
          <w:highlight w:val="none"/>
          <w14:textFill>
            <w14:solidFill>
              <w14:schemeClr w14:val="tx1"/>
            </w14:solidFill>
          </w14:textFill>
        </w:rPr>
        <w:t>评标委员会启动异常低价投标审查后，应当要求相关投标人在评审现场合理的时间内（应至少为投标人提供30分钟准备说明时间，最长限定时间由评标委员会视评审进度决定）提供书面说明及必要的证明材料，对投标报价作出解释。投标人说明材料应至少包括价格构成、成本测算依据、报价合理性说明等。</w:t>
      </w:r>
    </w:p>
    <w:p w14:paraId="7623838C">
      <w:pPr>
        <w:spacing w:line="360" w:lineRule="auto"/>
        <w:ind w:firstLine="422" w:firstLineChars="200"/>
        <w:rPr>
          <w:rFonts w:hint="eastAsia"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eastAsia" w:ascii="Times New Roman Regular" w:hAnsi="Times New Roman Regular" w:eastAsia="宋体" w:cs="Times New Roman Regular"/>
          <w:b/>
          <w:bCs/>
          <w:color w:val="000000" w:themeColor="text1"/>
          <w:szCs w:val="21"/>
          <w:highlight w:val="none"/>
          <w14:textFill>
            <w14:solidFill>
              <w14:schemeClr w14:val="tx1"/>
            </w14:solidFill>
          </w14:textFill>
        </w:rPr>
        <w:t>★如果投标人不提供书面说明、证明材料，或者提供的书面说明、证明材料不能证明其报价合理性的，评标委员会应否决其投标。</w:t>
      </w:r>
    </w:p>
    <w:p w14:paraId="731FC8D8">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089840A9">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19.8投标文件中如果申报了非招标文件所要求的服务，评标时不予以折价降低评标价。</w:t>
      </w:r>
    </w:p>
    <w:p w14:paraId="53F54692">
      <w:pPr>
        <w:spacing w:line="360" w:lineRule="auto"/>
        <w:ind w:firstLine="420" w:firstLineChars="20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19.9★</w:t>
      </w:r>
      <w:r>
        <w:rPr>
          <w:rFonts w:hint="default" w:ascii="Times New Roman Regular" w:hAnsi="Times New Roman Regular" w:eastAsia="宋体" w:cs="Times New Roman Regular"/>
          <w:b/>
          <w:bCs/>
          <w:color w:val="000000" w:themeColor="text1"/>
          <w:highlight w:val="none"/>
          <w14:textFill>
            <w14:solidFill>
              <w14:schemeClr w14:val="tx1"/>
            </w14:solidFill>
          </w14:textFill>
        </w:rPr>
        <w:t>如通过资格审查及符合性审查后实质性满足需求的投标人不足三家，本项目将予以废标</w:t>
      </w:r>
      <w:r>
        <w:rPr>
          <w:rFonts w:hint="default" w:ascii="Times New Roman Regular" w:hAnsi="Times New Roman Regular" w:eastAsia="宋体" w:cs="Times New Roman Regular"/>
          <w:color w:val="000000" w:themeColor="text1"/>
          <w:highlight w:val="none"/>
          <w14:textFill>
            <w14:solidFill>
              <w14:schemeClr w14:val="tx1"/>
            </w14:solidFill>
          </w14:textFill>
        </w:rPr>
        <w:t>。</w:t>
      </w:r>
    </w:p>
    <w:p w14:paraId="03A12B34">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59032D66">
      <w:pPr>
        <w:spacing w:line="360" w:lineRule="auto"/>
        <w:ind w:firstLine="420" w:firstLineChars="200"/>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20.评标</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（详见《投标人须知前附表》）</w:t>
      </w:r>
    </w:p>
    <w:p w14:paraId="69F19524">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73F38647">
      <w:pPr>
        <w:pStyle w:val="4"/>
        <w:spacing w:before="0" w:after="0" w:line="360" w:lineRule="auto"/>
        <w:ind w:firstLine="422" w:firstLineChars="200"/>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bookmarkStart w:id="42" w:name="_Toc2035704"/>
      <w:bookmarkStart w:id="43" w:name="_Toc19335"/>
      <w:bookmarkStart w:id="44" w:name="_Toc1866165"/>
      <w:bookmarkStart w:id="45" w:name="_Toc136440090"/>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六、保密</w:t>
      </w:r>
      <w:bookmarkEnd w:id="42"/>
      <w:bookmarkEnd w:id="43"/>
      <w:bookmarkEnd w:id="44"/>
      <w:bookmarkEnd w:id="45"/>
    </w:p>
    <w:p w14:paraId="607349D4">
      <w:pPr>
        <w:spacing w:line="360" w:lineRule="auto"/>
        <w:ind w:firstLine="420" w:firstLineChars="200"/>
        <w:jc w:val="left"/>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21评标委员会成员名单在评标结果公示前应当保密。</w:t>
      </w:r>
    </w:p>
    <w:p w14:paraId="41E4238E">
      <w:pPr>
        <w:spacing w:line="360" w:lineRule="auto"/>
        <w:ind w:firstLine="420" w:firstLineChars="200"/>
        <w:jc w:val="left"/>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21.1招标人应当采取必要的措施，保证评标在严格保密的情况下进行。</w:t>
      </w:r>
    </w:p>
    <w:p w14:paraId="6834DABF">
      <w:pPr>
        <w:spacing w:line="360" w:lineRule="auto"/>
        <w:ind w:firstLine="420" w:firstLineChars="200"/>
        <w:jc w:val="left"/>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21.2有关人员对评标情况以及在评标过程中获悉的国家秘密、商业秘密负有保密责任。</w:t>
      </w:r>
    </w:p>
    <w:p w14:paraId="4EB8BB43">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1FF4C612">
      <w:pPr>
        <w:pStyle w:val="4"/>
        <w:spacing w:before="0" w:after="0" w:line="360" w:lineRule="auto"/>
        <w:ind w:firstLine="422" w:firstLineChars="200"/>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bookmarkStart w:id="46" w:name="_Toc19144"/>
      <w:bookmarkStart w:id="47" w:name="_Toc136440091"/>
      <w:bookmarkStart w:id="48" w:name="_Toc2035705"/>
      <w:bookmarkStart w:id="49" w:name="_Toc1866166"/>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七、合同的签订</w:t>
      </w:r>
      <w:bookmarkEnd w:id="46"/>
      <w:bookmarkEnd w:id="47"/>
      <w:bookmarkEnd w:id="48"/>
      <w:bookmarkEnd w:id="49"/>
    </w:p>
    <w:p w14:paraId="0C5F5405">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22.推荐中标候选人</w:t>
      </w:r>
    </w:p>
    <w:p w14:paraId="6D4FA895">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22.1评标委员会将根据投标人综合评估结果，按综合得分排序向招标人推荐本项目的中标人候选人。</w:t>
      </w:r>
    </w:p>
    <w:p w14:paraId="30B07804">
      <w:pPr>
        <w:spacing w:line="360" w:lineRule="auto"/>
        <w:ind w:firstLine="420" w:firstLineChars="200"/>
        <w:rPr>
          <w:rFonts w:hint="default" w:ascii="Times New Roman Regular" w:hAnsi="Times New Roman Regular" w:eastAsia="宋体" w:cs="Times New Roman Regular"/>
          <w:color w:val="000000" w:themeColor="text1"/>
          <w:szCs w:val="21"/>
          <w:highlight w:val="none"/>
          <w:lang w:bidi="ar"/>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 xml:space="preserve">22.2 </w:t>
      </w:r>
      <w:r>
        <w:rPr>
          <w:rFonts w:hint="default" w:ascii="Times New Roman Regular" w:hAnsi="Times New Roman Regular" w:eastAsia="宋体" w:cs="Times New Roman Regular"/>
          <w:color w:val="000000" w:themeColor="text1"/>
          <w:szCs w:val="21"/>
          <w:highlight w:val="none"/>
          <w:lang w:bidi="ar"/>
          <w14:textFill>
            <w14:solidFill>
              <w14:schemeClr w14:val="tx1"/>
            </w14:solidFill>
          </w14:textFill>
        </w:rPr>
        <w:t>中标候选人的经营、财务状况发生较大变化或者存在违法行为，招标人认为可能影响其履约能力的，在发出中标通知书前由原评标委员会按照招标文件规定的标准和方法审查确认。</w:t>
      </w:r>
    </w:p>
    <w:p w14:paraId="2EDE408B">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777581F6">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23.接受和拒绝任何或所有投标的权力</w:t>
      </w:r>
    </w:p>
    <w:p w14:paraId="7207ACC8">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23.1招标人保留在签订合同之前任何时候接受或拒绝任何投标，以及宣布本次采购无效或拒绝所有投标的权力，对受影响的投标人不承担任何责任，也无义务向受影响的投标人解释采取这一行动的理由。</w:t>
      </w:r>
    </w:p>
    <w:p w14:paraId="2B7C5C95">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5CF89792">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24.中标通知书</w:t>
      </w:r>
    </w:p>
    <w:p w14:paraId="47DB94E7">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24.1招标人确定后，招标代理机构将向中标人发出中标通知书。</w:t>
      </w:r>
      <w:r>
        <w:rPr>
          <w:rFonts w:hint="default" w:ascii="Times New Roman Regular" w:hAnsi="Times New Roman Regular" w:eastAsia="宋体" w:cs="Times New Roman Regular"/>
          <w:color w:val="000000" w:themeColor="text1"/>
          <w:szCs w:val="21"/>
          <w:highlight w:val="none"/>
          <w:lang w:bidi="ar"/>
          <w14:textFill>
            <w14:solidFill>
              <w14:schemeClr w14:val="tx1"/>
            </w14:solidFill>
          </w14:textFill>
        </w:rPr>
        <w:t>中标通知书发出后，中标人无正当理由不得放弃中标。中标人放弃中标的，应当依法承担法律责任。</w:t>
      </w:r>
    </w:p>
    <w:p w14:paraId="4DEC4C17">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24.2中标通知书是合同的一个组成部分。</w:t>
      </w:r>
    </w:p>
    <w:p w14:paraId="7D2FF6F4">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24.3中标人应向招标代理机构交纳招标代理服务费。</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（详见《投标人须知前附表》）</w:t>
      </w:r>
    </w:p>
    <w:p w14:paraId="3421DE5C">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125C42AC">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25.签订合同</w:t>
      </w:r>
    </w:p>
    <w:p w14:paraId="78766C64">
      <w:pPr>
        <w:widowControl/>
        <w:spacing w:line="360" w:lineRule="auto"/>
        <w:ind w:firstLine="420" w:firstLineChars="200"/>
        <w:jc w:val="left"/>
        <w:rPr>
          <w:rFonts w:hint="default" w:ascii="Times New Roman Regular" w:hAnsi="Times New Roman Regular" w:eastAsia="宋体" w:cs="Times New Roman Regular"/>
          <w:color w:val="000000" w:themeColor="text1"/>
          <w:szCs w:val="21"/>
          <w:highlight w:val="none"/>
          <w:lang w:bidi="ar"/>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bidi="ar"/>
          <w14:textFill>
            <w14:solidFill>
              <w14:schemeClr w14:val="tx1"/>
            </w14:solidFill>
          </w14:textFill>
        </w:rPr>
        <w:t xml:space="preserve">25.1 </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招标人与中标人应当在中标通知书发出之日起三十日内，按照招标文件确定的事项签订采购合同（格式见第四章 《合同主要条款及格式》），否则按投标有效期内撤销投标文件处理，其投标保证金将被没收。</w:t>
      </w:r>
    </w:p>
    <w:p w14:paraId="72292319">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bidi="ar"/>
          <w14:textFill>
            <w14:solidFill>
              <w14:schemeClr w14:val="tx1"/>
            </w14:solidFill>
          </w14:textFill>
        </w:rPr>
        <w:t>25.2 中标供应商拒绝与招标人签订合同的，招标人可以按照评审报告推荐的中标候选人名单排序，确定下一候选人为中标供应商，也可以重新开展采购活动。</w:t>
      </w:r>
    </w:p>
    <w:p w14:paraId="2F347024">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25.3 招标文件、中标人的投标文件是签订合同的依据，投标文件中的货物、人员、技术服务方案等标的未经招标人同意不得变更。</w:t>
      </w:r>
    </w:p>
    <w:p w14:paraId="09BEEAE0">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bookmarkStart w:id="50" w:name="_Hlk15626403"/>
      <w:bookmarkStart w:id="51" w:name="_Hlk826310"/>
    </w:p>
    <w:p w14:paraId="7C454606">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26.履约保证金</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（详见《投标人须知前附表》）</w:t>
      </w:r>
    </w:p>
    <w:bookmarkEnd w:id="50"/>
    <w:bookmarkEnd w:id="51"/>
    <w:p w14:paraId="089C4C4B">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bookmarkStart w:id="52" w:name="_Hlk12015075"/>
    </w:p>
    <w:p w14:paraId="6F279350">
      <w:pPr>
        <w:pStyle w:val="4"/>
        <w:numPr>
          <w:ilvl w:val="0"/>
          <w:numId w:val="3"/>
        </w:numPr>
        <w:spacing w:before="0" w:after="0" w:line="360" w:lineRule="auto"/>
        <w:ind w:firstLine="422" w:firstLineChars="200"/>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bookmarkStart w:id="53" w:name="_Toc136440092"/>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质疑</w:t>
      </w:r>
      <w:bookmarkEnd w:id="53"/>
    </w:p>
    <w:p w14:paraId="249038B6">
      <w:pPr>
        <w:numPr>
          <w:ilvl w:val="0"/>
          <w:numId w:val="0"/>
        </w:numPr>
        <w:rPr>
          <w:rFonts w:hint="default" w:ascii="Times New Roman Regular" w:hAnsi="Times New Roman Regular" w:eastAsia="宋体" w:cs="Times New Roman Regular"/>
          <w:color w:val="000000" w:themeColor="text1"/>
          <w:highlight w:val="none"/>
          <w:lang w:val="en-US" w:eastAsia="zh-CN"/>
          <w14:textFill>
            <w14:solidFill>
              <w14:schemeClr w14:val="tx1"/>
            </w14:solidFill>
          </w14:textFill>
        </w:rPr>
      </w:pPr>
      <w:r>
        <w:rPr>
          <w:rFonts w:hint="default" w:ascii="Times New Roman Regular" w:hAnsi="Times New Roman Regular" w:eastAsia="宋体" w:cs="Times New Roman Regular"/>
          <w:color w:val="000000" w:themeColor="text1"/>
          <w:highlight w:val="none"/>
          <w:lang w:val="en-US" w:eastAsia="zh-CN"/>
          <w14:textFill>
            <w14:solidFill>
              <w14:schemeClr w14:val="tx1"/>
            </w14:solidFill>
          </w14:textFill>
        </w:rPr>
        <w:t xml:space="preserve">    27 .质疑</w:t>
      </w:r>
    </w:p>
    <w:bookmarkEnd w:id="52"/>
    <w:p w14:paraId="5C4B5B7F">
      <w:pPr>
        <w:spacing w:line="360" w:lineRule="auto"/>
        <w:ind w:firstLine="420" w:firstLineChars="200"/>
        <w:jc w:val="left"/>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2</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7.1投标人认为招标（采购）文件、招标</w:t>
      </w:r>
      <w:r>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t>（</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采购</w:t>
      </w:r>
      <w:r>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t>）</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过程和成交结果使自己的权益受到损害的，可以在知道或者应知其权益受到损害之日起7个工作日内，</w:t>
      </w: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按</w:t>
      </w:r>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t>投标人须知前附表</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的要求向招标人提出质疑。招标人将以书面形式答复质疑供应商，但答复的内容不涉及商业秘密。投标人在法定质疑期内针对同一采购程序环节的质疑必须一次性提出。</w:t>
      </w:r>
    </w:p>
    <w:p w14:paraId="0DCFA8D8">
      <w:pPr>
        <w:spacing w:line="360" w:lineRule="auto"/>
        <w:ind w:firstLine="420" w:firstLineChars="200"/>
        <w:jc w:val="left"/>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27</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.2以联合体形式参加投标的，应当由组成联合体的所有投标人共同提出</w:t>
      </w:r>
      <w:r>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t>。</w:t>
      </w:r>
      <w:bookmarkStart w:id="54" w:name="_Toc198090554"/>
    </w:p>
    <w:bookmarkEnd w:id="54"/>
    <w:p w14:paraId="4DCD9EA4">
      <w:pPr>
        <w:widowControl/>
        <w:spacing w:line="360" w:lineRule="auto"/>
        <w:jc w:val="left"/>
        <w:rPr>
          <w:rFonts w:hint="default" w:ascii="Times New Roman Regular" w:hAnsi="Times New Roman Regular" w:eastAsia="宋体" w:cs="Times New Roman Regular"/>
          <w:b/>
          <w:bCs/>
          <w:color w:val="000000" w:themeColor="text1"/>
          <w:kern w:val="44"/>
          <w:sz w:val="52"/>
          <w:szCs w:val="52"/>
          <w:highlight w:val="none"/>
          <w14:textFill>
            <w14:solidFill>
              <w14:schemeClr w14:val="tx1"/>
            </w14:solidFill>
          </w14:textFill>
        </w:rPr>
      </w:pPr>
      <w:bookmarkStart w:id="55" w:name="_Toc161767418"/>
      <w:bookmarkStart w:id="56" w:name="_Toc135998991"/>
      <w:r>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br w:type="page"/>
      </w:r>
    </w:p>
    <w:p w14:paraId="38B37CFD">
      <w:pPr>
        <w:pStyle w:val="3"/>
        <w:spacing w:line="360" w:lineRule="auto"/>
        <w:jc w:val="center"/>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pPr>
      <w:bookmarkStart w:id="57" w:name="_Toc1353427687"/>
      <w:r>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t>第三章 评标办法</w:t>
      </w:r>
      <w:bookmarkEnd w:id="57"/>
    </w:p>
    <w:p w14:paraId="58CEB872">
      <w:pPr>
        <w:adjustRightInd w:val="0"/>
        <w:snapToGrid w:val="0"/>
        <w:spacing w:line="360" w:lineRule="auto"/>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p>
    <w:p w14:paraId="0D86D2A5">
      <w:pPr>
        <w:adjustRightInd w:val="0"/>
        <w:snapToGrid w:val="0"/>
        <w:spacing w:line="360" w:lineRule="auto"/>
        <w:outlineLvl w:val="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br w:type="page"/>
      </w:r>
      <w:bookmarkStart w:id="58" w:name="_Toc912346385"/>
      <w:r>
        <w:rPr>
          <w:rFonts w:hint="default" w:ascii="Times New Roman Regular" w:hAnsi="Times New Roman Regular" w:eastAsia="宋体" w:cs="Times New Roman Regular"/>
          <w:b/>
          <w:bCs/>
          <w:color w:val="000000" w:themeColor="text1"/>
          <w:highlight w:val="none"/>
          <w14:textFill>
            <w14:solidFill>
              <w14:schemeClr w14:val="tx1"/>
            </w14:solidFill>
          </w14:textFill>
        </w:rPr>
        <w:t>附表1：资格性审查表</w:t>
      </w:r>
      <w:bookmarkEnd w:id="58"/>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4195"/>
        <w:gridCol w:w="2577"/>
        <w:gridCol w:w="1113"/>
      </w:tblGrid>
      <w:tr w14:paraId="495BE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3" w:type="pct"/>
            <w:vAlign w:val="center"/>
          </w:tcPr>
          <w:p w14:paraId="084BC6A2">
            <w:pPr>
              <w:snapToGrid w:val="0"/>
              <w:spacing w:line="360" w:lineRule="auto"/>
              <w:jc w:val="center"/>
              <w:rPr>
                <w:rFonts w:hint="default" w:ascii="Times New Roman Regular" w:hAnsi="Times New Roman Regular" w:eastAsia="宋体" w:cs="Times New Roman Regular"/>
                <w:b/>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4"/>
                <w:highlight w:val="none"/>
                <w14:textFill>
                  <w14:solidFill>
                    <w14:schemeClr w14:val="tx1"/>
                  </w14:solidFill>
                </w14:textFill>
              </w:rPr>
              <w:t>序号</w:t>
            </w:r>
          </w:p>
        </w:tc>
        <w:tc>
          <w:tcPr>
            <w:tcW w:w="2461" w:type="pct"/>
            <w:vAlign w:val="center"/>
          </w:tcPr>
          <w:p w14:paraId="5E0FDB4A">
            <w:pPr>
              <w:snapToGrid w:val="0"/>
              <w:spacing w:line="360" w:lineRule="auto"/>
              <w:jc w:val="center"/>
              <w:rPr>
                <w:rFonts w:hint="default" w:ascii="Times New Roman Regular" w:hAnsi="Times New Roman Regular" w:eastAsia="宋体" w:cs="Times New Roman Regular"/>
                <w:b/>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4"/>
                <w:highlight w:val="none"/>
                <w14:textFill>
                  <w14:solidFill>
                    <w14:schemeClr w14:val="tx1"/>
                  </w14:solidFill>
                </w14:textFill>
              </w:rPr>
              <w:t>评审内容</w:t>
            </w:r>
          </w:p>
        </w:tc>
        <w:tc>
          <w:tcPr>
            <w:tcW w:w="1511" w:type="pct"/>
            <w:vAlign w:val="center"/>
          </w:tcPr>
          <w:p w14:paraId="215C86B1">
            <w:pPr>
              <w:snapToGrid w:val="0"/>
              <w:spacing w:line="360" w:lineRule="auto"/>
              <w:jc w:val="center"/>
              <w:rPr>
                <w:rFonts w:hint="default" w:ascii="Times New Roman Regular" w:hAnsi="Times New Roman Regular" w:eastAsia="宋体" w:cs="Times New Roman Regular"/>
                <w:b/>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4"/>
                <w:highlight w:val="none"/>
                <w14:textFill>
                  <w14:solidFill>
                    <w14:schemeClr w14:val="tx1"/>
                  </w14:solidFill>
                </w14:textFill>
              </w:rPr>
              <w:t>评审合格标准</w:t>
            </w:r>
          </w:p>
        </w:tc>
        <w:tc>
          <w:tcPr>
            <w:tcW w:w="653" w:type="pct"/>
            <w:vAlign w:val="center"/>
          </w:tcPr>
          <w:p w14:paraId="75A801D9">
            <w:pPr>
              <w:snapToGrid w:val="0"/>
              <w:spacing w:line="360" w:lineRule="auto"/>
              <w:jc w:val="center"/>
              <w:rPr>
                <w:rFonts w:hint="default" w:ascii="Times New Roman Regular" w:hAnsi="Times New Roman Regular" w:eastAsia="宋体" w:cs="Times New Roman Regular"/>
                <w:b/>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4"/>
                <w:highlight w:val="none"/>
                <w14:textFill>
                  <w14:solidFill>
                    <w14:schemeClr w14:val="tx1"/>
                  </w14:solidFill>
                </w14:textFill>
              </w:rPr>
              <w:t>评审结论（√/×）</w:t>
            </w:r>
          </w:p>
        </w:tc>
      </w:tr>
      <w:tr w14:paraId="71643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373" w:type="pct"/>
            <w:vAlign w:val="center"/>
          </w:tcPr>
          <w:p w14:paraId="64F86538">
            <w:pPr>
              <w:snapToGrid w:val="0"/>
              <w:spacing w:line="360" w:lineRule="auto"/>
              <w:jc w:val="center"/>
              <w:rPr>
                <w:rFonts w:hint="default" w:ascii="Times New Roman Regular" w:hAnsi="Times New Roman Regular" w:eastAsia="宋体" w:cs="Times New Roman Regular"/>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4"/>
                <w:highlight w:val="none"/>
                <w14:textFill>
                  <w14:solidFill>
                    <w14:schemeClr w14:val="tx1"/>
                  </w14:solidFill>
                </w14:textFill>
              </w:rPr>
              <w:t>1</w:t>
            </w:r>
          </w:p>
        </w:tc>
        <w:tc>
          <w:tcPr>
            <w:tcW w:w="2461" w:type="pct"/>
            <w:vAlign w:val="center"/>
          </w:tcPr>
          <w:p w14:paraId="285000CB">
            <w:pPr>
              <w:spacing w:line="360" w:lineRule="auto"/>
              <w:jc w:val="left"/>
              <w:rPr>
                <w:rFonts w:hint="default" w:ascii="Times New Roman Regular" w:hAnsi="Times New Roman Regular" w:eastAsia="宋体" w:cs="Times New Roman Regular"/>
                <w:color w:val="000000" w:themeColor="text1"/>
                <w:szCs w:val="24"/>
                <w:highlight w:val="none"/>
                <w:lang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法人或者其他组织的营业执照等证明文件，自然人的身份证明</w:t>
            </w:r>
            <w:r>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t>。</w:t>
            </w:r>
          </w:p>
        </w:tc>
        <w:tc>
          <w:tcPr>
            <w:tcW w:w="1511" w:type="pct"/>
            <w:vAlign w:val="center"/>
          </w:tcPr>
          <w:p w14:paraId="203B315B">
            <w:pPr>
              <w:snapToGrid w:val="0"/>
              <w:spacing w:line="360" w:lineRule="auto"/>
              <w:jc w:val="left"/>
              <w:rPr>
                <w:rFonts w:hint="default" w:ascii="Times New Roman Regular" w:hAnsi="Times New Roman Regular" w:eastAsia="宋体" w:cs="Times New Roman Regular"/>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须提供法人或者其他组织的营业执照等证明文件，自然人的身份证明</w:t>
            </w:r>
          </w:p>
        </w:tc>
        <w:tc>
          <w:tcPr>
            <w:tcW w:w="653" w:type="pct"/>
            <w:vAlign w:val="center"/>
          </w:tcPr>
          <w:p w14:paraId="19E14016">
            <w:pPr>
              <w:snapToGrid w:val="0"/>
              <w:spacing w:line="360" w:lineRule="auto"/>
              <w:jc w:val="center"/>
              <w:rPr>
                <w:rFonts w:hint="default" w:ascii="Times New Roman Regular" w:hAnsi="Times New Roman Regular" w:eastAsia="宋体" w:cs="Times New Roman Regular"/>
                <w:b/>
                <w:color w:val="000000" w:themeColor="text1"/>
                <w:szCs w:val="24"/>
                <w:highlight w:val="none"/>
                <w14:textFill>
                  <w14:solidFill>
                    <w14:schemeClr w14:val="tx1"/>
                  </w14:solidFill>
                </w14:textFill>
              </w:rPr>
            </w:pPr>
          </w:p>
        </w:tc>
      </w:tr>
      <w:tr w14:paraId="76566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373" w:type="pct"/>
            <w:vAlign w:val="center"/>
          </w:tcPr>
          <w:p w14:paraId="2DD830C9">
            <w:pPr>
              <w:snapToGrid w:val="0"/>
              <w:spacing w:line="360" w:lineRule="auto"/>
              <w:jc w:val="center"/>
              <w:rPr>
                <w:rFonts w:hint="default" w:ascii="Times New Roman Regular" w:hAnsi="Times New Roman Regular" w:eastAsia="宋体" w:cs="Times New Roman Regular"/>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4"/>
                <w:highlight w:val="none"/>
                <w14:textFill>
                  <w14:solidFill>
                    <w14:schemeClr w14:val="tx1"/>
                  </w14:solidFill>
                </w14:textFill>
              </w:rPr>
              <w:t>2</w:t>
            </w:r>
          </w:p>
        </w:tc>
        <w:tc>
          <w:tcPr>
            <w:tcW w:w="2461" w:type="pct"/>
            <w:vAlign w:val="center"/>
          </w:tcPr>
          <w:p w14:paraId="59D452AE">
            <w:pPr>
              <w:spacing w:line="360" w:lineRule="auto"/>
              <w:rPr>
                <w:rFonts w:hint="default" w:ascii="Times New Roman Regular" w:hAnsi="Times New Roman Regular" w:eastAsia="宋体" w:cs="Times New Roman Regular"/>
                <w:color w:val="000000" w:themeColor="text1"/>
                <w:szCs w:val="24"/>
                <w:highlight w:val="none"/>
                <w:lang w:eastAsia="zh-CN"/>
                <w14:textFill>
                  <w14:solidFill>
                    <w14:schemeClr w14:val="tx1"/>
                  </w14:solidFill>
                </w14:textFill>
              </w:rPr>
            </w:pPr>
            <w:r>
              <w:rPr>
                <w:rFonts w:hint="default" w:ascii="Times New Roman Regular" w:hAnsi="Times New Roman Regular" w:eastAsia="宋体" w:cs="Times New Roman Regular"/>
                <w:color w:val="000000" w:themeColor="text1"/>
                <w:szCs w:val="24"/>
                <w:highlight w:val="none"/>
                <w14:textFill>
                  <w14:solidFill>
                    <w14:schemeClr w14:val="tx1"/>
                  </w14:solidFill>
                </w14:textFill>
              </w:rPr>
              <w:t>具有良好的商业信誉和健全的财务会计制度</w:t>
            </w:r>
            <w:r>
              <w:rPr>
                <w:rFonts w:hint="eastAsia" w:ascii="Times New Roman Regular" w:hAnsi="Times New Roman Regular" w:cs="Times New Roman Regular"/>
                <w:color w:val="000000" w:themeColor="text1"/>
                <w:szCs w:val="24"/>
                <w:highlight w:val="none"/>
                <w:lang w:eastAsia="zh-CN"/>
                <w14:textFill>
                  <w14:solidFill>
                    <w14:schemeClr w14:val="tx1"/>
                  </w14:solidFill>
                </w14:textFill>
              </w:rPr>
              <w:t>。</w:t>
            </w:r>
          </w:p>
        </w:tc>
        <w:tc>
          <w:tcPr>
            <w:tcW w:w="1511" w:type="pct"/>
            <w:vAlign w:val="center"/>
          </w:tcPr>
          <w:p w14:paraId="4174B7E0">
            <w:pPr>
              <w:snapToGrid w:val="0"/>
              <w:spacing w:line="360" w:lineRule="auto"/>
              <w:jc w:val="left"/>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须提供承诺书；或提供2024或2025年度的供应商经审计的财务报告复印件（加盖供应商公章，至少包含资产负债表、现金流量表、利润表），或在投标截止时间前三个月内开具的资信证明复印件</w:t>
            </w:r>
          </w:p>
        </w:tc>
        <w:tc>
          <w:tcPr>
            <w:tcW w:w="653" w:type="pct"/>
            <w:vAlign w:val="center"/>
          </w:tcPr>
          <w:p w14:paraId="35BEDDF9">
            <w:pPr>
              <w:snapToGrid w:val="0"/>
              <w:spacing w:line="360" w:lineRule="auto"/>
              <w:jc w:val="center"/>
              <w:rPr>
                <w:rFonts w:hint="default" w:ascii="Times New Roman Regular" w:hAnsi="Times New Roman Regular" w:eastAsia="宋体" w:cs="Times New Roman Regular"/>
                <w:b/>
                <w:color w:val="000000" w:themeColor="text1"/>
                <w:szCs w:val="24"/>
                <w:highlight w:val="none"/>
                <w14:textFill>
                  <w14:solidFill>
                    <w14:schemeClr w14:val="tx1"/>
                  </w14:solidFill>
                </w14:textFill>
              </w:rPr>
            </w:pPr>
          </w:p>
        </w:tc>
      </w:tr>
      <w:tr w14:paraId="369D8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3" w:type="pct"/>
            <w:vAlign w:val="center"/>
          </w:tcPr>
          <w:p w14:paraId="6C756915">
            <w:pPr>
              <w:snapToGrid w:val="0"/>
              <w:spacing w:line="360" w:lineRule="auto"/>
              <w:jc w:val="cente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t>3</w:t>
            </w:r>
          </w:p>
        </w:tc>
        <w:tc>
          <w:tcPr>
            <w:tcW w:w="2461" w:type="pct"/>
            <w:vAlign w:val="center"/>
          </w:tcPr>
          <w:p w14:paraId="5B98DDE1">
            <w:pPr>
              <w:snapToGrid w:val="0"/>
              <w:spacing w:line="360" w:lineRule="auto"/>
              <w:jc w:val="left"/>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具备履行合同所必需的设备和专业技术能力的证明材料</w:t>
            </w:r>
            <w:r>
              <w:rPr>
                <w:rFonts w:hint="eastAsia" w:ascii="Times New Roman Regular" w:hAnsi="Times New Roman Regular" w:cs="Times New Roman Regular"/>
                <w:color w:val="000000" w:themeColor="text1"/>
                <w:szCs w:val="21"/>
                <w:highlight w:val="none"/>
                <w:lang w:eastAsia="zh-CN"/>
                <w14:textFill>
                  <w14:solidFill>
                    <w14:schemeClr w14:val="tx1"/>
                  </w14:solidFill>
                </w14:textFill>
              </w:rPr>
              <w:t>。</w:t>
            </w:r>
          </w:p>
        </w:tc>
        <w:tc>
          <w:tcPr>
            <w:tcW w:w="1511" w:type="pct"/>
            <w:vAlign w:val="center"/>
          </w:tcPr>
          <w:p w14:paraId="1284E1D9">
            <w:pPr>
              <w:snapToGrid w:val="0"/>
              <w:spacing w:line="360" w:lineRule="auto"/>
              <w:jc w:val="left"/>
              <w:rPr>
                <w:rFonts w:hint="default" w:ascii="Times New Roman Regular" w:hAnsi="Times New Roman Regular" w:eastAsia="宋体" w:cs="Times New Roman Regular"/>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须提供承诺书</w:t>
            </w:r>
          </w:p>
        </w:tc>
        <w:tc>
          <w:tcPr>
            <w:tcW w:w="653" w:type="pct"/>
            <w:vAlign w:val="center"/>
          </w:tcPr>
          <w:p w14:paraId="0ED904E5">
            <w:pPr>
              <w:snapToGrid w:val="0"/>
              <w:spacing w:line="360" w:lineRule="auto"/>
              <w:jc w:val="center"/>
              <w:rPr>
                <w:rFonts w:hint="default" w:ascii="Times New Roman Regular" w:hAnsi="Times New Roman Regular" w:eastAsia="宋体" w:cs="Times New Roman Regular"/>
                <w:b/>
                <w:color w:val="000000" w:themeColor="text1"/>
                <w:szCs w:val="24"/>
                <w:highlight w:val="none"/>
                <w14:textFill>
                  <w14:solidFill>
                    <w14:schemeClr w14:val="tx1"/>
                  </w14:solidFill>
                </w14:textFill>
              </w:rPr>
            </w:pPr>
          </w:p>
        </w:tc>
      </w:tr>
      <w:tr w14:paraId="4D3A4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3" w:type="pct"/>
            <w:vAlign w:val="center"/>
          </w:tcPr>
          <w:p w14:paraId="556F8428">
            <w:pPr>
              <w:snapToGrid w:val="0"/>
              <w:spacing w:line="360" w:lineRule="auto"/>
              <w:jc w:val="cente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t>4</w:t>
            </w:r>
          </w:p>
        </w:tc>
        <w:tc>
          <w:tcPr>
            <w:tcW w:w="2461" w:type="pct"/>
            <w:vAlign w:val="center"/>
          </w:tcPr>
          <w:p w14:paraId="3AFEFFE3">
            <w:pPr>
              <w:spacing w:line="360" w:lineRule="auto"/>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参加采购活动前3年内在经营活动中没有重大违法记录的书面声明</w:t>
            </w:r>
            <w:r>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t>。</w:t>
            </w:r>
          </w:p>
          <w:p w14:paraId="31C7F46C">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注1：重大违法记录是指供应商因违法经营受到刑事处罚或者责令停产停业、吊销许可证或者执照、较大数额罚款（200万元以上）等行政处罚；</w:t>
            </w:r>
          </w:p>
          <w:p w14:paraId="026E18E0">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注2：投标人在参加采购活动前3年内因违法经营被禁止在一定期限内参加政府采购活动，期限届满的，可以参加采购活动。</w:t>
            </w:r>
          </w:p>
          <w:p w14:paraId="1EFE4200">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必须为未被“信用中国”网站（www.creditchina.gov.cn)</w:t>
            </w:r>
            <w:r>
              <w:rPr>
                <w:rFonts w:hint="eastAsia" w:ascii="Times New Roman Regular" w:hAnsi="Times New Roman Regular" w:eastAsia="宋体" w:cs="Times New Roman Regular"/>
                <w:color w:val="000000" w:themeColor="text1"/>
                <w:sz w:val="21"/>
                <w:szCs w:val="21"/>
                <w:highlight w:val="none"/>
                <w:lang w:val="zh-CN"/>
                <w14:textFill>
                  <w14:solidFill>
                    <w14:schemeClr w14:val="tx1"/>
                  </w14:solidFill>
                </w14:textFill>
              </w:rPr>
              <w:t>“</w:t>
            </w:r>
            <w:r>
              <w:rPr>
                <w:rFonts w:hint="default" w:ascii="Times New Roman Regular" w:hAnsi="Times New Roman Regular" w:eastAsia="宋体" w:cs="Times New Roman Regular"/>
                <w:color w:val="000000" w:themeColor="text1"/>
                <w:sz w:val="21"/>
                <w:szCs w:val="21"/>
                <w:highlight w:val="none"/>
                <w:lang w:val="zh-CN"/>
                <w14:textFill>
                  <w14:solidFill>
                    <w14:schemeClr w14:val="tx1"/>
                  </w14:solidFill>
                </w14:textFill>
              </w:rPr>
              <w:t>中国政府采购网</w:t>
            </w:r>
            <w:r>
              <w:rPr>
                <w:rFonts w:hint="eastAsia" w:ascii="Times New Roman Regular" w:hAnsi="Times New Roman Regular" w:eastAsia="宋体" w:cs="Times New Roman Regular"/>
                <w:color w:val="000000" w:themeColor="text1"/>
                <w:sz w:val="21"/>
                <w:szCs w:val="21"/>
                <w:highlight w:val="none"/>
                <w:lang w:val="zh-CN"/>
                <w14:textFill>
                  <w14:solidFill>
                    <w14:schemeClr w14:val="tx1"/>
                  </w14:solidFill>
                </w14:textFill>
              </w:rPr>
              <w:t>”</w:t>
            </w:r>
            <w:r>
              <w:rPr>
                <w:rFonts w:hint="eastAsia" w:ascii="Times New Roman Regular" w:hAnsi="Times New Roman Regular" w:eastAsia="宋体" w:cs="Times New Roman Regular"/>
                <w:color w:val="000000" w:themeColor="text1"/>
                <w:sz w:val="21"/>
                <w:szCs w:val="21"/>
                <w:highlight w:val="none"/>
                <w:lang w:val="en-US" w:eastAsia="zh-CN"/>
                <w14:textFill>
                  <w14:solidFill>
                    <w14:schemeClr w14:val="tx1"/>
                  </w14:solidFill>
                </w14:textFill>
              </w:rPr>
              <w:t>网站</w:t>
            </w:r>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(www.ccgp.gov.cn)</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列入失信被执行人、重大税收违法失信主体和政府采购严重违法失信行为记录名单的供应商，否则其响应将被拒绝。</w:t>
            </w:r>
          </w:p>
          <w:p w14:paraId="69662BA4">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招标人将在递交投标文件截止时间后查询投标人的不良经营行为，投标人存在不良经营行为的，其投标将被作为无效投标被拒绝。</w:t>
            </w:r>
          </w:p>
          <w:p w14:paraId="00A4977A">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查询及记录方式：招标人或招标代理机构经办人将查询网页打印并存档备查。投标人不良信用记录以招标人或招标代理机构查询结果为准，招标人或招标代理机构查询之后，网站信息发生的任何变更均不再作为评审依据，投标人自行提供的与网站信息不一致的其他证明材料亦不作为评审依据。</w:t>
            </w:r>
          </w:p>
        </w:tc>
        <w:tc>
          <w:tcPr>
            <w:tcW w:w="1511" w:type="pct"/>
            <w:vAlign w:val="center"/>
          </w:tcPr>
          <w:p w14:paraId="263659F2">
            <w:pPr>
              <w:snapToGrid w:val="0"/>
              <w:spacing w:line="360" w:lineRule="auto"/>
              <w:jc w:val="left"/>
              <w:rPr>
                <w:rFonts w:hint="default" w:ascii="Times New Roman Regular" w:hAnsi="Times New Roman Regular" w:eastAsia="宋体" w:cs="Times New Roman Regular"/>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须提供承诺书</w:t>
            </w:r>
          </w:p>
        </w:tc>
        <w:tc>
          <w:tcPr>
            <w:tcW w:w="653" w:type="pct"/>
            <w:vAlign w:val="center"/>
          </w:tcPr>
          <w:p w14:paraId="0E256FAF">
            <w:pPr>
              <w:snapToGrid w:val="0"/>
              <w:spacing w:line="360" w:lineRule="auto"/>
              <w:jc w:val="center"/>
              <w:rPr>
                <w:rFonts w:hint="default" w:ascii="Times New Roman Regular" w:hAnsi="Times New Roman Regular" w:eastAsia="宋体" w:cs="Times New Roman Regular"/>
                <w:color w:val="000000" w:themeColor="text1"/>
                <w:szCs w:val="24"/>
                <w:highlight w:val="none"/>
                <w14:textFill>
                  <w14:solidFill>
                    <w14:schemeClr w14:val="tx1"/>
                  </w14:solidFill>
                </w14:textFill>
              </w:rPr>
            </w:pPr>
          </w:p>
        </w:tc>
      </w:tr>
      <w:tr w14:paraId="2EB00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3" w:type="pct"/>
            <w:vAlign w:val="center"/>
          </w:tcPr>
          <w:p w14:paraId="50AC2DE4">
            <w:pPr>
              <w:snapToGrid w:val="0"/>
              <w:spacing w:line="360" w:lineRule="auto"/>
              <w:jc w:val="cente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t>5</w:t>
            </w:r>
          </w:p>
        </w:tc>
        <w:tc>
          <w:tcPr>
            <w:tcW w:w="2461" w:type="pct"/>
            <w:vAlign w:val="center"/>
          </w:tcPr>
          <w:p w14:paraId="7869690E">
            <w:pPr>
              <w:spacing w:line="360" w:lineRule="auto"/>
              <w:jc w:val="left"/>
              <w:rPr>
                <w:rFonts w:hint="default" w:ascii="Times New Roman Regular" w:hAnsi="Times New Roman Regular" w:eastAsia="宋体" w:cs="Times New Roman Regular"/>
                <w:color w:val="000000" w:themeColor="text1"/>
                <w:szCs w:val="24"/>
                <w:highlight w:val="none"/>
                <w:lang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具备法律、行政法规规定的其他条件的证明材料。</w:t>
            </w:r>
          </w:p>
        </w:tc>
        <w:tc>
          <w:tcPr>
            <w:tcW w:w="1511" w:type="pct"/>
            <w:vAlign w:val="center"/>
          </w:tcPr>
          <w:p w14:paraId="7EF02722">
            <w:pPr>
              <w:snapToGrid w:val="0"/>
              <w:spacing w:line="360" w:lineRule="auto"/>
              <w:jc w:val="left"/>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须提供承诺书</w:t>
            </w:r>
          </w:p>
        </w:tc>
        <w:tc>
          <w:tcPr>
            <w:tcW w:w="653" w:type="pct"/>
            <w:vAlign w:val="center"/>
          </w:tcPr>
          <w:p w14:paraId="5E1A36AA">
            <w:pPr>
              <w:snapToGrid w:val="0"/>
              <w:spacing w:line="360" w:lineRule="auto"/>
              <w:jc w:val="center"/>
              <w:rPr>
                <w:rFonts w:hint="default" w:ascii="Times New Roman Regular" w:hAnsi="Times New Roman Regular" w:eastAsia="宋体" w:cs="Times New Roman Regular"/>
                <w:color w:val="000000" w:themeColor="text1"/>
                <w:szCs w:val="24"/>
                <w:highlight w:val="none"/>
                <w14:textFill>
                  <w14:solidFill>
                    <w14:schemeClr w14:val="tx1"/>
                  </w14:solidFill>
                </w14:textFill>
              </w:rPr>
            </w:pPr>
          </w:p>
        </w:tc>
      </w:tr>
      <w:tr w14:paraId="0A822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3" w:type="pct"/>
            <w:vAlign w:val="center"/>
          </w:tcPr>
          <w:p w14:paraId="31F9280B">
            <w:pPr>
              <w:snapToGrid w:val="0"/>
              <w:spacing w:line="360" w:lineRule="auto"/>
              <w:jc w:val="cente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t>6</w:t>
            </w:r>
          </w:p>
        </w:tc>
        <w:tc>
          <w:tcPr>
            <w:tcW w:w="2461" w:type="pct"/>
            <w:vAlign w:val="center"/>
          </w:tcPr>
          <w:p w14:paraId="3E820464">
            <w:pPr>
              <w:pStyle w:val="9"/>
              <w:spacing w:after="0" w:line="360" w:lineRule="auto"/>
              <w:rPr>
                <w:rFonts w:hint="default" w:ascii="Times New Roman Regular" w:hAnsi="Times New Roman Regular" w:eastAsia="宋体" w:cs="Times New Roman Regular"/>
                <w:color w:val="000000" w:themeColor="text1"/>
                <w:szCs w:val="24"/>
                <w:highlight w:val="none"/>
                <w:lang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投标人可开具正式增值税专用发票</w:t>
            </w:r>
            <w:r>
              <w:rPr>
                <w:rFonts w:hint="eastAsia" w:ascii="Times New Roman Regular" w:hAnsi="Times New Roman Regular" w:cs="Times New Roman Regular"/>
                <w:color w:val="000000" w:themeColor="text1"/>
                <w:szCs w:val="21"/>
                <w:highlight w:val="none"/>
                <w:lang w:eastAsia="zh-CN"/>
                <w14:textFill>
                  <w14:solidFill>
                    <w14:schemeClr w14:val="tx1"/>
                  </w14:solidFill>
                </w14:textFill>
              </w:rPr>
              <w:t>。</w:t>
            </w:r>
          </w:p>
        </w:tc>
        <w:tc>
          <w:tcPr>
            <w:tcW w:w="1511" w:type="pct"/>
            <w:vAlign w:val="center"/>
          </w:tcPr>
          <w:p w14:paraId="1CEF345E">
            <w:pPr>
              <w:snapToGrid w:val="0"/>
              <w:spacing w:line="360" w:lineRule="auto"/>
              <w:jc w:val="left"/>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须提供承诺书</w:t>
            </w:r>
          </w:p>
        </w:tc>
        <w:tc>
          <w:tcPr>
            <w:tcW w:w="653" w:type="pct"/>
            <w:vAlign w:val="center"/>
          </w:tcPr>
          <w:p w14:paraId="1FB8AAEE">
            <w:pPr>
              <w:snapToGrid w:val="0"/>
              <w:spacing w:line="360" w:lineRule="auto"/>
              <w:jc w:val="center"/>
              <w:rPr>
                <w:rFonts w:hint="default" w:ascii="Times New Roman Regular" w:hAnsi="Times New Roman Regular" w:eastAsia="宋体" w:cs="Times New Roman Regular"/>
                <w:color w:val="000000" w:themeColor="text1"/>
                <w:szCs w:val="24"/>
                <w:highlight w:val="none"/>
                <w14:textFill>
                  <w14:solidFill>
                    <w14:schemeClr w14:val="tx1"/>
                  </w14:solidFill>
                </w14:textFill>
              </w:rPr>
            </w:pPr>
          </w:p>
        </w:tc>
      </w:tr>
      <w:tr w14:paraId="3722F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3" w:type="pct"/>
            <w:vAlign w:val="center"/>
          </w:tcPr>
          <w:p w14:paraId="3E7D1B6F">
            <w:pPr>
              <w:snapToGrid w:val="0"/>
              <w:spacing w:line="360" w:lineRule="auto"/>
              <w:jc w:val="cente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t>7</w:t>
            </w:r>
          </w:p>
        </w:tc>
        <w:tc>
          <w:tcPr>
            <w:tcW w:w="2461" w:type="pct"/>
            <w:vAlign w:val="center"/>
          </w:tcPr>
          <w:p w14:paraId="6092586D">
            <w:pPr>
              <w:spacing w:line="360" w:lineRule="auto"/>
              <w:rPr>
                <w:rFonts w:hint="default" w:ascii="Times New Roman Regular" w:hAnsi="Times New Roman Regular" w:eastAsia="宋体" w:cs="Times New Roman Regular"/>
                <w:color w:val="000000" w:themeColor="text1"/>
                <w:szCs w:val="24"/>
                <w:highlight w:val="none"/>
                <w:lang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须在法律和财务上独立、合法运作并独立于招标人和代理机构，不得直接或间接地与招标人为本项目所委托的其他机构有任何关联。投标人、投标人主要股东、投标人高管或主要负责人不得与招标人有任何关联关系或利害关系</w:t>
            </w:r>
            <w:r>
              <w:rPr>
                <w:rFonts w:hint="eastAsia" w:ascii="Times New Roman Regular" w:hAnsi="Times New Roman Regular" w:cs="Times New Roman Regular"/>
                <w:color w:val="000000" w:themeColor="text1"/>
                <w:szCs w:val="21"/>
                <w:highlight w:val="none"/>
                <w:lang w:eastAsia="zh-CN"/>
                <w14:textFill>
                  <w14:solidFill>
                    <w14:schemeClr w14:val="tx1"/>
                  </w14:solidFill>
                </w14:textFill>
              </w:rPr>
              <w:t>。</w:t>
            </w:r>
          </w:p>
        </w:tc>
        <w:tc>
          <w:tcPr>
            <w:tcW w:w="1511" w:type="pct"/>
            <w:vAlign w:val="center"/>
          </w:tcPr>
          <w:p w14:paraId="69572509">
            <w:pPr>
              <w:spacing w:line="360" w:lineRule="auto"/>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须提供承诺书</w:t>
            </w:r>
          </w:p>
        </w:tc>
        <w:tc>
          <w:tcPr>
            <w:tcW w:w="653" w:type="pct"/>
            <w:vAlign w:val="center"/>
          </w:tcPr>
          <w:p w14:paraId="4F34C97F">
            <w:pPr>
              <w:snapToGrid w:val="0"/>
              <w:spacing w:line="360" w:lineRule="auto"/>
              <w:jc w:val="center"/>
              <w:rPr>
                <w:rFonts w:hint="default" w:ascii="Times New Roman Regular" w:hAnsi="Times New Roman Regular" w:eastAsia="宋体" w:cs="Times New Roman Regular"/>
                <w:color w:val="000000" w:themeColor="text1"/>
                <w:szCs w:val="24"/>
                <w:highlight w:val="none"/>
                <w14:textFill>
                  <w14:solidFill>
                    <w14:schemeClr w14:val="tx1"/>
                  </w14:solidFill>
                </w14:textFill>
              </w:rPr>
            </w:pPr>
          </w:p>
        </w:tc>
      </w:tr>
      <w:tr w14:paraId="294C7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373" w:type="pct"/>
            <w:vAlign w:val="center"/>
          </w:tcPr>
          <w:p w14:paraId="53767A4C">
            <w:pPr>
              <w:snapToGrid w:val="0"/>
              <w:spacing w:line="360" w:lineRule="auto"/>
              <w:jc w:val="cente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t>8</w:t>
            </w:r>
          </w:p>
        </w:tc>
        <w:tc>
          <w:tcPr>
            <w:tcW w:w="2461" w:type="pct"/>
            <w:vAlign w:val="center"/>
          </w:tcPr>
          <w:p w14:paraId="033EA555">
            <w:pPr>
              <w:spacing w:line="360" w:lineRule="auto"/>
              <w:jc w:val="left"/>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单位负责人为同一人或者存在控股、管理关系的不同单位，不得参加同一标段投标或者未划分标段的同一采购项目投标</w:t>
            </w:r>
            <w:r>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t>。</w:t>
            </w:r>
          </w:p>
        </w:tc>
        <w:tc>
          <w:tcPr>
            <w:tcW w:w="1511" w:type="pct"/>
            <w:vAlign w:val="center"/>
          </w:tcPr>
          <w:p w14:paraId="15595AB0">
            <w:pPr>
              <w:spacing w:line="360" w:lineRule="auto"/>
              <w:jc w:val="left"/>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须提供承诺书</w:t>
            </w:r>
          </w:p>
        </w:tc>
        <w:tc>
          <w:tcPr>
            <w:tcW w:w="653" w:type="pct"/>
            <w:vAlign w:val="center"/>
          </w:tcPr>
          <w:p w14:paraId="1FF8DD3F">
            <w:pPr>
              <w:snapToGrid w:val="0"/>
              <w:spacing w:line="360" w:lineRule="auto"/>
              <w:jc w:val="center"/>
              <w:rPr>
                <w:rFonts w:hint="default" w:ascii="Times New Roman Regular" w:hAnsi="Times New Roman Regular" w:eastAsia="宋体" w:cs="Times New Roman Regular"/>
                <w:color w:val="000000" w:themeColor="text1"/>
                <w:szCs w:val="24"/>
                <w:highlight w:val="none"/>
                <w14:textFill>
                  <w14:solidFill>
                    <w14:schemeClr w14:val="tx1"/>
                  </w14:solidFill>
                </w14:textFill>
              </w:rPr>
            </w:pPr>
          </w:p>
        </w:tc>
      </w:tr>
      <w:tr w14:paraId="1845C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373" w:type="pct"/>
            <w:vAlign w:val="center"/>
          </w:tcPr>
          <w:p w14:paraId="74E6D0A0">
            <w:pPr>
              <w:snapToGrid w:val="0"/>
              <w:spacing w:line="360" w:lineRule="auto"/>
              <w:jc w:val="cente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t>9</w:t>
            </w:r>
          </w:p>
        </w:tc>
        <w:tc>
          <w:tcPr>
            <w:tcW w:w="2461" w:type="pct"/>
            <w:vAlign w:val="center"/>
          </w:tcPr>
          <w:p w14:paraId="55DE8395">
            <w:pPr>
              <w:spacing w:line="360" w:lineRule="auto"/>
              <w:jc w:val="left"/>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须保证，招标人在其本国使用其提供的货物或服务时，不存在任何已知的不合法的情形，也不存在任何已知的与第三方专利权、著作权、商标权或工业设计权相关的任何争议。如果有任何因招标人使用其提供的货物或服务而提起的侵权指控，投标人或原厂商依法承担全部责任</w:t>
            </w:r>
            <w:r>
              <w:rPr>
                <w:rFonts w:hint="eastAsia" w:ascii="Times New Roman Regular" w:hAnsi="Times New Roman Regular" w:cs="Times New Roman Regular"/>
                <w:color w:val="000000" w:themeColor="text1"/>
                <w:szCs w:val="21"/>
                <w:highlight w:val="none"/>
                <w:lang w:eastAsia="zh-CN"/>
                <w14:textFill>
                  <w14:solidFill>
                    <w14:schemeClr w14:val="tx1"/>
                  </w14:solidFill>
                </w14:textFill>
              </w:rPr>
              <w:t>。</w:t>
            </w:r>
          </w:p>
        </w:tc>
        <w:tc>
          <w:tcPr>
            <w:tcW w:w="1511" w:type="pct"/>
            <w:vAlign w:val="center"/>
          </w:tcPr>
          <w:p w14:paraId="546AD5E7">
            <w:pPr>
              <w:spacing w:line="360" w:lineRule="auto"/>
              <w:jc w:val="left"/>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须提供承诺书</w:t>
            </w:r>
          </w:p>
        </w:tc>
        <w:tc>
          <w:tcPr>
            <w:tcW w:w="653" w:type="pct"/>
            <w:vAlign w:val="center"/>
          </w:tcPr>
          <w:p w14:paraId="219CD28A">
            <w:pPr>
              <w:snapToGrid w:val="0"/>
              <w:spacing w:line="360" w:lineRule="auto"/>
              <w:jc w:val="center"/>
              <w:rPr>
                <w:rFonts w:hint="default" w:ascii="Times New Roman Regular" w:hAnsi="Times New Roman Regular" w:eastAsia="宋体" w:cs="Times New Roman Regular"/>
                <w:color w:val="000000" w:themeColor="text1"/>
                <w:szCs w:val="24"/>
                <w:highlight w:val="none"/>
                <w14:textFill>
                  <w14:solidFill>
                    <w14:schemeClr w14:val="tx1"/>
                  </w14:solidFill>
                </w14:textFill>
              </w:rPr>
            </w:pPr>
          </w:p>
        </w:tc>
      </w:tr>
      <w:tr w14:paraId="31518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373" w:type="pct"/>
            <w:vAlign w:val="center"/>
          </w:tcPr>
          <w:p w14:paraId="47EBA245">
            <w:pPr>
              <w:snapToGrid w:val="0"/>
              <w:spacing w:line="360" w:lineRule="auto"/>
              <w:jc w:val="cente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t>10</w:t>
            </w:r>
          </w:p>
        </w:tc>
        <w:tc>
          <w:tcPr>
            <w:tcW w:w="2461" w:type="pct"/>
            <w:vAlign w:val="center"/>
          </w:tcPr>
          <w:p w14:paraId="35BD068F">
            <w:pPr>
              <w:spacing w:line="360" w:lineRule="auto"/>
              <w:jc w:val="left"/>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本项目不接受将采购内容以任何方式进行转包/分包</w:t>
            </w:r>
            <w:r>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t>。</w:t>
            </w:r>
          </w:p>
        </w:tc>
        <w:tc>
          <w:tcPr>
            <w:tcW w:w="1511" w:type="pct"/>
            <w:vAlign w:val="center"/>
          </w:tcPr>
          <w:p w14:paraId="2FB17F75">
            <w:pPr>
              <w:spacing w:line="360" w:lineRule="auto"/>
              <w:jc w:val="left"/>
              <w:rPr>
                <w:rFonts w:hint="default" w:ascii="Times New Roman Regular" w:hAnsi="Times New Roman Regular" w:eastAsia="宋体" w:cs="Times New Roman Regular"/>
                <w:b/>
                <w:bCs/>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须提供承诺书</w:t>
            </w:r>
          </w:p>
        </w:tc>
        <w:tc>
          <w:tcPr>
            <w:tcW w:w="653" w:type="pct"/>
            <w:vAlign w:val="center"/>
          </w:tcPr>
          <w:p w14:paraId="4773675F">
            <w:pPr>
              <w:snapToGrid w:val="0"/>
              <w:spacing w:line="360" w:lineRule="auto"/>
              <w:jc w:val="center"/>
              <w:rPr>
                <w:rFonts w:hint="default" w:ascii="Times New Roman Regular" w:hAnsi="Times New Roman Regular" w:eastAsia="宋体" w:cs="Times New Roman Regular"/>
                <w:color w:val="000000" w:themeColor="text1"/>
                <w:szCs w:val="24"/>
                <w:highlight w:val="none"/>
                <w14:textFill>
                  <w14:solidFill>
                    <w14:schemeClr w14:val="tx1"/>
                  </w14:solidFill>
                </w14:textFill>
              </w:rPr>
            </w:pPr>
          </w:p>
        </w:tc>
      </w:tr>
      <w:tr w14:paraId="18BE5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373" w:type="pct"/>
            <w:vAlign w:val="center"/>
          </w:tcPr>
          <w:p w14:paraId="1F9CC2B4">
            <w:pPr>
              <w:snapToGrid w:val="0"/>
              <w:spacing w:line="360" w:lineRule="auto"/>
              <w:jc w:val="cente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t>11</w:t>
            </w:r>
          </w:p>
        </w:tc>
        <w:tc>
          <w:tcPr>
            <w:tcW w:w="2461" w:type="pct"/>
            <w:vAlign w:val="center"/>
          </w:tcPr>
          <w:p w14:paraId="5BE64536">
            <w:pPr>
              <w:spacing w:line="360" w:lineRule="auto"/>
              <w:jc w:val="left"/>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本项目不接受联合体投标</w:t>
            </w:r>
            <w:r>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t>。</w:t>
            </w:r>
          </w:p>
        </w:tc>
        <w:tc>
          <w:tcPr>
            <w:tcW w:w="1511" w:type="pct"/>
            <w:vAlign w:val="center"/>
          </w:tcPr>
          <w:p w14:paraId="2BFA0FF2">
            <w:pPr>
              <w:spacing w:line="360" w:lineRule="auto"/>
              <w:rPr>
                <w:rFonts w:hint="default" w:ascii="Times New Roman Regular" w:hAnsi="Times New Roman Regular" w:eastAsia="宋体" w:cs="Times New Roman Regular"/>
                <w:b/>
                <w:bCs/>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须提供承诺书</w:t>
            </w:r>
          </w:p>
        </w:tc>
        <w:tc>
          <w:tcPr>
            <w:tcW w:w="653" w:type="pct"/>
            <w:vAlign w:val="center"/>
          </w:tcPr>
          <w:p w14:paraId="33427CE6">
            <w:pPr>
              <w:snapToGrid w:val="0"/>
              <w:spacing w:line="360" w:lineRule="auto"/>
              <w:jc w:val="center"/>
              <w:rPr>
                <w:rFonts w:hint="default" w:ascii="Times New Roman Regular" w:hAnsi="Times New Roman Regular" w:eastAsia="宋体" w:cs="Times New Roman Regular"/>
                <w:color w:val="000000" w:themeColor="text1"/>
                <w:szCs w:val="24"/>
                <w:highlight w:val="none"/>
                <w14:textFill>
                  <w14:solidFill>
                    <w14:schemeClr w14:val="tx1"/>
                  </w14:solidFill>
                </w14:textFill>
              </w:rPr>
            </w:pPr>
          </w:p>
        </w:tc>
      </w:tr>
      <w:tr w14:paraId="5ABA1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373" w:type="pct"/>
            <w:vAlign w:val="center"/>
          </w:tcPr>
          <w:p w14:paraId="58121462">
            <w:pPr>
              <w:snapToGrid w:val="0"/>
              <w:spacing w:line="360" w:lineRule="auto"/>
              <w:jc w:val="cente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bCs/>
                <w:color w:val="000000" w:themeColor="text1"/>
                <w:szCs w:val="24"/>
                <w:highlight w:val="none"/>
                <w14:textFill>
                  <w14:solidFill>
                    <w14:schemeClr w14:val="tx1"/>
                  </w14:solidFill>
                </w14:textFill>
              </w:rPr>
              <w:t>12</w:t>
            </w:r>
          </w:p>
        </w:tc>
        <w:tc>
          <w:tcPr>
            <w:tcW w:w="2461" w:type="pct"/>
            <w:vAlign w:val="center"/>
          </w:tcPr>
          <w:p w14:paraId="48A4D1A3">
            <w:pPr>
              <w:spacing w:line="360" w:lineRule="auto"/>
              <w:jc w:val="left"/>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有依法缴纳税收和社会保障资金的良好记录</w:t>
            </w:r>
            <w:r>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t>。</w:t>
            </w:r>
          </w:p>
        </w:tc>
        <w:tc>
          <w:tcPr>
            <w:tcW w:w="1511" w:type="pct"/>
            <w:vAlign w:val="center"/>
          </w:tcPr>
          <w:p w14:paraId="760B327A">
            <w:pPr>
              <w:spacing w:line="360" w:lineRule="auto"/>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须提供承诺书；</w:t>
            </w:r>
          </w:p>
        </w:tc>
        <w:tc>
          <w:tcPr>
            <w:tcW w:w="653" w:type="pct"/>
            <w:vAlign w:val="center"/>
          </w:tcPr>
          <w:p w14:paraId="269C717A">
            <w:pPr>
              <w:snapToGrid w:val="0"/>
              <w:spacing w:line="360" w:lineRule="auto"/>
              <w:jc w:val="center"/>
              <w:rPr>
                <w:rFonts w:hint="default" w:ascii="Times New Roman Regular" w:hAnsi="Times New Roman Regular" w:eastAsia="宋体" w:cs="Times New Roman Regular"/>
                <w:color w:val="000000" w:themeColor="text1"/>
                <w:szCs w:val="24"/>
                <w:highlight w:val="none"/>
                <w14:textFill>
                  <w14:solidFill>
                    <w14:schemeClr w14:val="tx1"/>
                  </w14:solidFill>
                </w14:textFill>
              </w:rPr>
            </w:pPr>
          </w:p>
        </w:tc>
      </w:tr>
      <w:tr w14:paraId="7C206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3" w:type="pct"/>
            <w:vAlign w:val="center"/>
          </w:tcPr>
          <w:p w14:paraId="73542257">
            <w:pPr>
              <w:snapToGrid w:val="0"/>
              <w:spacing w:line="360" w:lineRule="auto"/>
              <w:jc w:val="center"/>
              <w:rPr>
                <w:rFonts w:hint="default" w:ascii="Times New Roman Regular" w:hAnsi="Times New Roman Regular" w:eastAsia="宋体" w:cs="Times New Roman Regular"/>
                <w:color w:val="000000" w:themeColor="text1"/>
                <w:szCs w:val="24"/>
                <w:highlight w:val="none"/>
                <w14:textFill>
                  <w14:solidFill>
                    <w14:schemeClr w14:val="tx1"/>
                  </w14:solidFill>
                </w14:textFill>
              </w:rPr>
            </w:pPr>
          </w:p>
        </w:tc>
        <w:tc>
          <w:tcPr>
            <w:tcW w:w="3973" w:type="pct"/>
            <w:gridSpan w:val="2"/>
            <w:vAlign w:val="center"/>
          </w:tcPr>
          <w:p w14:paraId="37A0F674">
            <w:pPr>
              <w:snapToGrid w:val="0"/>
              <w:spacing w:line="360" w:lineRule="auto"/>
              <w:jc w:val="center"/>
              <w:rPr>
                <w:rFonts w:hint="default" w:ascii="Times New Roman Regular" w:hAnsi="Times New Roman Regular" w:eastAsia="宋体" w:cs="Times New Roman Regular"/>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4"/>
                <w:highlight w:val="none"/>
                <w14:textFill>
                  <w14:solidFill>
                    <w14:schemeClr w14:val="tx1"/>
                  </w14:solidFill>
                </w14:textFill>
              </w:rPr>
              <w:t>综合结论</w:t>
            </w: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(通过/不通过）</w:t>
            </w:r>
          </w:p>
        </w:tc>
        <w:tc>
          <w:tcPr>
            <w:tcW w:w="653" w:type="pct"/>
            <w:vAlign w:val="center"/>
          </w:tcPr>
          <w:p w14:paraId="351B8740">
            <w:pPr>
              <w:snapToGrid w:val="0"/>
              <w:spacing w:line="360" w:lineRule="auto"/>
              <w:ind w:left="425"/>
              <w:jc w:val="center"/>
              <w:rPr>
                <w:rFonts w:hint="default" w:ascii="Times New Roman Regular" w:hAnsi="Times New Roman Regular" w:eastAsia="宋体" w:cs="Times New Roman Regular"/>
                <w:color w:val="000000" w:themeColor="text1"/>
                <w:szCs w:val="24"/>
                <w:highlight w:val="none"/>
                <w14:textFill>
                  <w14:solidFill>
                    <w14:schemeClr w14:val="tx1"/>
                  </w14:solidFill>
                </w14:textFill>
              </w:rPr>
            </w:pPr>
          </w:p>
        </w:tc>
      </w:tr>
    </w:tbl>
    <w:p w14:paraId="01B05949">
      <w:pPr>
        <w:adjustRightInd w:val="0"/>
        <w:snapToGrid w:val="0"/>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 xml:space="preserve">注：评审结论：符合要求用“√”表示，不符合用“×”表示。有一项不符合要求，综合结论为不通过。 </w:t>
      </w:r>
    </w:p>
    <w:p w14:paraId="655E02E2">
      <w:pPr>
        <w:pStyle w:val="43"/>
        <w:spacing w:line="360" w:lineRule="auto"/>
        <w:ind w:firstLine="422"/>
        <w:rPr>
          <w:rFonts w:hint="default" w:ascii="Times New Roman Regular" w:hAnsi="Times New Roman Regular" w:eastAsia="宋体" w:cs="Times New Roman Regular"/>
          <w:b/>
          <w:color w:val="000000" w:themeColor="text1"/>
          <w:szCs w:val="24"/>
          <w:highlight w:val="none"/>
          <w14:textFill>
            <w14:solidFill>
              <w14:schemeClr w14:val="tx1"/>
            </w14:solidFill>
          </w14:textFill>
        </w:rPr>
      </w:pPr>
    </w:p>
    <w:p w14:paraId="62A18F3D">
      <w:pPr>
        <w:spacing w:line="360" w:lineRule="auto"/>
        <w:rPr>
          <w:rFonts w:hint="default" w:ascii="Times New Roman Regular" w:hAnsi="Times New Roman Regular" w:eastAsia="宋体" w:cs="Times New Roman Regular"/>
          <w:b/>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4"/>
          <w:highlight w:val="none"/>
          <w14:textFill>
            <w14:solidFill>
              <w14:schemeClr w14:val="tx1"/>
            </w14:solidFill>
          </w14:textFill>
        </w:rPr>
        <w:br w:type="page"/>
      </w:r>
    </w:p>
    <w:p w14:paraId="6B0100A8">
      <w:pPr>
        <w:adjustRightInd w:val="0"/>
        <w:snapToGrid w:val="0"/>
        <w:spacing w:line="360" w:lineRule="auto"/>
        <w:outlineLvl w:val="0"/>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bookmarkStart w:id="59" w:name="_Toc772453115"/>
      <w:bookmarkStart w:id="60" w:name="_Toc26701"/>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附表2：符合性审查表</w:t>
      </w:r>
      <w:bookmarkEnd w:id="59"/>
      <w:bookmarkEnd w:id="60"/>
    </w:p>
    <w:tbl>
      <w:tblPr>
        <w:tblStyle w:val="25"/>
        <w:tblW w:w="5220" w:type="pct"/>
        <w:jc w:val="center"/>
        <w:tblLayout w:type="fixed"/>
        <w:tblCellMar>
          <w:top w:w="0" w:type="dxa"/>
          <w:left w:w="108" w:type="dxa"/>
          <w:bottom w:w="0" w:type="dxa"/>
          <w:right w:w="108" w:type="dxa"/>
        </w:tblCellMar>
      </w:tblPr>
      <w:tblGrid>
        <w:gridCol w:w="808"/>
        <w:gridCol w:w="1821"/>
        <w:gridCol w:w="5323"/>
        <w:gridCol w:w="945"/>
      </w:tblGrid>
      <w:tr w14:paraId="0B0001BB">
        <w:tblPrEx>
          <w:tblCellMar>
            <w:top w:w="0" w:type="dxa"/>
            <w:left w:w="108" w:type="dxa"/>
            <w:bottom w:w="0" w:type="dxa"/>
            <w:right w:w="108" w:type="dxa"/>
          </w:tblCellMar>
        </w:tblPrEx>
        <w:trPr>
          <w:trHeight w:val="67" w:hRule="atLeast"/>
          <w:jc w:val="center"/>
        </w:trPr>
        <w:tc>
          <w:tcPr>
            <w:tcW w:w="455" w:type="pct"/>
            <w:tcBorders>
              <w:top w:val="single" w:color="auto" w:sz="4" w:space="0"/>
              <w:left w:val="single" w:color="auto" w:sz="4" w:space="0"/>
              <w:bottom w:val="single" w:color="auto" w:sz="4" w:space="0"/>
              <w:right w:val="single" w:color="auto" w:sz="4" w:space="0"/>
            </w:tcBorders>
            <w:vAlign w:val="center"/>
          </w:tcPr>
          <w:p w14:paraId="208323A5">
            <w:pPr>
              <w:widowControl/>
              <w:spacing w:line="360" w:lineRule="auto"/>
              <w:jc w:val="center"/>
              <w:rPr>
                <w:rFonts w:hint="default" w:ascii="Times New Roman Regular" w:hAnsi="Times New Roman Regular" w:eastAsia="宋体" w:cs="Times New Roman Regular"/>
                <w:b/>
                <w:bCs/>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kern w:val="0"/>
                <w:szCs w:val="24"/>
                <w:highlight w:val="none"/>
                <w14:textFill>
                  <w14:solidFill>
                    <w14:schemeClr w14:val="tx1"/>
                  </w14:solidFill>
                </w14:textFill>
              </w:rPr>
              <w:t>序号</w:t>
            </w:r>
          </w:p>
        </w:tc>
        <w:tc>
          <w:tcPr>
            <w:tcW w:w="1023" w:type="pct"/>
            <w:tcBorders>
              <w:top w:val="single" w:color="auto" w:sz="4" w:space="0"/>
              <w:left w:val="nil"/>
              <w:bottom w:val="single" w:color="auto" w:sz="4" w:space="0"/>
              <w:right w:val="single" w:color="auto" w:sz="4" w:space="0"/>
            </w:tcBorders>
            <w:vAlign w:val="center"/>
          </w:tcPr>
          <w:p w14:paraId="61FB3918">
            <w:pPr>
              <w:widowControl/>
              <w:spacing w:line="360" w:lineRule="auto"/>
              <w:jc w:val="center"/>
              <w:rPr>
                <w:rFonts w:hint="default" w:ascii="Times New Roman Regular" w:hAnsi="Times New Roman Regular" w:eastAsia="宋体" w:cs="Times New Roman Regular"/>
                <w:b/>
                <w:bCs/>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kern w:val="0"/>
                <w:szCs w:val="24"/>
                <w:highlight w:val="none"/>
                <w14:textFill>
                  <w14:solidFill>
                    <w14:schemeClr w14:val="tx1"/>
                  </w14:solidFill>
                </w14:textFill>
              </w:rPr>
              <w:t>评审项目</w:t>
            </w:r>
          </w:p>
        </w:tc>
        <w:tc>
          <w:tcPr>
            <w:tcW w:w="2991" w:type="pct"/>
            <w:tcBorders>
              <w:top w:val="single" w:color="auto" w:sz="4" w:space="0"/>
              <w:left w:val="nil"/>
              <w:bottom w:val="single" w:color="auto" w:sz="4" w:space="0"/>
              <w:right w:val="single" w:color="auto" w:sz="4" w:space="0"/>
            </w:tcBorders>
            <w:vAlign w:val="center"/>
          </w:tcPr>
          <w:p w14:paraId="7DCA4AD8">
            <w:pPr>
              <w:widowControl/>
              <w:spacing w:line="360" w:lineRule="auto"/>
              <w:jc w:val="center"/>
              <w:rPr>
                <w:rFonts w:hint="default" w:ascii="Times New Roman Regular" w:hAnsi="Times New Roman Regular" w:eastAsia="宋体" w:cs="Times New Roman Regular"/>
                <w:b/>
                <w:bCs/>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kern w:val="0"/>
                <w:szCs w:val="24"/>
                <w:highlight w:val="none"/>
                <w14:textFill>
                  <w14:solidFill>
                    <w14:schemeClr w14:val="tx1"/>
                  </w14:solidFill>
                </w14:textFill>
              </w:rPr>
              <w:t>评审标准</w:t>
            </w:r>
          </w:p>
        </w:tc>
        <w:tc>
          <w:tcPr>
            <w:tcW w:w="532" w:type="pct"/>
            <w:tcBorders>
              <w:top w:val="single" w:color="auto" w:sz="4" w:space="0"/>
              <w:left w:val="nil"/>
              <w:bottom w:val="single" w:color="auto" w:sz="4" w:space="0"/>
              <w:right w:val="single" w:color="auto" w:sz="4" w:space="0"/>
            </w:tcBorders>
            <w:vAlign w:val="center"/>
          </w:tcPr>
          <w:p w14:paraId="54A64DB5">
            <w:pPr>
              <w:widowControl/>
              <w:spacing w:line="360" w:lineRule="auto"/>
              <w:jc w:val="center"/>
              <w:rPr>
                <w:rFonts w:hint="default" w:ascii="Times New Roman Regular" w:hAnsi="Times New Roman Regular" w:eastAsia="宋体" w:cs="Times New Roman Regular"/>
                <w:b/>
                <w:bCs/>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kern w:val="0"/>
                <w:szCs w:val="24"/>
                <w:highlight w:val="none"/>
                <w14:textFill>
                  <w14:solidFill>
                    <w14:schemeClr w14:val="tx1"/>
                  </w14:solidFill>
                </w14:textFill>
              </w:rPr>
              <w:t>评审结论</w:t>
            </w:r>
            <w:r>
              <w:rPr>
                <w:rFonts w:hint="default" w:ascii="Times New Roman Regular" w:hAnsi="Times New Roman Regular" w:eastAsia="宋体" w:cs="Times New Roman Regular"/>
                <w:b/>
                <w:color w:val="000000" w:themeColor="text1"/>
                <w:szCs w:val="24"/>
                <w:highlight w:val="none"/>
                <w14:textFill>
                  <w14:solidFill>
                    <w14:schemeClr w14:val="tx1"/>
                  </w14:solidFill>
                </w14:textFill>
              </w:rPr>
              <w:t>（√/×）</w:t>
            </w:r>
          </w:p>
        </w:tc>
      </w:tr>
      <w:tr w14:paraId="1E77F6D4">
        <w:tblPrEx>
          <w:tblCellMar>
            <w:top w:w="0" w:type="dxa"/>
            <w:left w:w="108" w:type="dxa"/>
            <w:bottom w:w="0" w:type="dxa"/>
            <w:right w:w="108" w:type="dxa"/>
          </w:tblCellMar>
        </w:tblPrEx>
        <w:trPr>
          <w:trHeight w:val="90" w:hRule="atLeast"/>
          <w:jc w:val="center"/>
        </w:trPr>
        <w:tc>
          <w:tcPr>
            <w:tcW w:w="455" w:type="pct"/>
            <w:tcBorders>
              <w:top w:val="single" w:color="auto" w:sz="4" w:space="0"/>
              <w:left w:val="single" w:color="auto" w:sz="4" w:space="0"/>
              <w:bottom w:val="single" w:color="auto" w:sz="4" w:space="0"/>
              <w:right w:val="single" w:color="auto" w:sz="4" w:space="0"/>
            </w:tcBorders>
            <w:vAlign w:val="center"/>
          </w:tcPr>
          <w:p w14:paraId="1A4F28C5">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1</w:t>
            </w:r>
          </w:p>
        </w:tc>
        <w:tc>
          <w:tcPr>
            <w:tcW w:w="1023" w:type="pct"/>
            <w:tcBorders>
              <w:top w:val="single" w:color="auto" w:sz="4" w:space="0"/>
              <w:left w:val="nil"/>
              <w:bottom w:val="single" w:color="auto" w:sz="4" w:space="0"/>
              <w:right w:val="single" w:color="auto" w:sz="4" w:space="0"/>
            </w:tcBorders>
            <w:vAlign w:val="center"/>
          </w:tcPr>
          <w:p w14:paraId="69DBCC21">
            <w:pPr>
              <w:widowControl/>
              <w:spacing w:line="360" w:lineRule="auto"/>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投标保证金</w:t>
            </w:r>
          </w:p>
        </w:tc>
        <w:tc>
          <w:tcPr>
            <w:tcW w:w="2991" w:type="pct"/>
            <w:tcBorders>
              <w:top w:val="single" w:color="auto" w:sz="4" w:space="0"/>
              <w:left w:val="nil"/>
              <w:bottom w:val="single" w:color="auto" w:sz="4" w:space="0"/>
              <w:right w:val="single" w:color="auto" w:sz="4" w:space="0"/>
            </w:tcBorders>
            <w:vAlign w:val="center"/>
          </w:tcPr>
          <w:p w14:paraId="30330187">
            <w:pPr>
              <w:widowControl/>
              <w:spacing w:line="360" w:lineRule="auto"/>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按照招标文件的规定提交投标保证金（包括形式及金额）</w:t>
            </w:r>
          </w:p>
        </w:tc>
        <w:tc>
          <w:tcPr>
            <w:tcW w:w="532" w:type="pct"/>
            <w:tcBorders>
              <w:top w:val="single" w:color="auto" w:sz="4" w:space="0"/>
              <w:left w:val="nil"/>
              <w:bottom w:val="single" w:color="auto" w:sz="4" w:space="0"/>
              <w:right w:val="single" w:color="auto" w:sz="4" w:space="0"/>
            </w:tcBorders>
            <w:vAlign w:val="center"/>
          </w:tcPr>
          <w:p w14:paraId="2FCE7554">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p>
        </w:tc>
      </w:tr>
      <w:tr w14:paraId="216DF5D1">
        <w:tblPrEx>
          <w:tblCellMar>
            <w:top w:w="0" w:type="dxa"/>
            <w:left w:w="108" w:type="dxa"/>
            <w:bottom w:w="0" w:type="dxa"/>
            <w:right w:w="108" w:type="dxa"/>
          </w:tblCellMar>
        </w:tblPrEx>
        <w:trPr>
          <w:trHeight w:val="815" w:hRule="atLeast"/>
          <w:jc w:val="center"/>
        </w:trPr>
        <w:tc>
          <w:tcPr>
            <w:tcW w:w="455" w:type="pct"/>
            <w:tcBorders>
              <w:top w:val="single" w:color="auto" w:sz="4" w:space="0"/>
              <w:left w:val="single" w:color="auto" w:sz="4" w:space="0"/>
              <w:bottom w:val="single" w:color="auto" w:sz="4" w:space="0"/>
              <w:right w:val="single" w:color="auto" w:sz="4" w:space="0"/>
            </w:tcBorders>
            <w:vAlign w:val="center"/>
          </w:tcPr>
          <w:p w14:paraId="7B44D849">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2</w:t>
            </w:r>
          </w:p>
        </w:tc>
        <w:tc>
          <w:tcPr>
            <w:tcW w:w="1023" w:type="pct"/>
            <w:tcBorders>
              <w:top w:val="single" w:color="auto" w:sz="4" w:space="0"/>
              <w:left w:val="nil"/>
              <w:bottom w:val="single" w:color="auto" w:sz="4" w:space="0"/>
              <w:right w:val="single" w:color="auto" w:sz="4" w:space="0"/>
            </w:tcBorders>
            <w:vAlign w:val="center"/>
          </w:tcPr>
          <w:p w14:paraId="1B2A6E58">
            <w:pPr>
              <w:widowControl/>
              <w:spacing w:line="360" w:lineRule="auto"/>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投标文件签署盖章</w:t>
            </w:r>
          </w:p>
        </w:tc>
        <w:tc>
          <w:tcPr>
            <w:tcW w:w="2991" w:type="pct"/>
            <w:tcBorders>
              <w:top w:val="single" w:color="auto" w:sz="4" w:space="0"/>
              <w:left w:val="nil"/>
              <w:bottom w:val="single" w:color="auto" w:sz="4" w:space="0"/>
              <w:right w:val="single" w:color="auto" w:sz="4" w:space="0"/>
            </w:tcBorders>
            <w:vAlign w:val="center"/>
          </w:tcPr>
          <w:p w14:paraId="45D7E954">
            <w:pPr>
              <w:widowControl/>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1、</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按招标文件格式要求加盖了投标人公章和</w:t>
            </w:r>
            <w:r>
              <w:rPr>
                <w:rFonts w:hint="default" w:ascii="Times New Roman Regular" w:hAnsi="Times New Roman Regular" w:eastAsia="宋体" w:cs="Times New Roman Regular"/>
                <w:color w:val="000000" w:themeColor="text1"/>
                <w:highlight w:val="none"/>
                <w14:textFill>
                  <w14:solidFill>
                    <w14:schemeClr w14:val="tx1"/>
                  </w14:solidFill>
                </w14:textFill>
              </w:rPr>
              <w:t>有法定代表人或其授权代表签字或加盖人名章</w:t>
            </w:r>
          </w:p>
          <w:p w14:paraId="071F20AC">
            <w:pPr>
              <w:pStyle w:val="9"/>
              <w:spacing w:after="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bookmarkStart w:id="61" w:name="OLE_LINK30"/>
            <w:r>
              <w:rPr>
                <w:rFonts w:hint="default" w:ascii="Times New Roman Regular" w:hAnsi="Times New Roman Regular" w:eastAsia="宋体" w:cs="Times New Roman Regular"/>
                <w:color w:val="000000" w:themeColor="text1"/>
                <w:highlight w:val="none"/>
                <w:lang w:val="en-US" w:eastAsia="zh-CN"/>
                <w14:textFill>
                  <w14:solidFill>
                    <w14:schemeClr w14:val="tx1"/>
                  </w14:solidFill>
                </w14:textFill>
              </w:rPr>
              <w:t>2、</w:t>
            </w:r>
            <w:r>
              <w:rPr>
                <w:rFonts w:hint="default" w:ascii="Times New Roman Regular" w:hAnsi="Times New Roman Regular" w:eastAsia="宋体" w:cs="Times New Roman Regular"/>
                <w:color w:val="000000" w:themeColor="text1"/>
                <w:highlight w:val="none"/>
                <w14:textFill>
                  <w14:solidFill>
                    <w14:schemeClr w14:val="tx1"/>
                  </w14:solidFill>
                </w14:textFill>
              </w:rPr>
              <w:t>专用章</w:t>
            </w:r>
            <w:bookmarkEnd w:id="61"/>
            <w:r>
              <w:rPr>
                <w:rFonts w:hint="default" w:ascii="Times New Roman Regular" w:hAnsi="Times New Roman Regular" w:eastAsia="宋体" w:cs="Times New Roman Regular"/>
                <w:color w:val="000000" w:themeColor="text1"/>
                <w:highlight w:val="none"/>
                <w14:textFill>
                  <w14:solidFill>
                    <w14:schemeClr w14:val="tx1"/>
                  </w14:solidFill>
                </w14:textFill>
              </w:rPr>
              <w:t>具</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有效授权（如有）</w:t>
            </w:r>
          </w:p>
        </w:tc>
        <w:tc>
          <w:tcPr>
            <w:tcW w:w="532" w:type="pct"/>
            <w:tcBorders>
              <w:top w:val="single" w:color="auto" w:sz="4" w:space="0"/>
              <w:left w:val="nil"/>
              <w:bottom w:val="single" w:color="auto" w:sz="4" w:space="0"/>
              <w:right w:val="single" w:color="auto" w:sz="4" w:space="0"/>
            </w:tcBorders>
            <w:vAlign w:val="center"/>
          </w:tcPr>
          <w:p w14:paraId="50352234">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p>
        </w:tc>
      </w:tr>
      <w:tr w14:paraId="0DD30243">
        <w:tblPrEx>
          <w:tblCellMar>
            <w:top w:w="0" w:type="dxa"/>
            <w:left w:w="108" w:type="dxa"/>
            <w:bottom w:w="0" w:type="dxa"/>
            <w:right w:w="108" w:type="dxa"/>
          </w:tblCellMar>
        </w:tblPrEx>
        <w:trPr>
          <w:trHeight w:val="67" w:hRule="atLeast"/>
          <w:jc w:val="center"/>
        </w:trPr>
        <w:tc>
          <w:tcPr>
            <w:tcW w:w="455" w:type="pct"/>
            <w:tcBorders>
              <w:top w:val="single" w:color="auto" w:sz="4" w:space="0"/>
              <w:left w:val="single" w:color="auto" w:sz="4" w:space="0"/>
              <w:bottom w:val="single" w:color="auto" w:sz="4" w:space="0"/>
              <w:right w:val="single" w:color="auto" w:sz="4" w:space="0"/>
            </w:tcBorders>
            <w:vAlign w:val="center"/>
          </w:tcPr>
          <w:p w14:paraId="127C0D00">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3</w:t>
            </w:r>
          </w:p>
        </w:tc>
        <w:tc>
          <w:tcPr>
            <w:tcW w:w="1023" w:type="pct"/>
            <w:tcBorders>
              <w:top w:val="single" w:color="auto" w:sz="4" w:space="0"/>
              <w:left w:val="nil"/>
              <w:bottom w:val="single" w:color="auto" w:sz="4" w:space="0"/>
              <w:right w:val="single" w:color="auto" w:sz="4" w:space="0"/>
            </w:tcBorders>
            <w:vAlign w:val="center"/>
          </w:tcPr>
          <w:p w14:paraId="3C0B63B6">
            <w:pPr>
              <w:widowControl/>
              <w:spacing w:line="360" w:lineRule="auto"/>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投标文件有效期</w:t>
            </w:r>
          </w:p>
        </w:tc>
        <w:tc>
          <w:tcPr>
            <w:tcW w:w="2991" w:type="pct"/>
            <w:tcBorders>
              <w:top w:val="single" w:color="auto" w:sz="4" w:space="0"/>
              <w:left w:val="nil"/>
              <w:bottom w:val="single" w:color="auto" w:sz="4" w:space="0"/>
              <w:right w:val="single" w:color="auto" w:sz="4" w:space="0"/>
            </w:tcBorders>
            <w:vAlign w:val="center"/>
          </w:tcPr>
          <w:p w14:paraId="1BFD0520">
            <w:pPr>
              <w:widowControl/>
              <w:spacing w:line="360" w:lineRule="auto"/>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投标文件提供满足招标文件要求的有效期</w:t>
            </w:r>
          </w:p>
        </w:tc>
        <w:tc>
          <w:tcPr>
            <w:tcW w:w="532" w:type="pct"/>
            <w:tcBorders>
              <w:top w:val="single" w:color="auto" w:sz="4" w:space="0"/>
              <w:left w:val="nil"/>
              <w:bottom w:val="single" w:color="auto" w:sz="4" w:space="0"/>
              <w:right w:val="single" w:color="auto" w:sz="4" w:space="0"/>
            </w:tcBorders>
            <w:vAlign w:val="center"/>
          </w:tcPr>
          <w:p w14:paraId="54BA6574">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p>
        </w:tc>
      </w:tr>
      <w:tr w14:paraId="1CFF3092">
        <w:tblPrEx>
          <w:tblCellMar>
            <w:top w:w="0" w:type="dxa"/>
            <w:left w:w="108" w:type="dxa"/>
            <w:bottom w:w="0" w:type="dxa"/>
            <w:right w:w="108" w:type="dxa"/>
          </w:tblCellMar>
        </w:tblPrEx>
        <w:trPr>
          <w:trHeight w:val="67" w:hRule="atLeast"/>
          <w:jc w:val="center"/>
        </w:trPr>
        <w:tc>
          <w:tcPr>
            <w:tcW w:w="455" w:type="pct"/>
            <w:tcBorders>
              <w:top w:val="single" w:color="auto" w:sz="4" w:space="0"/>
              <w:left w:val="single" w:color="auto" w:sz="4" w:space="0"/>
              <w:bottom w:val="single" w:color="auto" w:sz="4" w:space="0"/>
              <w:right w:val="single" w:color="auto" w:sz="4" w:space="0"/>
            </w:tcBorders>
            <w:vAlign w:val="center"/>
          </w:tcPr>
          <w:p w14:paraId="730A8620">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4</w:t>
            </w:r>
          </w:p>
        </w:tc>
        <w:tc>
          <w:tcPr>
            <w:tcW w:w="1023" w:type="pct"/>
            <w:tcBorders>
              <w:top w:val="single" w:color="auto" w:sz="4" w:space="0"/>
              <w:left w:val="nil"/>
              <w:bottom w:val="single" w:color="auto" w:sz="4" w:space="0"/>
              <w:right w:val="single" w:color="auto" w:sz="4" w:space="0"/>
            </w:tcBorders>
            <w:vAlign w:val="center"/>
          </w:tcPr>
          <w:p w14:paraId="75C865E5">
            <w:pPr>
              <w:widowControl/>
              <w:spacing w:line="360" w:lineRule="auto"/>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技术需求及服务要求</w:t>
            </w:r>
          </w:p>
        </w:tc>
        <w:tc>
          <w:tcPr>
            <w:tcW w:w="2991" w:type="pct"/>
            <w:tcBorders>
              <w:top w:val="single" w:color="auto" w:sz="4" w:space="0"/>
              <w:left w:val="nil"/>
              <w:bottom w:val="single" w:color="auto" w:sz="4" w:space="0"/>
              <w:right w:val="single" w:color="auto" w:sz="4" w:space="0"/>
            </w:tcBorders>
            <w:vAlign w:val="center"/>
          </w:tcPr>
          <w:p w14:paraId="23F9EE2A">
            <w:pPr>
              <w:widowControl/>
              <w:spacing w:line="360" w:lineRule="auto"/>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投标人在投标文件中针对第五章《技术/服务需求书》提供的技术或服务条款能够实质性满足招标文件要求</w:t>
            </w:r>
          </w:p>
        </w:tc>
        <w:tc>
          <w:tcPr>
            <w:tcW w:w="532" w:type="pct"/>
            <w:tcBorders>
              <w:top w:val="single" w:color="auto" w:sz="4" w:space="0"/>
              <w:left w:val="nil"/>
              <w:bottom w:val="single" w:color="auto" w:sz="4" w:space="0"/>
              <w:right w:val="single" w:color="auto" w:sz="4" w:space="0"/>
            </w:tcBorders>
            <w:vAlign w:val="center"/>
          </w:tcPr>
          <w:p w14:paraId="4632915B">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p>
        </w:tc>
      </w:tr>
      <w:tr w14:paraId="243BE99C">
        <w:tblPrEx>
          <w:tblCellMar>
            <w:top w:w="0" w:type="dxa"/>
            <w:left w:w="108" w:type="dxa"/>
            <w:bottom w:w="0" w:type="dxa"/>
            <w:right w:w="108" w:type="dxa"/>
          </w:tblCellMar>
        </w:tblPrEx>
        <w:trPr>
          <w:trHeight w:val="635" w:hRule="atLeast"/>
          <w:jc w:val="center"/>
        </w:trPr>
        <w:tc>
          <w:tcPr>
            <w:tcW w:w="455" w:type="pct"/>
            <w:tcBorders>
              <w:top w:val="single" w:color="auto" w:sz="4" w:space="0"/>
              <w:left w:val="single" w:color="auto" w:sz="4" w:space="0"/>
              <w:bottom w:val="single" w:color="auto" w:sz="4" w:space="0"/>
              <w:right w:val="single" w:color="auto" w:sz="4" w:space="0"/>
            </w:tcBorders>
            <w:vAlign w:val="center"/>
          </w:tcPr>
          <w:p w14:paraId="04F702B8">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5</w:t>
            </w:r>
          </w:p>
        </w:tc>
        <w:tc>
          <w:tcPr>
            <w:tcW w:w="1023" w:type="pct"/>
            <w:tcBorders>
              <w:top w:val="single" w:color="auto" w:sz="4" w:space="0"/>
              <w:left w:val="nil"/>
              <w:bottom w:val="single" w:color="auto" w:sz="4" w:space="0"/>
              <w:right w:val="single" w:color="auto" w:sz="4" w:space="0"/>
            </w:tcBorders>
            <w:vAlign w:val="center"/>
          </w:tcPr>
          <w:p w14:paraId="133010BB">
            <w:pPr>
              <w:widowControl/>
              <w:spacing w:line="360" w:lineRule="auto"/>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投标报价</w:t>
            </w:r>
          </w:p>
        </w:tc>
        <w:tc>
          <w:tcPr>
            <w:tcW w:w="2991" w:type="pct"/>
            <w:tcBorders>
              <w:top w:val="single" w:color="auto" w:sz="4" w:space="0"/>
              <w:left w:val="nil"/>
              <w:bottom w:val="single" w:color="auto" w:sz="4" w:space="0"/>
              <w:right w:val="single" w:color="auto" w:sz="4" w:space="0"/>
            </w:tcBorders>
            <w:vAlign w:val="center"/>
          </w:tcPr>
          <w:p w14:paraId="35FE9F24">
            <w:pPr>
              <w:widowControl/>
              <w:spacing w:line="360" w:lineRule="auto"/>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投标人在同一份投标文件中，对同一招标项目没有报两个或多个报价且未超过招标人预算</w:t>
            </w:r>
          </w:p>
        </w:tc>
        <w:tc>
          <w:tcPr>
            <w:tcW w:w="532" w:type="pct"/>
            <w:tcBorders>
              <w:top w:val="single" w:color="auto" w:sz="4" w:space="0"/>
              <w:left w:val="nil"/>
              <w:bottom w:val="single" w:color="auto" w:sz="4" w:space="0"/>
              <w:right w:val="single" w:color="auto" w:sz="4" w:space="0"/>
            </w:tcBorders>
            <w:vAlign w:val="center"/>
          </w:tcPr>
          <w:p w14:paraId="042BED51">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p>
        </w:tc>
      </w:tr>
      <w:tr w14:paraId="617ABDB8">
        <w:tblPrEx>
          <w:tblCellMar>
            <w:top w:w="0" w:type="dxa"/>
            <w:left w:w="108" w:type="dxa"/>
            <w:bottom w:w="0" w:type="dxa"/>
            <w:right w:w="108" w:type="dxa"/>
          </w:tblCellMar>
        </w:tblPrEx>
        <w:trPr>
          <w:trHeight w:val="328" w:hRule="atLeast"/>
          <w:jc w:val="center"/>
        </w:trPr>
        <w:tc>
          <w:tcPr>
            <w:tcW w:w="455" w:type="pct"/>
            <w:tcBorders>
              <w:top w:val="single" w:color="auto" w:sz="4" w:space="0"/>
              <w:left w:val="single" w:color="auto" w:sz="4" w:space="0"/>
              <w:bottom w:val="single" w:color="auto" w:sz="4" w:space="0"/>
              <w:right w:val="single" w:color="auto" w:sz="4" w:space="0"/>
            </w:tcBorders>
            <w:vAlign w:val="center"/>
          </w:tcPr>
          <w:p w14:paraId="297DCD74">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6</w:t>
            </w:r>
          </w:p>
        </w:tc>
        <w:tc>
          <w:tcPr>
            <w:tcW w:w="1023" w:type="pct"/>
            <w:tcBorders>
              <w:top w:val="single" w:color="auto" w:sz="4" w:space="0"/>
              <w:left w:val="nil"/>
              <w:bottom w:val="single" w:color="auto" w:sz="4" w:space="0"/>
              <w:right w:val="single" w:color="auto" w:sz="4" w:space="0"/>
            </w:tcBorders>
            <w:vAlign w:val="center"/>
          </w:tcPr>
          <w:p w14:paraId="5A3FB56E">
            <w:pPr>
              <w:widowControl/>
              <w:spacing w:line="360" w:lineRule="auto"/>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弄虚作假</w:t>
            </w:r>
          </w:p>
        </w:tc>
        <w:tc>
          <w:tcPr>
            <w:tcW w:w="2991" w:type="pct"/>
            <w:tcBorders>
              <w:top w:val="single" w:color="auto" w:sz="4" w:space="0"/>
              <w:left w:val="nil"/>
              <w:bottom w:val="single" w:color="auto" w:sz="4" w:space="0"/>
              <w:right w:val="single" w:color="auto" w:sz="4" w:space="0"/>
            </w:tcBorders>
            <w:vAlign w:val="center"/>
          </w:tcPr>
          <w:p w14:paraId="59201214">
            <w:pPr>
              <w:widowControl/>
              <w:spacing w:line="360" w:lineRule="auto"/>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投标文件中未提供虚假或失实资料</w:t>
            </w:r>
          </w:p>
        </w:tc>
        <w:tc>
          <w:tcPr>
            <w:tcW w:w="532" w:type="pct"/>
            <w:tcBorders>
              <w:top w:val="single" w:color="auto" w:sz="4" w:space="0"/>
              <w:left w:val="nil"/>
              <w:bottom w:val="single" w:color="auto" w:sz="4" w:space="0"/>
              <w:right w:val="single" w:color="auto" w:sz="4" w:space="0"/>
            </w:tcBorders>
            <w:vAlign w:val="center"/>
          </w:tcPr>
          <w:p w14:paraId="3E62704B">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p>
        </w:tc>
      </w:tr>
      <w:tr w14:paraId="533FC111">
        <w:tblPrEx>
          <w:tblCellMar>
            <w:top w:w="0" w:type="dxa"/>
            <w:left w:w="108" w:type="dxa"/>
            <w:bottom w:w="0" w:type="dxa"/>
            <w:right w:w="108" w:type="dxa"/>
          </w:tblCellMar>
        </w:tblPrEx>
        <w:trPr>
          <w:trHeight w:val="67" w:hRule="atLeast"/>
          <w:jc w:val="center"/>
        </w:trPr>
        <w:tc>
          <w:tcPr>
            <w:tcW w:w="455" w:type="pct"/>
            <w:tcBorders>
              <w:top w:val="single" w:color="auto" w:sz="4" w:space="0"/>
              <w:left w:val="single" w:color="auto" w:sz="4" w:space="0"/>
              <w:bottom w:val="single" w:color="auto" w:sz="4" w:space="0"/>
              <w:right w:val="single" w:color="auto" w:sz="4" w:space="0"/>
            </w:tcBorders>
            <w:vAlign w:val="center"/>
          </w:tcPr>
          <w:p w14:paraId="3CCD18D5">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7</w:t>
            </w:r>
          </w:p>
        </w:tc>
        <w:tc>
          <w:tcPr>
            <w:tcW w:w="1023" w:type="pct"/>
            <w:tcBorders>
              <w:top w:val="single" w:color="auto" w:sz="4" w:space="0"/>
              <w:left w:val="nil"/>
              <w:bottom w:val="single" w:color="auto" w:sz="4" w:space="0"/>
              <w:right w:val="single" w:color="auto" w:sz="4" w:space="0"/>
            </w:tcBorders>
            <w:vAlign w:val="center"/>
          </w:tcPr>
          <w:p w14:paraId="233E66D1">
            <w:pPr>
              <w:widowControl/>
              <w:spacing w:line="360" w:lineRule="auto"/>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附加条件</w:t>
            </w:r>
          </w:p>
        </w:tc>
        <w:tc>
          <w:tcPr>
            <w:tcW w:w="2991" w:type="pct"/>
            <w:tcBorders>
              <w:top w:val="single" w:color="auto" w:sz="4" w:space="0"/>
              <w:left w:val="nil"/>
              <w:bottom w:val="single" w:color="auto" w:sz="4" w:space="0"/>
              <w:right w:val="single" w:color="auto" w:sz="4" w:space="0"/>
            </w:tcBorders>
            <w:vAlign w:val="center"/>
          </w:tcPr>
          <w:p w14:paraId="2BFB25B0">
            <w:pPr>
              <w:widowControl/>
              <w:spacing w:line="360" w:lineRule="auto"/>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投标文件未附有招标人不能接受的条件</w:t>
            </w:r>
          </w:p>
        </w:tc>
        <w:tc>
          <w:tcPr>
            <w:tcW w:w="532" w:type="pct"/>
            <w:tcBorders>
              <w:top w:val="single" w:color="auto" w:sz="4" w:space="0"/>
              <w:left w:val="nil"/>
              <w:bottom w:val="single" w:color="auto" w:sz="4" w:space="0"/>
              <w:right w:val="single" w:color="auto" w:sz="4" w:space="0"/>
            </w:tcBorders>
            <w:vAlign w:val="center"/>
          </w:tcPr>
          <w:p w14:paraId="5CE18888">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p>
        </w:tc>
      </w:tr>
      <w:tr w14:paraId="4F865488">
        <w:tblPrEx>
          <w:tblCellMar>
            <w:top w:w="0" w:type="dxa"/>
            <w:left w:w="108" w:type="dxa"/>
            <w:bottom w:w="0" w:type="dxa"/>
            <w:right w:w="108" w:type="dxa"/>
          </w:tblCellMar>
        </w:tblPrEx>
        <w:trPr>
          <w:trHeight w:val="67" w:hRule="atLeast"/>
          <w:jc w:val="center"/>
        </w:trPr>
        <w:tc>
          <w:tcPr>
            <w:tcW w:w="455" w:type="pct"/>
            <w:tcBorders>
              <w:top w:val="single" w:color="auto" w:sz="4" w:space="0"/>
              <w:left w:val="single" w:color="auto" w:sz="4" w:space="0"/>
              <w:bottom w:val="single" w:color="auto" w:sz="4" w:space="0"/>
              <w:right w:val="single" w:color="auto" w:sz="4" w:space="0"/>
            </w:tcBorders>
            <w:vAlign w:val="center"/>
          </w:tcPr>
          <w:p w14:paraId="4FDE8616">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8</w:t>
            </w:r>
          </w:p>
        </w:tc>
        <w:tc>
          <w:tcPr>
            <w:tcW w:w="4545" w:type="pct"/>
            <w:gridSpan w:val="3"/>
            <w:tcBorders>
              <w:top w:val="single" w:color="auto" w:sz="4" w:space="0"/>
              <w:left w:val="nil"/>
              <w:bottom w:val="single" w:color="auto" w:sz="4" w:space="0"/>
              <w:right w:val="single" w:color="auto" w:sz="4" w:space="0"/>
            </w:tcBorders>
            <w:vAlign w:val="center"/>
          </w:tcPr>
          <w:p w14:paraId="26CADCD3">
            <w:pPr>
              <w:widowControl/>
              <w:spacing w:line="360" w:lineRule="auto"/>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 xml:space="preserve">其他无效情形： </w:t>
            </w:r>
          </w:p>
        </w:tc>
      </w:tr>
      <w:tr w14:paraId="3D21DA95">
        <w:tblPrEx>
          <w:tblCellMar>
            <w:top w:w="0" w:type="dxa"/>
            <w:left w:w="108" w:type="dxa"/>
            <w:bottom w:w="0" w:type="dxa"/>
            <w:right w:w="108" w:type="dxa"/>
          </w:tblCellMar>
        </w:tblPrEx>
        <w:trPr>
          <w:trHeight w:val="67" w:hRule="atLeast"/>
          <w:jc w:val="center"/>
        </w:trPr>
        <w:tc>
          <w:tcPr>
            <w:tcW w:w="455" w:type="pct"/>
            <w:tcBorders>
              <w:top w:val="single" w:color="auto" w:sz="4" w:space="0"/>
              <w:left w:val="single" w:color="auto" w:sz="4" w:space="0"/>
              <w:bottom w:val="single" w:color="auto" w:sz="4" w:space="0"/>
              <w:right w:val="single" w:color="auto" w:sz="4" w:space="0"/>
            </w:tcBorders>
            <w:vAlign w:val="center"/>
          </w:tcPr>
          <w:p w14:paraId="6F65C2FD">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1）</w:t>
            </w:r>
          </w:p>
        </w:tc>
        <w:tc>
          <w:tcPr>
            <w:tcW w:w="1023" w:type="pct"/>
            <w:tcBorders>
              <w:top w:val="single" w:color="auto" w:sz="4" w:space="0"/>
              <w:left w:val="nil"/>
              <w:bottom w:val="single" w:color="auto" w:sz="4" w:space="0"/>
              <w:right w:val="single" w:color="auto" w:sz="4" w:space="0"/>
            </w:tcBorders>
            <w:vAlign w:val="center"/>
          </w:tcPr>
          <w:p w14:paraId="2DF65F18">
            <w:pPr>
              <w:widowControl/>
              <w:spacing w:line="360" w:lineRule="auto"/>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公平竞争</w:t>
            </w:r>
          </w:p>
        </w:tc>
        <w:tc>
          <w:tcPr>
            <w:tcW w:w="2991" w:type="pct"/>
            <w:tcBorders>
              <w:top w:val="single" w:color="auto" w:sz="4" w:space="0"/>
              <w:left w:val="nil"/>
              <w:bottom w:val="single" w:color="auto" w:sz="4" w:space="0"/>
              <w:right w:val="single" w:color="auto" w:sz="4" w:space="0"/>
            </w:tcBorders>
            <w:vAlign w:val="center"/>
          </w:tcPr>
          <w:p w14:paraId="5FAAE6DF">
            <w:pPr>
              <w:widowControl/>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遵循公平竞争的原则，没有恶意串通投标或妨碍其他投标人的竞争行为，损害招标人或者其他投标人的合法权益</w:t>
            </w:r>
          </w:p>
        </w:tc>
        <w:tc>
          <w:tcPr>
            <w:tcW w:w="532" w:type="pct"/>
            <w:tcBorders>
              <w:top w:val="single" w:color="auto" w:sz="4" w:space="0"/>
              <w:left w:val="nil"/>
              <w:bottom w:val="single" w:color="auto" w:sz="4" w:space="0"/>
              <w:right w:val="single" w:color="auto" w:sz="4" w:space="0"/>
            </w:tcBorders>
            <w:vAlign w:val="center"/>
          </w:tcPr>
          <w:p w14:paraId="3A67D9F8">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p>
        </w:tc>
      </w:tr>
      <w:tr w14:paraId="6056EAFB">
        <w:tblPrEx>
          <w:tblCellMar>
            <w:top w:w="0" w:type="dxa"/>
            <w:left w:w="108" w:type="dxa"/>
            <w:bottom w:w="0" w:type="dxa"/>
            <w:right w:w="108" w:type="dxa"/>
          </w:tblCellMar>
        </w:tblPrEx>
        <w:trPr>
          <w:trHeight w:val="67" w:hRule="atLeast"/>
          <w:jc w:val="center"/>
        </w:trPr>
        <w:tc>
          <w:tcPr>
            <w:tcW w:w="455" w:type="pct"/>
            <w:tcBorders>
              <w:top w:val="single" w:color="auto" w:sz="4" w:space="0"/>
              <w:left w:val="single" w:color="auto" w:sz="4" w:space="0"/>
              <w:bottom w:val="single" w:color="auto" w:sz="4" w:space="0"/>
              <w:right w:val="single" w:color="auto" w:sz="4" w:space="0"/>
            </w:tcBorders>
            <w:vAlign w:val="center"/>
          </w:tcPr>
          <w:p w14:paraId="56CB57A6">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2）</w:t>
            </w:r>
          </w:p>
        </w:tc>
        <w:tc>
          <w:tcPr>
            <w:tcW w:w="1023" w:type="pct"/>
            <w:tcBorders>
              <w:top w:val="single" w:color="auto" w:sz="4" w:space="0"/>
              <w:left w:val="nil"/>
              <w:bottom w:val="single" w:color="auto" w:sz="4" w:space="0"/>
              <w:right w:val="single" w:color="auto" w:sz="4" w:space="0"/>
            </w:tcBorders>
            <w:vAlign w:val="center"/>
          </w:tcPr>
          <w:p w14:paraId="51EE6D1F">
            <w:pPr>
              <w:widowControl/>
              <w:spacing w:line="360" w:lineRule="auto"/>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投标文件格式</w:t>
            </w:r>
          </w:p>
        </w:tc>
        <w:tc>
          <w:tcPr>
            <w:tcW w:w="2991" w:type="pct"/>
            <w:tcBorders>
              <w:top w:val="single" w:color="auto" w:sz="4" w:space="0"/>
              <w:left w:val="nil"/>
              <w:bottom w:val="single" w:color="auto" w:sz="4" w:space="0"/>
              <w:right w:val="single" w:color="auto" w:sz="4" w:space="0"/>
            </w:tcBorders>
            <w:vAlign w:val="center"/>
          </w:tcPr>
          <w:p w14:paraId="42DD14BB">
            <w:pPr>
              <w:widowControl/>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资格证明文件不全、失效或不符合招标文件要求的</w:t>
            </w:r>
          </w:p>
          <w:p w14:paraId="367114F0">
            <w:pPr>
              <w:widowControl/>
              <w:spacing w:line="360" w:lineRule="auto"/>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投标文件按规定的格式填写，内容完整且关键字迹清晰</w:t>
            </w:r>
          </w:p>
        </w:tc>
        <w:tc>
          <w:tcPr>
            <w:tcW w:w="532" w:type="pct"/>
            <w:tcBorders>
              <w:top w:val="single" w:color="auto" w:sz="4" w:space="0"/>
              <w:left w:val="nil"/>
              <w:bottom w:val="single" w:color="auto" w:sz="4" w:space="0"/>
              <w:right w:val="single" w:color="auto" w:sz="4" w:space="0"/>
            </w:tcBorders>
            <w:vAlign w:val="center"/>
          </w:tcPr>
          <w:p w14:paraId="2B3D0E36">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p>
        </w:tc>
      </w:tr>
      <w:tr w14:paraId="47DA4416">
        <w:tblPrEx>
          <w:tblCellMar>
            <w:top w:w="0" w:type="dxa"/>
            <w:left w:w="108" w:type="dxa"/>
            <w:bottom w:w="0" w:type="dxa"/>
            <w:right w:w="108" w:type="dxa"/>
          </w:tblCellMar>
        </w:tblPrEx>
        <w:trPr>
          <w:trHeight w:val="67" w:hRule="atLeast"/>
          <w:jc w:val="center"/>
        </w:trPr>
        <w:tc>
          <w:tcPr>
            <w:tcW w:w="455" w:type="pct"/>
            <w:tcBorders>
              <w:top w:val="single" w:color="auto" w:sz="4" w:space="0"/>
              <w:left w:val="single" w:color="auto" w:sz="4" w:space="0"/>
              <w:bottom w:val="single" w:color="auto" w:sz="4" w:space="0"/>
              <w:right w:val="single" w:color="auto" w:sz="4" w:space="0"/>
            </w:tcBorders>
            <w:vAlign w:val="center"/>
          </w:tcPr>
          <w:p w14:paraId="01819653">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3）</w:t>
            </w:r>
          </w:p>
        </w:tc>
        <w:tc>
          <w:tcPr>
            <w:tcW w:w="1023" w:type="pct"/>
            <w:tcBorders>
              <w:top w:val="single" w:color="auto" w:sz="4" w:space="0"/>
              <w:left w:val="nil"/>
              <w:bottom w:val="single" w:color="auto" w:sz="4" w:space="0"/>
              <w:right w:val="single" w:color="auto" w:sz="4" w:space="0"/>
            </w:tcBorders>
            <w:vAlign w:val="center"/>
          </w:tcPr>
          <w:p w14:paraId="63709A49">
            <w:pPr>
              <w:widowControl/>
              <w:spacing w:line="360" w:lineRule="auto"/>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bidi="ar"/>
                <w14:textFill>
                  <w14:solidFill>
                    <w14:schemeClr w14:val="tx1"/>
                  </w14:solidFill>
                </w14:textFill>
              </w:rPr>
              <w:t>★条款（如有）</w:t>
            </w:r>
          </w:p>
        </w:tc>
        <w:tc>
          <w:tcPr>
            <w:tcW w:w="2991" w:type="pct"/>
            <w:tcBorders>
              <w:top w:val="single" w:color="auto" w:sz="4" w:space="0"/>
              <w:left w:val="nil"/>
              <w:bottom w:val="single" w:color="auto" w:sz="4" w:space="0"/>
              <w:right w:val="single" w:color="auto" w:sz="4" w:space="0"/>
            </w:tcBorders>
            <w:vAlign w:val="center"/>
          </w:tcPr>
          <w:p w14:paraId="71DBBBD5">
            <w:pPr>
              <w:widowControl/>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4"/>
                <w:highlight w:val="none"/>
                <w14:textFill>
                  <w14:solidFill>
                    <w14:schemeClr w14:val="tx1"/>
                  </w14:solidFill>
                </w14:textFill>
              </w:rPr>
              <w:t>满足招标文件中</w:t>
            </w:r>
            <w:r>
              <w:rPr>
                <w:rFonts w:hint="default" w:ascii="Times New Roman Regular" w:hAnsi="Times New Roman Regular" w:eastAsia="宋体" w:cs="Times New Roman Regular"/>
                <w:color w:val="000000" w:themeColor="text1"/>
                <w:szCs w:val="21"/>
                <w:highlight w:val="none"/>
                <w:lang w:bidi="ar"/>
                <w14:textFill>
                  <w14:solidFill>
                    <w14:schemeClr w14:val="tx1"/>
                  </w14:solidFill>
                </w14:textFill>
              </w:rPr>
              <w:t>★条款</w:t>
            </w:r>
            <w:r>
              <w:rPr>
                <w:rFonts w:hint="default" w:ascii="Times New Roman Regular" w:hAnsi="Times New Roman Regular" w:eastAsia="宋体" w:cs="Times New Roman Regular"/>
                <w:color w:val="000000" w:themeColor="text1"/>
                <w:szCs w:val="24"/>
                <w:highlight w:val="none"/>
                <w14:textFill>
                  <w14:solidFill>
                    <w14:schemeClr w14:val="tx1"/>
                  </w14:solidFill>
                </w14:textFill>
              </w:rPr>
              <w:t>要求</w:t>
            </w:r>
          </w:p>
        </w:tc>
        <w:tc>
          <w:tcPr>
            <w:tcW w:w="532" w:type="pct"/>
            <w:tcBorders>
              <w:top w:val="single" w:color="auto" w:sz="4" w:space="0"/>
              <w:left w:val="nil"/>
              <w:bottom w:val="single" w:color="auto" w:sz="4" w:space="0"/>
              <w:right w:val="single" w:color="auto" w:sz="4" w:space="0"/>
            </w:tcBorders>
            <w:vAlign w:val="center"/>
          </w:tcPr>
          <w:p w14:paraId="15C1D377">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p>
        </w:tc>
      </w:tr>
      <w:tr w14:paraId="6C10221F">
        <w:tblPrEx>
          <w:tblCellMar>
            <w:top w:w="0" w:type="dxa"/>
            <w:left w:w="108" w:type="dxa"/>
            <w:bottom w:w="0" w:type="dxa"/>
            <w:right w:w="108" w:type="dxa"/>
          </w:tblCellMar>
        </w:tblPrEx>
        <w:trPr>
          <w:trHeight w:val="67" w:hRule="atLeast"/>
          <w:jc w:val="center"/>
        </w:trPr>
        <w:tc>
          <w:tcPr>
            <w:tcW w:w="455" w:type="pct"/>
            <w:tcBorders>
              <w:top w:val="single" w:color="auto" w:sz="4" w:space="0"/>
              <w:left w:val="single" w:color="auto" w:sz="4" w:space="0"/>
              <w:bottom w:val="single" w:color="auto" w:sz="4" w:space="0"/>
              <w:right w:val="single" w:color="auto" w:sz="4" w:space="0"/>
            </w:tcBorders>
            <w:vAlign w:val="center"/>
          </w:tcPr>
          <w:p w14:paraId="1B72E140">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4）</w:t>
            </w:r>
          </w:p>
        </w:tc>
        <w:tc>
          <w:tcPr>
            <w:tcW w:w="1023" w:type="pct"/>
            <w:tcBorders>
              <w:top w:val="single" w:color="auto" w:sz="4" w:space="0"/>
              <w:left w:val="nil"/>
              <w:bottom w:val="single" w:color="auto" w:sz="4" w:space="0"/>
              <w:right w:val="single" w:color="auto" w:sz="4" w:space="0"/>
            </w:tcBorders>
            <w:vAlign w:val="center"/>
          </w:tcPr>
          <w:p w14:paraId="21382540">
            <w:pPr>
              <w:widowControl/>
              <w:spacing w:line="360" w:lineRule="auto"/>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4"/>
                <w:highlight w:val="none"/>
                <w14:textFill>
                  <w14:solidFill>
                    <w14:schemeClr w14:val="tx1"/>
                  </w14:solidFill>
                </w14:textFill>
              </w:rPr>
              <w:t>其他实质性要求</w:t>
            </w:r>
          </w:p>
        </w:tc>
        <w:tc>
          <w:tcPr>
            <w:tcW w:w="2991" w:type="pct"/>
            <w:tcBorders>
              <w:top w:val="single" w:color="auto" w:sz="4" w:space="0"/>
              <w:left w:val="nil"/>
              <w:bottom w:val="single" w:color="auto" w:sz="4" w:space="0"/>
              <w:right w:val="single" w:color="auto" w:sz="4" w:space="0"/>
            </w:tcBorders>
            <w:vAlign w:val="center"/>
          </w:tcPr>
          <w:p w14:paraId="01F9C94B">
            <w:pPr>
              <w:widowControl/>
              <w:spacing w:line="360" w:lineRule="auto"/>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4"/>
                <w:highlight w:val="none"/>
                <w14:textFill>
                  <w14:solidFill>
                    <w14:schemeClr w14:val="tx1"/>
                  </w14:solidFill>
                </w14:textFill>
              </w:rPr>
              <w:t>满足招标文件中规定的其他实质性要求</w:t>
            </w:r>
          </w:p>
        </w:tc>
        <w:tc>
          <w:tcPr>
            <w:tcW w:w="532" w:type="pct"/>
            <w:tcBorders>
              <w:top w:val="single" w:color="auto" w:sz="4" w:space="0"/>
              <w:left w:val="nil"/>
              <w:bottom w:val="single" w:color="auto" w:sz="4" w:space="0"/>
              <w:right w:val="single" w:color="auto" w:sz="4" w:space="0"/>
            </w:tcBorders>
            <w:vAlign w:val="center"/>
          </w:tcPr>
          <w:p w14:paraId="66ABE8D5">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p>
        </w:tc>
      </w:tr>
      <w:tr w14:paraId="5895A2B3">
        <w:tblPrEx>
          <w:tblCellMar>
            <w:top w:w="0" w:type="dxa"/>
            <w:left w:w="108" w:type="dxa"/>
            <w:bottom w:w="0" w:type="dxa"/>
            <w:right w:w="108" w:type="dxa"/>
          </w:tblCellMar>
        </w:tblPrEx>
        <w:trPr>
          <w:trHeight w:val="119" w:hRule="atLeast"/>
          <w:jc w:val="center"/>
        </w:trPr>
        <w:tc>
          <w:tcPr>
            <w:tcW w:w="4468" w:type="pct"/>
            <w:gridSpan w:val="3"/>
            <w:tcBorders>
              <w:top w:val="single" w:color="auto" w:sz="4" w:space="0"/>
              <w:left w:val="single" w:color="auto" w:sz="4" w:space="0"/>
              <w:bottom w:val="single" w:color="auto" w:sz="4" w:space="0"/>
              <w:right w:val="single" w:color="auto" w:sz="4" w:space="0"/>
            </w:tcBorders>
            <w:vAlign w:val="center"/>
          </w:tcPr>
          <w:p w14:paraId="41FA01F0">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t>综合结论(通过/不通过）</w:t>
            </w:r>
          </w:p>
        </w:tc>
        <w:tc>
          <w:tcPr>
            <w:tcW w:w="532" w:type="pct"/>
            <w:tcBorders>
              <w:top w:val="single" w:color="auto" w:sz="4" w:space="0"/>
              <w:left w:val="nil"/>
              <w:bottom w:val="single" w:color="auto" w:sz="4" w:space="0"/>
              <w:right w:val="single" w:color="auto" w:sz="4" w:space="0"/>
            </w:tcBorders>
            <w:vAlign w:val="center"/>
          </w:tcPr>
          <w:p w14:paraId="2F2925A3">
            <w:pPr>
              <w:widowControl/>
              <w:spacing w:line="360" w:lineRule="auto"/>
              <w:jc w:val="center"/>
              <w:rPr>
                <w:rFonts w:hint="default" w:ascii="Times New Roman Regular" w:hAnsi="Times New Roman Regular" w:eastAsia="宋体" w:cs="Times New Roman Regular"/>
                <w:color w:val="000000" w:themeColor="text1"/>
                <w:kern w:val="0"/>
                <w:szCs w:val="24"/>
                <w:highlight w:val="none"/>
                <w14:textFill>
                  <w14:solidFill>
                    <w14:schemeClr w14:val="tx1"/>
                  </w14:solidFill>
                </w14:textFill>
              </w:rPr>
            </w:pPr>
          </w:p>
        </w:tc>
      </w:tr>
    </w:tbl>
    <w:p w14:paraId="7F8F879D">
      <w:pPr>
        <w:pStyle w:val="9"/>
        <w:spacing w:after="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注：</w:t>
      </w:r>
    </w:p>
    <w:p w14:paraId="40528307">
      <w:pPr>
        <w:tabs>
          <w:tab w:val="left" w:pos="1260"/>
          <w:tab w:val="left" w:pos="1620"/>
        </w:tabs>
        <w:adjustRightInd w:val="0"/>
        <w:spacing w:line="360" w:lineRule="auto"/>
        <w:jc w:val="left"/>
        <w:textAlignment w:val="baseline"/>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1、评审结论：符合用“√”表示，不符合用“×”表示。有一项不符合要求，综合结论为不通过。</w:t>
      </w:r>
    </w:p>
    <w:p w14:paraId="38797A16">
      <w:pPr>
        <w:tabs>
          <w:tab w:val="left" w:pos="1260"/>
          <w:tab w:val="left" w:pos="1620"/>
        </w:tabs>
        <w:adjustRightInd w:val="0"/>
        <w:spacing w:line="360" w:lineRule="auto"/>
        <w:jc w:val="left"/>
        <w:textAlignment w:val="baseline"/>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2、进行符合性审查过程中，评标委员会成员意见不同时，按少数服从多数的原则确定。</w:t>
      </w:r>
    </w:p>
    <w:p w14:paraId="274D6FF7">
      <w:pPr>
        <w:tabs>
          <w:tab w:val="left" w:pos="1260"/>
          <w:tab w:val="left" w:pos="1620"/>
        </w:tabs>
        <w:adjustRightInd w:val="0"/>
        <w:spacing w:line="360" w:lineRule="auto"/>
        <w:jc w:val="left"/>
        <w:textAlignment w:val="baseline"/>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3、弄虚作假、相互串通投标的情形：</w:t>
      </w:r>
    </w:p>
    <w:p w14:paraId="60CD25A1">
      <w:pPr>
        <w:tabs>
          <w:tab w:val="left" w:pos="1260"/>
          <w:tab w:val="left" w:pos="1620"/>
        </w:tabs>
        <w:adjustRightInd w:val="0"/>
        <w:spacing w:line="360" w:lineRule="auto"/>
        <w:jc w:val="left"/>
        <w:textAlignment w:val="baseline"/>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1）有下列情形之一的，视为投标人相互串通：</w:t>
      </w:r>
    </w:p>
    <w:p w14:paraId="39297598">
      <w:pPr>
        <w:tabs>
          <w:tab w:val="left" w:pos="1260"/>
          <w:tab w:val="left" w:pos="1620"/>
        </w:tabs>
        <w:adjustRightInd w:val="0"/>
        <w:spacing w:line="360" w:lineRule="auto"/>
        <w:ind w:left="424" w:leftChars="202"/>
        <w:jc w:val="left"/>
        <w:textAlignment w:val="baseline"/>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（1）不同投标人的投标文件由同一单位或者个人编制；</w:t>
      </w:r>
    </w:p>
    <w:p w14:paraId="06911579">
      <w:pPr>
        <w:tabs>
          <w:tab w:val="left" w:pos="1260"/>
          <w:tab w:val="left" w:pos="1620"/>
        </w:tabs>
        <w:adjustRightInd w:val="0"/>
        <w:spacing w:line="360" w:lineRule="auto"/>
        <w:ind w:left="424" w:leftChars="202"/>
        <w:jc w:val="left"/>
        <w:textAlignment w:val="baseline"/>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（2）不同投标人委托同一单位或者个人办理投标事宜；</w:t>
      </w:r>
    </w:p>
    <w:p w14:paraId="06F180DA">
      <w:pPr>
        <w:tabs>
          <w:tab w:val="left" w:pos="1260"/>
          <w:tab w:val="left" w:pos="1620"/>
        </w:tabs>
        <w:adjustRightInd w:val="0"/>
        <w:spacing w:line="360" w:lineRule="auto"/>
        <w:ind w:left="424" w:leftChars="202"/>
        <w:jc w:val="left"/>
        <w:textAlignment w:val="baseline"/>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（3）不同投标人的投标文件载明的项目管理成员或者联系人员为同一人；</w:t>
      </w:r>
    </w:p>
    <w:p w14:paraId="79E8E004">
      <w:pPr>
        <w:tabs>
          <w:tab w:val="left" w:pos="1260"/>
          <w:tab w:val="left" w:pos="1620"/>
        </w:tabs>
        <w:adjustRightInd w:val="0"/>
        <w:spacing w:line="360" w:lineRule="auto"/>
        <w:ind w:left="424" w:leftChars="202"/>
        <w:jc w:val="left"/>
        <w:textAlignment w:val="baseline"/>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（4）不同投标人的投标文件异常一致或者投标报价呈规律性差异；</w:t>
      </w:r>
    </w:p>
    <w:p w14:paraId="75E6FBD3">
      <w:pPr>
        <w:tabs>
          <w:tab w:val="left" w:pos="1260"/>
          <w:tab w:val="left" w:pos="1620"/>
        </w:tabs>
        <w:adjustRightInd w:val="0"/>
        <w:spacing w:line="360" w:lineRule="auto"/>
        <w:ind w:left="424" w:leftChars="202"/>
        <w:jc w:val="left"/>
        <w:textAlignment w:val="baseline"/>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（5）不同投标人的投标文件相互混装；</w:t>
      </w:r>
    </w:p>
    <w:p w14:paraId="3957CFF4">
      <w:pPr>
        <w:pStyle w:val="9"/>
        <w:spacing w:after="0" w:line="360" w:lineRule="auto"/>
        <w:ind w:firstLine="420" w:firstLineChars="20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（6）不同投标人的投标保证金从同一单位或者个人的账户转出。</w:t>
      </w:r>
    </w:p>
    <w:p w14:paraId="78D198AE">
      <w:pPr>
        <w:pStyle w:val="9"/>
        <w:spacing w:after="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2）有下列情形之一的，属于提供虚假材料谋取中标的行为：</w:t>
      </w:r>
    </w:p>
    <w:p w14:paraId="1BDB51A3">
      <w:pPr>
        <w:tabs>
          <w:tab w:val="left" w:pos="1260"/>
          <w:tab w:val="left" w:pos="1620"/>
        </w:tabs>
        <w:adjustRightInd w:val="0"/>
        <w:spacing w:line="360" w:lineRule="auto"/>
        <w:ind w:left="424" w:leftChars="202"/>
        <w:jc w:val="left"/>
        <w:textAlignment w:val="baseline"/>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（1）使用伪造、变造的许可证件；</w:t>
      </w:r>
    </w:p>
    <w:p w14:paraId="47D78898">
      <w:pPr>
        <w:tabs>
          <w:tab w:val="left" w:pos="1260"/>
          <w:tab w:val="left" w:pos="1620"/>
        </w:tabs>
        <w:adjustRightInd w:val="0"/>
        <w:spacing w:line="360" w:lineRule="auto"/>
        <w:ind w:left="424" w:leftChars="202"/>
        <w:jc w:val="left"/>
        <w:textAlignment w:val="baseline"/>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（2）提供虚假的财务状况或者业绩；</w:t>
      </w:r>
    </w:p>
    <w:p w14:paraId="32A019C5">
      <w:pPr>
        <w:tabs>
          <w:tab w:val="left" w:pos="1260"/>
          <w:tab w:val="left" w:pos="1620"/>
        </w:tabs>
        <w:adjustRightInd w:val="0"/>
        <w:spacing w:line="360" w:lineRule="auto"/>
        <w:ind w:left="424" w:leftChars="202"/>
        <w:jc w:val="left"/>
        <w:textAlignment w:val="baseline"/>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（3）提供虚假的项目负责人或者主要技术人员简历、劳动关系证明；</w:t>
      </w:r>
    </w:p>
    <w:p w14:paraId="43095948">
      <w:pPr>
        <w:tabs>
          <w:tab w:val="left" w:pos="1260"/>
          <w:tab w:val="left" w:pos="1620"/>
        </w:tabs>
        <w:adjustRightInd w:val="0"/>
        <w:spacing w:line="360" w:lineRule="auto"/>
        <w:ind w:left="424" w:leftChars="202"/>
        <w:jc w:val="left"/>
        <w:textAlignment w:val="baseline"/>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（4）提供虚假的信用状况；</w:t>
      </w:r>
    </w:p>
    <w:p w14:paraId="58B2FA45">
      <w:pPr>
        <w:pStyle w:val="9"/>
        <w:spacing w:after="0" w:line="360" w:lineRule="auto"/>
        <w:ind w:firstLine="420" w:firstLineChars="20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（5）其他弄虚作假的行为。</w:t>
      </w:r>
    </w:p>
    <w:p w14:paraId="666DE88F">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0434D79B">
      <w:pPr>
        <w:bidi w:val="0"/>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111D94DF">
      <w:pPr>
        <w:bidi w:val="0"/>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7E8E9946">
      <w:pPr>
        <w:bidi w:val="0"/>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09603F0F">
      <w:pP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br w:type="page"/>
      </w:r>
    </w:p>
    <w:p w14:paraId="0025AA8E">
      <w:pPr>
        <w:adjustRightInd w:val="0"/>
        <w:snapToGrid w:val="0"/>
        <w:spacing w:line="360" w:lineRule="auto"/>
        <w:outlineLvl w:val="0"/>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bookmarkStart w:id="62" w:name="_Toc1080857690"/>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附表3：综合评分标准</w:t>
      </w:r>
      <w:bookmarkEnd w:id="62"/>
    </w:p>
    <w:p w14:paraId="305F8580">
      <w:pPr>
        <w:spacing w:line="360" w:lineRule="auto"/>
        <w:jc w:val="center"/>
        <w:rPr>
          <w:rFonts w:hint="default" w:ascii="Times New Roman Regular" w:hAnsi="Times New Roman Regular" w:eastAsia="宋体" w:cs="Times New Roman Regular"/>
          <w:b/>
          <w:color w:val="000000" w:themeColor="text1"/>
          <w:sz w:val="30"/>
          <w:szCs w:val="30"/>
          <w:highlight w:val="none"/>
          <w14:textFill>
            <w14:solidFill>
              <w14:schemeClr w14:val="tx1"/>
            </w14:solidFill>
          </w14:textFill>
        </w:rPr>
      </w:pPr>
      <w:r>
        <w:rPr>
          <w:rFonts w:hint="default" w:ascii="Times New Roman Regular" w:hAnsi="Times New Roman Regular" w:eastAsia="宋体" w:cs="Times New Roman Regular"/>
          <w:b/>
          <w:color w:val="000000" w:themeColor="text1"/>
          <w:sz w:val="30"/>
          <w:szCs w:val="30"/>
          <w:highlight w:val="none"/>
          <w14:textFill>
            <w14:solidFill>
              <w14:schemeClr w14:val="tx1"/>
            </w14:solidFill>
          </w14:textFill>
        </w:rPr>
        <w:t>采用综合评分法</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5" w:type="dxa"/>
          <w:left w:w="96" w:type="dxa"/>
          <w:bottom w:w="45" w:type="dxa"/>
          <w:right w:w="96" w:type="dxa"/>
        </w:tblCellMar>
      </w:tblPr>
      <w:tblGrid>
        <w:gridCol w:w="575"/>
        <w:gridCol w:w="1368"/>
        <w:gridCol w:w="1463"/>
        <w:gridCol w:w="4513"/>
        <w:gridCol w:w="576"/>
      </w:tblGrid>
      <w:tr w14:paraId="07DB5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tblHeader/>
        </w:trPr>
        <w:tc>
          <w:tcPr>
            <w:tcW w:w="431" w:type="pct"/>
            <w:vAlign w:val="center"/>
          </w:tcPr>
          <w:p w14:paraId="32AEB7A2">
            <w:pPr>
              <w:snapToGrid w:val="0"/>
              <w:spacing w:line="360" w:lineRule="exact"/>
              <w:jc w:val="center"/>
              <w:rPr>
                <w:rFonts w:hint="eastAsia" w:ascii="仿宋" w:hAnsi="仿宋" w:eastAsia="仿宋" w:cs="仿宋_GB2312"/>
                <w:b/>
                <w:color w:val="000000" w:themeColor="text1"/>
                <w:sz w:val="24"/>
                <w:highlight w:val="none"/>
                <w:lang w:eastAsia="zh-CN"/>
                <w14:textFill>
                  <w14:solidFill>
                    <w14:schemeClr w14:val="tx1"/>
                  </w14:solidFill>
                </w14:textFill>
              </w:rPr>
            </w:pPr>
            <w:r>
              <w:rPr>
                <w:rFonts w:hint="eastAsia" w:ascii="仿宋" w:hAnsi="仿宋" w:eastAsia="仿宋" w:cs="仿宋_GB2312"/>
                <w:b/>
                <w:color w:val="000000" w:themeColor="text1"/>
                <w:sz w:val="24"/>
                <w:highlight w:val="none"/>
                <w:lang w:eastAsia="zh-CN"/>
                <w14:textFill>
                  <w14:solidFill>
                    <w14:schemeClr w14:val="tx1"/>
                  </w14:solidFill>
                </w14:textFill>
              </w:rPr>
              <w:t>序号</w:t>
            </w:r>
          </w:p>
        </w:tc>
        <w:tc>
          <w:tcPr>
            <w:tcW w:w="898" w:type="pct"/>
            <w:vAlign w:val="center"/>
          </w:tcPr>
          <w:p w14:paraId="3597A7D4">
            <w:pPr>
              <w:snapToGrid w:val="0"/>
              <w:spacing w:line="360" w:lineRule="exact"/>
              <w:jc w:val="center"/>
              <w:rPr>
                <w:rFonts w:hint="eastAsia" w:ascii="仿宋" w:hAnsi="仿宋" w:eastAsia="仿宋" w:cs="仿宋_GB2312"/>
                <w:b/>
                <w:color w:val="000000" w:themeColor="text1"/>
                <w:sz w:val="24"/>
                <w:highlight w:val="none"/>
                <w:lang w:eastAsia="zh-CN"/>
                <w14:textFill>
                  <w14:solidFill>
                    <w14:schemeClr w14:val="tx1"/>
                  </w14:solidFill>
                </w14:textFill>
              </w:rPr>
            </w:pPr>
            <w:r>
              <w:rPr>
                <w:rFonts w:hint="eastAsia" w:ascii="仿宋" w:hAnsi="仿宋" w:eastAsia="仿宋" w:cs="仿宋_GB2312"/>
                <w:b/>
                <w:color w:val="000000" w:themeColor="text1"/>
                <w:sz w:val="24"/>
                <w:highlight w:val="none"/>
                <w:lang w:eastAsia="zh-CN"/>
                <w14:textFill>
                  <w14:solidFill>
                    <w14:schemeClr w14:val="tx1"/>
                  </w14:solidFill>
                </w14:textFill>
              </w:rPr>
              <w:t>总项及权重</w:t>
            </w:r>
          </w:p>
        </w:tc>
        <w:tc>
          <w:tcPr>
            <w:tcW w:w="954" w:type="pct"/>
            <w:vAlign w:val="center"/>
          </w:tcPr>
          <w:p w14:paraId="5D2DC889">
            <w:pPr>
              <w:snapToGrid w:val="0"/>
              <w:spacing w:line="360" w:lineRule="exact"/>
              <w:jc w:val="center"/>
              <w:rPr>
                <w:rFonts w:hint="eastAsia" w:ascii="仿宋" w:hAnsi="仿宋" w:eastAsia="仿宋" w:cs="仿宋_GB2312"/>
                <w:b/>
                <w:color w:val="000000" w:themeColor="text1"/>
                <w:sz w:val="24"/>
                <w:highlight w:val="none"/>
                <w:lang w:eastAsia="zh-CN"/>
                <w14:textFill>
                  <w14:solidFill>
                    <w14:schemeClr w14:val="tx1"/>
                  </w14:solidFill>
                </w14:textFill>
              </w:rPr>
            </w:pPr>
            <w:r>
              <w:rPr>
                <w:rFonts w:hint="eastAsia" w:ascii="仿宋" w:hAnsi="仿宋" w:eastAsia="仿宋" w:cs="仿宋_GB2312"/>
                <w:b/>
                <w:color w:val="000000" w:themeColor="text1"/>
                <w:sz w:val="24"/>
                <w:highlight w:val="none"/>
                <w:lang w:eastAsia="zh-CN"/>
                <w14:textFill>
                  <w14:solidFill>
                    <w14:schemeClr w14:val="tx1"/>
                  </w14:solidFill>
                </w14:textFill>
              </w:rPr>
              <w:t>分项</w:t>
            </w:r>
          </w:p>
        </w:tc>
        <w:tc>
          <w:tcPr>
            <w:tcW w:w="2284" w:type="pct"/>
            <w:vAlign w:val="center"/>
          </w:tcPr>
          <w:p w14:paraId="2B48ABF6">
            <w:pPr>
              <w:snapToGrid w:val="0"/>
              <w:spacing w:line="360" w:lineRule="exact"/>
              <w:jc w:val="center"/>
              <w:rPr>
                <w:rFonts w:hint="eastAsia" w:ascii="仿宋" w:hAnsi="仿宋" w:eastAsia="仿宋" w:cs="仿宋_GB2312"/>
                <w:b/>
                <w:color w:val="000000" w:themeColor="text1"/>
                <w:sz w:val="24"/>
                <w:highlight w:val="none"/>
                <w:lang w:eastAsia="zh-CN"/>
                <w14:textFill>
                  <w14:solidFill>
                    <w14:schemeClr w14:val="tx1"/>
                  </w14:solidFill>
                </w14:textFill>
              </w:rPr>
            </w:pPr>
            <w:r>
              <w:rPr>
                <w:rFonts w:hint="eastAsia" w:ascii="仿宋" w:hAnsi="仿宋" w:eastAsia="仿宋" w:cs="仿宋_GB2312"/>
                <w:b/>
                <w:color w:val="000000" w:themeColor="text1"/>
                <w:sz w:val="24"/>
                <w:highlight w:val="none"/>
                <w:lang w:eastAsia="zh-CN"/>
                <w14:textFill>
                  <w14:solidFill>
                    <w14:schemeClr w14:val="tx1"/>
                  </w14:solidFill>
                </w14:textFill>
              </w:rPr>
              <w:t>评分要点</w:t>
            </w:r>
          </w:p>
        </w:tc>
        <w:tc>
          <w:tcPr>
            <w:tcW w:w="431" w:type="pct"/>
            <w:vAlign w:val="center"/>
          </w:tcPr>
          <w:p w14:paraId="6CF6DBA7">
            <w:pPr>
              <w:snapToGrid w:val="0"/>
              <w:spacing w:line="360" w:lineRule="exact"/>
              <w:jc w:val="center"/>
              <w:rPr>
                <w:rFonts w:hint="eastAsia" w:ascii="仿宋" w:hAnsi="仿宋" w:eastAsia="仿宋" w:cs="仿宋_GB2312"/>
                <w:b/>
                <w:color w:val="000000" w:themeColor="text1"/>
                <w:sz w:val="24"/>
                <w:highlight w:val="none"/>
                <w:lang w:eastAsia="zh-CN"/>
                <w14:textFill>
                  <w14:solidFill>
                    <w14:schemeClr w14:val="tx1"/>
                  </w14:solidFill>
                </w14:textFill>
              </w:rPr>
            </w:pPr>
            <w:r>
              <w:rPr>
                <w:rFonts w:hint="eastAsia" w:ascii="仿宋" w:hAnsi="仿宋" w:eastAsia="仿宋" w:cs="仿宋_GB2312"/>
                <w:b/>
                <w:color w:val="000000" w:themeColor="text1"/>
                <w:sz w:val="24"/>
                <w:highlight w:val="none"/>
                <w:lang w:eastAsia="zh-CN"/>
                <w14:textFill>
                  <w14:solidFill>
                    <w14:schemeClr w14:val="tx1"/>
                  </w14:solidFill>
                </w14:textFill>
              </w:rPr>
              <w:t>分值</w:t>
            </w:r>
          </w:p>
        </w:tc>
      </w:tr>
      <w:tr w14:paraId="24327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trPr>
        <w:tc>
          <w:tcPr>
            <w:tcW w:w="431" w:type="pct"/>
            <w:vAlign w:val="center"/>
          </w:tcPr>
          <w:p w14:paraId="33C8E718">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1</w:t>
            </w:r>
          </w:p>
        </w:tc>
        <w:tc>
          <w:tcPr>
            <w:tcW w:w="898" w:type="pct"/>
            <w:vAlign w:val="center"/>
          </w:tcPr>
          <w:p w14:paraId="02A31993">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价格部分</w:t>
            </w:r>
          </w:p>
          <w:p w14:paraId="405DF2E3">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w:t>
            </w:r>
            <w:r>
              <w:rPr>
                <w:rFonts w:ascii="仿宋" w:hAnsi="仿宋" w:eastAsia="仿宋" w:cs="仿宋_GB2312"/>
                <w:color w:val="000000" w:themeColor="text1"/>
                <w:sz w:val="24"/>
                <w:highlight w:val="none"/>
                <w14:textFill>
                  <w14:solidFill>
                    <w14:schemeClr w14:val="tx1"/>
                  </w14:solidFill>
                </w14:textFill>
              </w:rPr>
              <w:t>3</w:t>
            </w:r>
            <w:r>
              <w:rPr>
                <w:rFonts w:hint="eastAsia" w:ascii="仿宋" w:hAnsi="仿宋" w:eastAsia="仿宋" w:cs="仿宋_GB2312"/>
                <w:color w:val="000000" w:themeColor="text1"/>
                <w:sz w:val="24"/>
                <w:highlight w:val="none"/>
                <w14:textFill>
                  <w14:solidFill>
                    <w14:schemeClr w14:val="tx1"/>
                  </w14:solidFill>
                </w14:textFill>
              </w:rPr>
              <w:t>5%）</w:t>
            </w:r>
          </w:p>
        </w:tc>
        <w:tc>
          <w:tcPr>
            <w:tcW w:w="954" w:type="pct"/>
            <w:vAlign w:val="center"/>
          </w:tcPr>
          <w:p w14:paraId="72277FE4">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响应报价</w:t>
            </w:r>
          </w:p>
        </w:tc>
        <w:tc>
          <w:tcPr>
            <w:tcW w:w="2284" w:type="pct"/>
            <w:vAlign w:val="center"/>
          </w:tcPr>
          <w:p w14:paraId="2DF86E0A">
            <w:pPr>
              <w:snapToGrid w:val="0"/>
              <w:spacing w:line="360" w:lineRule="exact"/>
              <w:jc w:val="left"/>
              <w:rPr>
                <w:rFonts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按如下公式计算得出各供应商的价格得分：</w:t>
            </w:r>
          </w:p>
          <w:p w14:paraId="36DFF700">
            <w:pPr>
              <w:snapToGrid w:val="0"/>
              <w:spacing w:line="360" w:lineRule="exact"/>
              <w:jc w:val="left"/>
              <w:rPr>
                <w:rFonts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响应报价得分=（评分基准价/报价）×35，得分保留小数点后两位。</w:t>
            </w:r>
          </w:p>
          <w:p w14:paraId="396FEDEA">
            <w:pPr>
              <w:snapToGrid w:val="0"/>
              <w:spacing w:line="360" w:lineRule="exact"/>
              <w:jc w:val="left"/>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注：满足采购文件要求且供应商价格最低的报价为评分基准价。</w:t>
            </w:r>
          </w:p>
        </w:tc>
        <w:tc>
          <w:tcPr>
            <w:tcW w:w="431" w:type="pct"/>
            <w:vAlign w:val="center"/>
          </w:tcPr>
          <w:p w14:paraId="0D0D216D">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r>
              <w:rPr>
                <w:rFonts w:ascii="仿宋" w:hAnsi="仿宋" w:eastAsia="仿宋" w:cs="仿宋_GB2312"/>
                <w:color w:val="000000" w:themeColor="text1"/>
                <w:sz w:val="24"/>
                <w:highlight w:val="none"/>
                <w14:textFill>
                  <w14:solidFill>
                    <w14:schemeClr w14:val="tx1"/>
                  </w14:solidFill>
                </w14:textFill>
              </w:rPr>
              <w:t>3</w:t>
            </w:r>
            <w:r>
              <w:rPr>
                <w:rFonts w:hint="eastAsia" w:ascii="仿宋" w:hAnsi="仿宋" w:eastAsia="仿宋" w:cs="仿宋_GB2312"/>
                <w:color w:val="000000" w:themeColor="text1"/>
                <w:sz w:val="24"/>
                <w:highlight w:val="none"/>
                <w14:textFill>
                  <w14:solidFill>
                    <w14:schemeClr w14:val="tx1"/>
                  </w14:solidFill>
                </w14:textFill>
              </w:rPr>
              <w:t>5</w:t>
            </w:r>
          </w:p>
        </w:tc>
      </w:tr>
      <w:tr w14:paraId="4D5D0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trPr>
        <w:tc>
          <w:tcPr>
            <w:tcW w:w="431" w:type="pct"/>
            <w:vAlign w:val="center"/>
          </w:tcPr>
          <w:p w14:paraId="250B2711">
            <w:pPr>
              <w:widowControl/>
              <w:snapToGrid w:val="0"/>
              <w:jc w:val="center"/>
              <w:rPr>
                <w:rFonts w:hint="eastAsia" w:ascii="仿宋" w:hAnsi="仿宋" w:eastAsia="仿宋" w:cs="仿宋_GB2312"/>
                <w:color w:val="000000" w:themeColor="text1"/>
                <w:sz w:val="24"/>
                <w:highlight w:val="none"/>
                <w:lang w:eastAsia="zh-CN"/>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2</w:t>
            </w:r>
          </w:p>
        </w:tc>
        <w:tc>
          <w:tcPr>
            <w:tcW w:w="898" w:type="pct"/>
            <w:vMerge w:val="restart"/>
            <w:vAlign w:val="center"/>
          </w:tcPr>
          <w:p w14:paraId="2B6DA64A">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商务部分</w:t>
            </w:r>
          </w:p>
          <w:p w14:paraId="4699F935">
            <w:pPr>
              <w:widowControl/>
              <w:snapToGrid w:val="0"/>
              <w:jc w:val="center"/>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w:t>
            </w:r>
            <w:r>
              <w:rPr>
                <w:rFonts w:hint="eastAsia" w:ascii="仿宋" w:hAnsi="仿宋" w:eastAsia="仿宋" w:cs="仿宋_GB2312"/>
                <w:color w:val="000000" w:themeColor="text1"/>
                <w:sz w:val="24"/>
                <w:highlight w:val="none"/>
                <w:lang w:val="en-US" w:eastAsia="zh-CN"/>
                <w14:textFill>
                  <w14:solidFill>
                    <w14:schemeClr w14:val="tx1"/>
                  </w14:solidFill>
                </w14:textFill>
              </w:rPr>
              <w:t>8</w:t>
            </w:r>
            <w:r>
              <w:rPr>
                <w:rFonts w:hint="eastAsia" w:ascii="仿宋" w:hAnsi="仿宋" w:eastAsia="仿宋" w:cs="仿宋_GB2312"/>
                <w:color w:val="000000" w:themeColor="text1"/>
                <w:sz w:val="24"/>
                <w:highlight w:val="none"/>
                <w14:textFill>
                  <w14:solidFill>
                    <w14:schemeClr w14:val="tx1"/>
                  </w14:solidFill>
                </w14:textFill>
              </w:rPr>
              <w:t>%）</w:t>
            </w:r>
          </w:p>
        </w:tc>
        <w:tc>
          <w:tcPr>
            <w:tcW w:w="954" w:type="pct"/>
            <w:vAlign w:val="center"/>
          </w:tcPr>
          <w:p w14:paraId="52E19957">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资质情况</w:t>
            </w:r>
          </w:p>
        </w:tc>
        <w:tc>
          <w:tcPr>
            <w:tcW w:w="2284" w:type="pct"/>
            <w:vAlign w:val="center"/>
          </w:tcPr>
          <w:p w14:paraId="13621779">
            <w:pPr>
              <w:snapToGrid w:val="0"/>
              <w:spacing w:line="360" w:lineRule="exact"/>
              <w:jc w:val="left"/>
              <w:rPr>
                <w:rFonts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根据投标人提供的以下资质证书进行评分</w:t>
            </w:r>
            <w:r>
              <w:rPr>
                <w:rFonts w:hint="eastAsia" w:ascii="仿宋" w:hAnsi="仿宋" w:eastAsia="仿宋" w:cs="Arial"/>
                <w:color w:val="000000" w:themeColor="text1"/>
                <w:sz w:val="24"/>
                <w:highlight w:val="none"/>
                <w:lang w:eastAsia="zh-CN"/>
                <w14:textFill>
                  <w14:solidFill>
                    <w14:schemeClr w14:val="tx1"/>
                  </w14:solidFill>
                </w14:textFill>
              </w:rPr>
              <w:t>，</w:t>
            </w:r>
            <w:r>
              <w:rPr>
                <w:rFonts w:hint="eastAsia" w:ascii="仿宋" w:hAnsi="仿宋" w:eastAsia="仿宋" w:cs="Arial"/>
                <w:color w:val="000000" w:themeColor="text1"/>
                <w:sz w:val="24"/>
                <w:highlight w:val="none"/>
                <w:lang w:val="en-US" w:eastAsia="zh-CN"/>
                <w14:textFill>
                  <w14:solidFill>
                    <w14:schemeClr w14:val="tx1"/>
                  </w14:solidFill>
                </w14:textFill>
              </w:rPr>
              <w:t>每有一项得1分</w:t>
            </w:r>
            <w:r>
              <w:rPr>
                <w:rFonts w:hint="eastAsia" w:ascii="仿宋" w:hAnsi="仿宋" w:eastAsia="仿宋" w:cs="Arial"/>
                <w:color w:val="000000" w:themeColor="text1"/>
                <w:sz w:val="24"/>
                <w:highlight w:val="none"/>
                <w14:textFill>
                  <w14:solidFill>
                    <w14:schemeClr w14:val="tx1"/>
                  </w14:solidFill>
                </w14:textFill>
              </w:rPr>
              <w:t>，本项最高得</w:t>
            </w:r>
            <w:r>
              <w:rPr>
                <w:rFonts w:hint="eastAsia" w:ascii="仿宋" w:hAnsi="仿宋" w:eastAsia="仿宋" w:cs="Arial"/>
                <w:color w:val="000000" w:themeColor="text1"/>
                <w:sz w:val="24"/>
                <w:highlight w:val="none"/>
                <w:lang w:val="en-US" w:eastAsia="zh-CN"/>
                <w14:textFill>
                  <w14:solidFill>
                    <w14:schemeClr w14:val="tx1"/>
                  </w14:solidFill>
                </w14:textFill>
              </w:rPr>
              <w:t>4</w:t>
            </w:r>
            <w:r>
              <w:rPr>
                <w:rFonts w:hint="eastAsia" w:ascii="仿宋" w:hAnsi="仿宋" w:eastAsia="仿宋" w:cs="Arial"/>
                <w:color w:val="000000" w:themeColor="text1"/>
                <w:sz w:val="24"/>
                <w:highlight w:val="none"/>
                <w14:textFill>
                  <w14:solidFill>
                    <w14:schemeClr w14:val="tx1"/>
                  </w14:solidFill>
                </w14:textFill>
              </w:rPr>
              <w:t>分：</w:t>
            </w:r>
          </w:p>
          <w:p w14:paraId="025AC0E6">
            <w:pPr>
              <w:snapToGrid w:val="0"/>
              <w:spacing w:line="360" w:lineRule="exact"/>
              <w:jc w:val="left"/>
              <w:rPr>
                <w:rFonts w:hint="default" w:ascii="仿宋" w:hAnsi="仿宋" w:eastAsia="仿宋" w:cs="Arial"/>
                <w:color w:val="000000" w:themeColor="text1"/>
                <w:sz w:val="24"/>
                <w:highlight w:val="none"/>
                <w:lang w:val="en-US" w:eastAsia="zh-CN"/>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ISO27001信息安全管理体系认证、ISO9001质量管理体系认证、ISO20000信息技术服务管理体系认证、ISO22301业务连续性管理体系认证</w:t>
            </w:r>
            <w:r>
              <w:rPr>
                <w:rFonts w:hint="eastAsia" w:ascii="仿宋" w:hAnsi="仿宋" w:eastAsia="仿宋" w:cs="Arial"/>
                <w:color w:val="000000" w:themeColor="text1"/>
                <w:sz w:val="24"/>
                <w:highlight w:val="none"/>
                <w:lang w:eastAsia="zh-CN"/>
                <w14:textFill>
                  <w14:solidFill>
                    <w14:schemeClr w14:val="tx1"/>
                  </w14:solidFill>
                </w14:textFill>
              </w:rPr>
              <w:t>；</w:t>
            </w:r>
          </w:p>
          <w:p w14:paraId="414715B8">
            <w:pPr>
              <w:snapToGrid w:val="0"/>
              <w:spacing w:line="360" w:lineRule="exact"/>
              <w:jc w:val="left"/>
              <w:rPr>
                <w:rFonts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注：投标人需提供至投标截止时间在有效期内的证书复印件作为证明材料，未提供证明材料或提供的证明材料不满足要求的均不得分。</w:t>
            </w:r>
          </w:p>
        </w:tc>
        <w:tc>
          <w:tcPr>
            <w:tcW w:w="431" w:type="pct"/>
            <w:vAlign w:val="center"/>
          </w:tcPr>
          <w:p w14:paraId="69DF717F">
            <w:pPr>
              <w:snapToGrid w:val="0"/>
              <w:spacing w:line="360" w:lineRule="exact"/>
              <w:jc w:val="center"/>
              <w:rPr>
                <w:rFonts w:hint="eastAsia" w:ascii="仿宋" w:hAnsi="仿宋" w:eastAsia="仿宋" w:cs="仿宋_GB2312"/>
                <w:color w:val="000000" w:themeColor="text1"/>
                <w:sz w:val="24"/>
                <w:highlight w:val="none"/>
                <w:lang w:eastAsia="zh-CN"/>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4</w:t>
            </w:r>
          </w:p>
        </w:tc>
      </w:tr>
      <w:tr w14:paraId="6042B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trPr>
        <w:tc>
          <w:tcPr>
            <w:tcW w:w="431" w:type="pct"/>
            <w:shd w:val="clear" w:color="auto" w:fill="auto"/>
            <w:vAlign w:val="center"/>
          </w:tcPr>
          <w:p w14:paraId="0E817947">
            <w:pPr>
              <w:widowControl/>
              <w:snapToGrid w:val="0"/>
              <w:jc w:val="center"/>
              <w:rPr>
                <w:rFonts w:hint="eastAsia" w:ascii="仿宋" w:hAnsi="仿宋" w:eastAsia="仿宋" w:cs="仿宋_GB2312"/>
                <w:color w:val="000000" w:themeColor="text1"/>
                <w:sz w:val="24"/>
                <w:highlight w:val="none"/>
                <w:lang w:eastAsia="zh-CN"/>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3</w:t>
            </w:r>
          </w:p>
        </w:tc>
        <w:tc>
          <w:tcPr>
            <w:tcW w:w="898" w:type="pct"/>
            <w:vMerge w:val="continue"/>
            <w:shd w:val="clear" w:color="auto" w:fill="auto"/>
            <w:vAlign w:val="center"/>
          </w:tcPr>
          <w:p w14:paraId="3CED6E3A">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p>
        </w:tc>
        <w:tc>
          <w:tcPr>
            <w:tcW w:w="954" w:type="pct"/>
            <w:shd w:val="clear" w:color="auto" w:fill="auto"/>
            <w:vAlign w:val="center"/>
          </w:tcPr>
          <w:p w14:paraId="58602F50">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同类项目业绩</w:t>
            </w:r>
          </w:p>
        </w:tc>
        <w:tc>
          <w:tcPr>
            <w:tcW w:w="2284" w:type="pct"/>
            <w:shd w:val="clear" w:color="auto" w:fill="auto"/>
            <w:vAlign w:val="center"/>
          </w:tcPr>
          <w:p w14:paraId="5EC63671">
            <w:pPr>
              <w:numPr>
                <w:ilvl w:val="0"/>
                <w:numId w:val="0"/>
              </w:numPr>
              <w:snapToGrid w:val="0"/>
              <w:spacing w:line="360" w:lineRule="exact"/>
              <w:jc w:val="left"/>
              <w:rPr>
                <w:rFonts w:ascii="仿宋" w:eastAsia="仿宋"/>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根据投标人提供的自202</w:t>
            </w:r>
            <w:r>
              <w:rPr>
                <w:rFonts w:hint="eastAsia" w:ascii="仿宋" w:hAnsi="仿宋" w:eastAsia="仿宋" w:cs="Arial"/>
                <w:color w:val="000000" w:themeColor="text1"/>
                <w:sz w:val="24"/>
                <w:highlight w:val="none"/>
                <w:lang w:val="en-US" w:eastAsia="zh-CN"/>
                <w14:textFill>
                  <w14:solidFill>
                    <w14:schemeClr w14:val="tx1"/>
                  </w14:solidFill>
                </w14:textFill>
              </w:rPr>
              <w:t>3</w:t>
            </w:r>
            <w:r>
              <w:rPr>
                <w:rFonts w:hint="eastAsia" w:ascii="仿宋" w:hAnsi="仿宋" w:eastAsia="仿宋" w:cs="Arial"/>
                <w:color w:val="000000" w:themeColor="text1"/>
                <w:sz w:val="24"/>
                <w:highlight w:val="none"/>
                <w14:textFill>
                  <w14:solidFill>
                    <w14:schemeClr w14:val="tx1"/>
                  </w14:solidFill>
                </w14:textFill>
              </w:rPr>
              <w:t>年1月1日起至投标截止之日（以合同签订时间为准）</w:t>
            </w:r>
            <w:r>
              <w:rPr>
                <w:rFonts w:hint="eastAsia" w:ascii="仿宋" w:hAnsi="仿宋" w:eastAsia="仿宋" w:cs="仿宋"/>
                <w:color w:val="000000" w:themeColor="text1"/>
                <w:sz w:val="24"/>
                <w:highlight w:val="none"/>
                <w:lang w:bidi="ar"/>
                <w14:textFill>
                  <w14:solidFill>
                    <w14:schemeClr w14:val="tx1"/>
                  </w14:solidFill>
                </w14:textFill>
              </w:rPr>
              <w:t>大数据平台数据开发或者应用开发相关案例</w:t>
            </w:r>
            <w:r>
              <w:rPr>
                <w:rFonts w:hint="eastAsia" w:ascii="仿宋" w:hAnsi="仿宋" w:eastAsia="仿宋" w:cs="仿宋"/>
                <w:color w:val="000000" w:themeColor="text1"/>
                <w:sz w:val="24"/>
                <w:highlight w:val="none"/>
                <w:lang w:eastAsia="zh-CN" w:bidi="ar"/>
                <w14:textFill>
                  <w14:solidFill>
                    <w14:schemeClr w14:val="tx1"/>
                  </w14:solidFill>
                </w14:textFill>
              </w:rPr>
              <w:t>。</w:t>
            </w:r>
            <w:r>
              <w:rPr>
                <w:rFonts w:hint="eastAsia" w:ascii="仿宋" w:hAnsi="仿宋" w:eastAsia="仿宋" w:cs="仿宋"/>
                <w:color w:val="000000" w:themeColor="text1"/>
                <w:sz w:val="24"/>
                <w:highlight w:val="none"/>
                <w:lang w:val="en-US" w:eastAsia="zh-CN" w:bidi="ar"/>
                <w14:textFill>
                  <w14:solidFill>
                    <w14:schemeClr w14:val="tx1"/>
                  </w14:solidFill>
                </w14:textFill>
              </w:rPr>
              <w:t>如果无法提供，本项不得分。</w:t>
            </w:r>
            <w:r>
              <w:rPr>
                <w:rFonts w:hint="eastAsia" w:ascii="仿宋" w:hAnsi="仿宋" w:eastAsia="仿宋" w:cs="Arial"/>
                <w:color w:val="000000" w:themeColor="text1"/>
                <w:sz w:val="24"/>
                <w:highlight w:val="none"/>
                <w:lang w:val="en-US" w:eastAsia="zh-CN"/>
                <w14:textFill>
                  <w14:solidFill>
                    <w14:schemeClr w14:val="tx1"/>
                  </w14:solidFill>
                </w14:textFill>
              </w:rPr>
              <w:t>每提供一个有效案例的证明材料得1</w:t>
            </w:r>
            <w:r>
              <w:rPr>
                <w:rFonts w:hint="eastAsia" w:ascii="仿宋" w:hAnsi="仿宋" w:eastAsia="仿宋" w:cs="Arial"/>
                <w:color w:val="000000" w:themeColor="text1"/>
                <w:sz w:val="24"/>
                <w:highlight w:val="none"/>
                <w14:textFill>
                  <w14:solidFill>
                    <w14:schemeClr w14:val="tx1"/>
                  </w14:solidFill>
                </w14:textFill>
              </w:rPr>
              <w:t>分，</w:t>
            </w:r>
            <w:r>
              <w:rPr>
                <w:rFonts w:hint="eastAsia" w:ascii="仿宋" w:hAnsi="仿宋" w:eastAsia="仿宋" w:cs="仿宋"/>
                <w:color w:val="000000" w:themeColor="text1"/>
                <w:sz w:val="24"/>
                <w:highlight w:val="none"/>
                <w:lang w:val="en-US" w:eastAsia="zh-CN" w:bidi="ar"/>
                <w14:textFill>
                  <w14:solidFill>
                    <w14:schemeClr w14:val="tx1"/>
                  </w14:solidFill>
                </w14:textFill>
              </w:rPr>
              <w:t>本项</w:t>
            </w:r>
            <w:r>
              <w:rPr>
                <w:rFonts w:ascii="仿宋" w:hAnsi="仿宋" w:eastAsia="仿宋" w:cs="Arial"/>
                <w:color w:val="000000" w:themeColor="text1"/>
                <w:sz w:val="24"/>
                <w:highlight w:val="none"/>
                <w14:textFill>
                  <w14:solidFill>
                    <w14:schemeClr w14:val="tx1"/>
                  </w14:solidFill>
                </w14:textFill>
              </w:rPr>
              <w:t>最</w:t>
            </w:r>
            <w:r>
              <w:rPr>
                <w:rFonts w:hint="eastAsia" w:ascii="仿宋" w:hAnsi="仿宋" w:eastAsia="仿宋" w:cs="Arial"/>
                <w:color w:val="000000" w:themeColor="text1"/>
                <w:sz w:val="24"/>
                <w:highlight w:val="none"/>
                <w:lang w:val="en-US" w:eastAsia="zh-CN"/>
                <w14:textFill>
                  <w14:solidFill>
                    <w14:schemeClr w14:val="tx1"/>
                  </w14:solidFill>
                </w14:textFill>
              </w:rPr>
              <w:t>高得</w:t>
            </w:r>
            <w:r>
              <w:rPr>
                <w:rFonts w:hint="default" w:ascii="仿宋" w:hAnsi="仿宋" w:eastAsia="仿宋" w:cs="Arial"/>
                <w:color w:val="000000" w:themeColor="text1"/>
                <w:sz w:val="24"/>
                <w:highlight w:val="none"/>
                <w:lang w:val="en-US"/>
                <w14:textFill>
                  <w14:solidFill>
                    <w14:schemeClr w14:val="tx1"/>
                  </w14:solidFill>
                </w14:textFill>
              </w:rPr>
              <w:t>4</w:t>
            </w:r>
            <w:r>
              <w:rPr>
                <w:rFonts w:ascii="仿宋" w:hAnsi="仿宋" w:eastAsia="仿宋" w:cs="Arial"/>
                <w:color w:val="000000" w:themeColor="text1"/>
                <w:sz w:val="24"/>
                <w:highlight w:val="none"/>
                <w14:textFill>
                  <w14:solidFill>
                    <w14:schemeClr w14:val="tx1"/>
                  </w14:solidFill>
                </w14:textFill>
              </w:rPr>
              <w:t>分</w:t>
            </w:r>
            <w:r>
              <w:rPr>
                <w:rFonts w:hint="eastAsia" w:ascii="仿宋" w:hAnsi="仿宋" w:eastAsia="仿宋" w:cs="Arial"/>
                <w:color w:val="000000" w:themeColor="text1"/>
                <w:sz w:val="24"/>
                <w:highlight w:val="none"/>
                <w14:textFill>
                  <w14:solidFill>
                    <w14:schemeClr w14:val="tx1"/>
                  </w14:solidFill>
                </w14:textFill>
              </w:rPr>
              <w:t>。</w:t>
            </w:r>
          </w:p>
          <w:p w14:paraId="027DB03D">
            <w:pPr>
              <w:snapToGrid w:val="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w:t>
            </w:r>
          </w:p>
          <w:p w14:paraId="1722498C">
            <w:pPr>
              <w:numPr>
                <w:ilvl w:val="0"/>
                <w:numId w:val="4"/>
              </w:numPr>
              <w:snapToGrid w:val="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相同甲方的</w:t>
            </w:r>
            <w:r>
              <w:rPr>
                <w:rFonts w:hint="eastAsia" w:ascii="仿宋" w:hAnsi="仿宋" w:eastAsia="仿宋"/>
                <w:color w:val="000000" w:themeColor="text1"/>
                <w:sz w:val="24"/>
                <w:highlight w:val="none"/>
                <w:lang w:val="en-US" w:eastAsia="zh-CN"/>
                <w14:textFill>
                  <w14:solidFill>
                    <w14:schemeClr w14:val="tx1"/>
                  </w14:solidFill>
                </w14:textFill>
              </w:rPr>
              <w:t>业绩只计算一次</w:t>
            </w:r>
            <w:r>
              <w:rPr>
                <w:rFonts w:hint="eastAsia" w:ascii="仿宋" w:hAnsi="仿宋" w:eastAsia="仿宋"/>
                <w:color w:val="000000" w:themeColor="text1"/>
                <w:sz w:val="24"/>
                <w:highlight w:val="none"/>
                <w14:textFill>
                  <w14:solidFill>
                    <w14:schemeClr w14:val="tx1"/>
                  </w14:solidFill>
                </w14:textFill>
              </w:rPr>
              <w:t>。</w:t>
            </w:r>
          </w:p>
          <w:p w14:paraId="6D02554F">
            <w:pPr>
              <w:numPr>
                <w:ilvl w:val="0"/>
                <w:numId w:val="4"/>
              </w:numPr>
              <w:snapToGrid w:val="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合同须基于大数据平台开发，名称或项目内容中须包含以下内容的一项：“大数据”、"外部数据平台"、"数据服务平台"、"监控管理"</w:t>
            </w:r>
            <w:r>
              <w:rPr>
                <w:rFonts w:hint="eastAsia" w:ascii="仿宋" w:hAnsi="仿宋" w:eastAsia="仿宋" w:cs="Arial"/>
                <w:color w:val="000000" w:themeColor="text1"/>
                <w:sz w:val="24"/>
                <w:highlight w:val="none"/>
                <w:lang w:val="en-US" w:eastAsia="zh-CN"/>
                <w14:textFill>
                  <w14:solidFill>
                    <w14:schemeClr w14:val="tx1"/>
                  </w14:solidFill>
                </w14:textFill>
              </w:rPr>
              <w:t>等相关</w:t>
            </w:r>
            <w:r>
              <w:rPr>
                <w:rFonts w:hint="eastAsia" w:ascii="仿宋" w:hAnsi="仿宋" w:eastAsia="仿宋" w:cs="Arial"/>
                <w:color w:val="000000" w:themeColor="text1"/>
                <w:sz w:val="24"/>
                <w:highlight w:val="none"/>
                <w14:textFill>
                  <w14:solidFill>
                    <w14:schemeClr w14:val="tx1"/>
                  </w14:solidFill>
                </w14:textFill>
              </w:rPr>
              <w:t>字样</w:t>
            </w:r>
            <w:r>
              <w:rPr>
                <w:rFonts w:hint="eastAsia"/>
                <w:color w:val="000000" w:themeColor="text1"/>
                <w:highlight w:val="none"/>
                <w:lang w:eastAsia="zh-CN"/>
                <w14:textFill>
                  <w14:solidFill>
                    <w14:schemeClr w14:val="tx1"/>
                  </w14:solidFill>
                </w14:textFill>
              </w:rPr>
              <w:t>。</w:t>
            </w:r>
          </w:p>
          <w:p w14:paraId="38E1B6B0">
            <w:pPr>
              <w:snapToGrid w:val="0"/>
              <w:jc w:val="left"/>
              <w:rPr>
                <w:rFonts w:ascii="仿宋" w:hAnsi="仿宋" w:eastAsia="仿宋" w:cs="Arial"/>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3</w:t>
            </w:r>
            <w:r>
              <w:rPr>
                <w:rFonts w:hint="eastAsia" w:ascii="仿宋" w:hAnsi="仿宋" w:eastAsia="仿宋"/>
                <w:color w:val="000000" w:themeColor="text1"/>
                <w:sz w:val="24"/>
                <w:highlight w:val="none"/>
                <w14:textFill>
                  <w14:solidFill>
                    <w14:schemeClr w14:val="tx1"/>
                  </w14:solidFill>
                </w14:textFill>
              </w:rPr>
              <w:t>.</w:t>
            </w:r>
            <w:r>
              <w:rPr>
                <w:rFonts w:hint="eastAsia" w:ascii="仿宋" w:hAnsi="仿宋" w:eastAsia="仿宋" w:cs="Arial"/>
                <w:color w:val="000000" w:themeColor="text1"/>
                <w:sz w:val="24"/>
                <w:highlight w:val="none"/>
                <w14:textFill>
                  <w14:solidFill>
                    <w14:schemeClr w14:val="tx1"/>
                  </w14:solidFill>
                </w14:textFill>
              </w:rPr>
              <w:t>需</w:t>
            </w:r>
            <w:r>
              <w:rPr>
                <w:rFonts w:ascii="仿宋" w:hAnsi="仿宋" w:eastAsia="仿宋" w:cs="Arial"/>
                <w:color w:val="000000" w:themeColor="text1"/>
                <w:sz w:val="24"/>
                <w:highlight w:val="none"/>
                <w14:textFill>
                  <w14:solidFill>
                    <w14:schemeClr w14:val="tx1"/>
                  </w14:solidFill>
                </w14:textFill>
              </w:rPr>
              <w:t>提供</w:t>
            </w:r>
            <w:r>
              <w:rPr>
                <w:rFonts w:hint="eastAsia" w:ascii="仿宋" w:hAnsi="仿宋" w:eastAsia="仿宋" w:cs="Arial"/>
                <w:color w:val="000000" w:themeColor="text1"/>
                <w:sz w:val="24"/>
                <w:highlight w:val="none"/>
                <w14:textFill>
                  <w14:solidFill>
                    <w14:schemeClr w14:val="tx1"/>
                  </w14:solidFill>
                </w14:textFill>
              </w:rPr>
              <w:t>正式合同复印件并加盖投标人公章</w:t>
            </w:r>
            <w:r>
              <w:rPr>
                <w:rFonts w:ascii="仿宋" w:hAnsi="仿宋" w:eastAsia="仿宋" w:cs="Arial"/>
                <w:color w:val="000000" w:themeColor="text1"/>
                <w:sz w:val="24"/>
                <w:highlight w:val="none"/>
                <w14:textFill>
                  <w14:solidFill>
                    <w14:schemeClr w14:val="tx1"/>
                  </w14:solidFill>
                </w14:textFill>
              </w:rPr>
              <w:t>，合同内容应包含</w:t>
            </w:r>
            <w:r>
              <w:rPr>
                <w:rFonts w:hint="eastAsia" w:ascii="仿宋" w:hAnsi="仿宋" w:eastAsia="仿宋" w:cs="Arial"/>
                <w:color w:val="000000" w:themeColor="text1"/>
                <w:sz w:val="24"/>
                <w:highlight w:val="none"/>
                <w:lang w:val="en-US" w:eastAsia="zh-CN"/>
                <w14:textFill>
                  <w14:solidFill>
                    <w14:schemeClr w14:val="tx1"/>
                  </w14:solidFill>
                </w14:textFill>
              </w:rPr>
              <w:t>签章页</w:t>
            </w:r>
            <w:r>
              <w:rPr>
                <w:rFonts w:ascii="仿宋" w:hAnsi="仿宋" w:eastAsia="仿宋" w:cs="Arial"/>
                <w:color w:val="000000" w:themeColor="text1"/>
                <w:sz w:val="24"/>
                <w:highlight w:val="none"/>
                <w14:textFill>
                  <w14:solidFill>
                    <w14:schemeClr w14:val="tx1"/>
                  </w14:solidFill>
                </w14:textFill>
              </w:rPr>
              <w:t>、能够证明业绩符合本次采购要求的服务</w:t>
            </w:r>
            <w:r>
              <w:rPr>
                <w:rFonts w:hint="eastAsia" w:ascii="仿宋" w:hAnsi="仿宋" w:eastAsia="仿宋" w:cs="Arial"/>
                <w:color w:val="000000" w:themeColor="text1"/>
                <w:sz w:val="24"/>
                <w:highlight w:val="none"/>
                <w14:textFill>
                  <w14:solidFill>
                    <w14:schemeClr w14:val="tx1"/>
                  </w14:solidFill>
                </w14:textFill>
              </w:rPr>
              <w:t>内容</w:t>
            </w:r>
            <w:r>
              <w:rPr>
                <w:rFonts w:hint="eastAsia" w:ascii="仿宋" w:hAnsi="仿宋" w:eastAsia="仿宋" w:cs="Arial"/>
                <w:color w:val="000000" w:themeColor="text1"/>
                <w:sz w:val="24"/>
                <w:highlight w:val="none"/>
                <w:lang w:val="en-US" w:eastAsia="zh-CN"/>
                <w14:textFill>
                  <w14:solidFill>
                    <w14:schemeClr w14:val="tx1"/>
                  </w14:solidFill>
                </w14:textFill>
              </w:rPr>
              <w:t>页</w:t>
            </w:r>
            <w:r>
              <w:rPr>
                <w:rFonts w:ascii="仿宋" w:hAnsi="仿宋" w:eastAsia="仿宋" w:cs="Arial"/>
                <w:color w:val="000000" w:themeColor="text1"/>
                <w:sz w:val="24"/>
                <w:highlight w:val="none"/>
                <w14:textFill>
                  <w14:solidFill>
                    <w14:schemeClr w14:val="tx1"/>
                  </w14:solidFill>
                </w14:textFill>
              </w:rPr>
              <w:t>（如合同中不能体现，可另附其他证明材料）。</w:t>
            </w:r>
            <w:r>
              <w:rPr>
                <w:rFonts w:hint="eastAsia" w:ascii="仿宋" w:hAnsi="仿宋" w:eastAsia="仿宋" w:cs="Arial"/>
                <w:color w:val="000000" w:themeColor="text1"/>
                <w:sz w:val="24"/>
                <w:highlight w:val="none"/>
                <w14:textFill>
                  <w14:solidFill>
                    <w14:schemeClr w14:val="tx1"/>
                  </w14:solidFill>
                </w14:textFill>
              </w:rPr>
              <w:t>未提供证明材料或提供的证明材料不满足要求的均不得分。</w:t>
            </w:r>
          </w:p>
        </w:tc>
        <w:tc>
          <w:tcPr>
            <w:tcW w:w="431" w:type="pct"/>
            <w:shd w:val="clear" w:color="auto" w:fill="auto"/>
            <w:vAlign w:val="center"/>
          </w:tcPr>
          <w:p w14:paraId="2730DF58">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r>
              <w:rPr>
                <w:rFonts w:hint="default" w:ascii="仿宋" w:hAnsi="仿宋" w:eastAsia="仿宋" w:cs="仿宋_GB2312"/>
                <w:color w:val="000000" w:themeColor="text1"/>
                <w:sz w:val="24"/>
                <w:highlight w:val="none"/>
                <w:lang w:val="en-US"/>
                <w14:textFill>
                  <w14:solidFill>
                    <w14:schemeClr w14:val="tx1"/>
                  </w14:solidFill>
                </w14:textFill>
              </w:rPr>
              <w:t>4</w:t>
            </w:r>
          </w:p>
        </w:tc>
      </w:tr>
      <w:tr w14:paraId="1311C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866" w:hRule="atLeast"/>
        </w:trPr>
        <w:tc>
          <w:tcPr>
            <w:tcW w:w="431" w:type="pct"/>
            <w:shd w:val="clear" w:color="auto" w:fill="auto"/>
            <w:vAlign w:val="center"/>
          </w:tcPr>
          <w:p w14:paraId="50699944">
            <w:pPr>
              <w:snapToGrid w:val="0"/>
              <w:spacing w:line="360" w:lineRule="exact"/>
              <w:jc w:val="center"/>
              <w:rPr>
                <w:rFonts w:hint="eastAsia" w:ascii="仿宋" w:hAnsi="仿宋" w:eastAsia="仿宋" w:cs="仿宋_GB2312"/>
                <w:color w:val="000000" w:themeColor="text1"/>
                <w:sz w:val="24"/>
                <w:highlight w:val="none"/>
                <w:lang w:eastAsia="zh-CN"/>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4</w:t>
            </w:r>
          </w:p>
        </w:tc>
        <w:tc>
          <w:tcPr>
            <w:tcW w:w="898" w:type="pct"/>
            <w:vMerge w:val="restart"/>
            <w:shd w:val="clear" w:color="auto" w:fill="auto"/>
            <w:vAlign w:val="center"/>
          </w:tcPr>
          <w:p w14:paraId="3FF53860">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技术部分</w:t>
            </w:r>
          </w:p>
          <w:p w14:paraId="2C80FE90">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w:t>
            </w:r>
            <w:r>
              <w:rPr>
                <w:rFonts w:hint="eastAsia" w:ascii="仿宋" w:hAnsi="仿宋" w:eastAsia="仿宋" w:cs="仿宋_GB2312"/>
                <w:color w:val="000000" w:themeColor="text1"/>
                <w:sz w:val="24"/>
                <w:highlight w:val="none"/>
                <w:lang w:val="en-US" w:eastAsia="zh-CN"/>
                <w14:textFill>
                  <w14:solidFill>
                    <w14:schemeClr w14:val="tx1"/>
                  </w14:solidFill>
                </w14:textFill>
              </w:rPr>
              <w:t>42</w:t>
            </w:r>
            <w:r>
              <w:rPr>
                <w:rFonts w:hint="eastAsia" w:ascii="仿宋" w:hAnsi="仿宋" w:eastAsia="仿宋" w:cs="仿宋_GB2312"/>
                <w:color w:val="000000" w:themeColor="text1"/>
                <w:sz w:val="24"/>
                <w:highlight w:val="none"/>
                <w14:textFill>
                  <w14:solidFill>
                    <w14:schemeClr w14:val="tx1"/>
                  </w14:solidFill>
                </w14:textFill>
              </w:rPr>
              <w:t>%）</w:t>
            </w:r>
          </w:p>
          <w:p w14:paraId="0A60A36D">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p>
        </w:tc>
        <w:tc>
          <w:tcPr>
            <w:tcW w:w="954" w:type="pct"/>
            <w:shd w:val="clear" w:color="auto" w:fill="auto"/>
            <w:vAlign w:val="center"/>
          </w:tcPr>
          <w:p w14:paraId="3B56B3AB">
            <w:pPr>
              <w:snapToGrid w:val="0"/>
              <w:spacing w:line="360" w:lineRule="exact"/>
              <w:jc w:val="center"/>
              <w:rPr>
                <w:rFonts w:hint="default" w:ascii="仿宋" w:hAnsi="仿宋" w:eastAsia="仿宋" w:cs="仿宋_GB2312"/>
                <w:color w:val="000000" w:themeColor="text1"/>
                <w:sz w:val="24"/>
                <w:highlight w:val="none"/>
                <w:lang w:val="en-US" w:eastAsia="zh-CN"/>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需求理解</w:t>
            </w:r>
          </w:p>
        </w:tc>
        <w:tc>
          <w:tcPr>
            <w:tcW w:w="2284" w:type="pct"/>
            <w:shd w:val="clear" w:color="auto" w:fill="auto"/>
            <w:vAlign w:val="center"/>
          </w:tcPr>
          <w:p w14:paraId="4B2DCD4D">
            <w:pPr>
              <w:numPr>
                <w:ilvl w:val="255"/>
                <w:numId w:val="0"/>
              </w:numPr>
              <w:jc w:val="left"/>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基于投标人对业务需求理解后所设计需求理解文档进行评分，从业务功能覆盖度、业务功能清晰度、业务重点难点描述等方面进行评价。</w:t>
            </w:r>
          </w:p>
          <w:p w14:paraId="7ACE19C3">
            <w:pPr>
              <w:numPr>
                <w:ilvl w:val="0"/>
                <w:numId w:val="5"/>
              </w:numPr>
              <w:jc w:val="left"/>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业务功能覆盖度：</w:t>
            </w:r>
            <w:r>
              <w:rPr>
                <w:rFonts w:ascii="仿宋" w:hAnsi="仿宋" w:eastAsia="仿宋" w:cs="仿宋_GB2312"/>
                <w:color w:val="000000" w:themeColor="text1"/>
                <w:sz w:val="24"/>
                <w:highlight w:val="none"/>
                <w14:textFill>
                  <w14:solidFill>
                    <w14:schemeClr w14:val="tx1"/>
                  </w14:solidFill>
                </w14:textFill>
              </w:rPr>
              <w:t>对实时监测</w:t>
            </w:r>
            <w:r>
              <w:rPr>
                <w:rFonts w:hint="eastAsia" w:ascii="仿宋" w:hAnsi="仿宋" w:eastAsia="仿宋" w:cs="仿宋_GB2312"/>
                <w:color w:val="000000" w:themeColor="text1"/>
                <w:sz w:val="24"/>
                <w:highlight w:val="none"/>
                <w14:textFill>
                  <w14:solidFill>
                    <w14:schemeClr w14:val="tx1"/>
                  </w14:solidFill>
                </w14:textFill>
              </w:rPr>
              <w:t>的各业务</w:t>
            </w:r>
            <w:r>
              <w:rPr>
                <w:rFonts w:ascii="仿宋" w:hAnsi="仿宋" w:eastAsia="仿宋" w:cs="仿宋_GB2312"/>
                <w:color w:val="000000" w:themeColor="text1"/>
                <w:sz w:val="24"/>
                <w:highlight w:val="none"/>
                <w14:textFill>
                  <w14:solidFill>
                    <w14:schemeClr w14:val="tx1"/>
                  </w14:solidFill>
                </w14:textFill>
              </w:rPr>
              <w:t>功能理解全面，能够结合现有数据平台系统架构、数据接入方式及实时计算能力，对实时监测业务的实现路径进行系统化需求理解，覆盖主要业务场景和关键监测对象</w:t>
            </w:r>
            <w:r>
              <w:rPr>
                <w:rFonts w:hint="eastAsia" w:ascii="仿宋" w:hAnsi="仿宋" w:eastAsia="仿宋" w:cs="仿宋_GB2312"/>
                <w:color w:val="000000" w:themeColor="text1"/>
                <w:sz w:val="24"/>
                <w:highlight w:val="none"/>
                <w14:textFill>
                  <w14:solidFill>
                    <w14:schemeClr w14:val="tx1"/>
                  </w14:solidFill>
                </w14:textFill>
              </w:rPr>
              <w:t>，得</w:t>
            </w:r>
            <w:r>
              <w:rPr>
                <w:rFonts w:hint="eastAsia" w:ascii="仿宋" w:hAnsi="仿宋" w:eastAsia="仿宋" w:cs="仿宋_GB2312"/>
                <w:color w:val="000000" w:themeColor="text1"/>
                <w:sz w:val="24"/>
                <w:highlight w:val="none"/>
                <w:lang w:val="en-US" w:eastAsia="zh-CN"/>
                <w14:textFill>
                  <w14:solidFill>
                    <w14:schemeClr w14:val="tx1"/>
                  </w14:solidFill>
                </w14:textFill>
              </w:rPr>
              <w:t>3</w:t>
            </w:r>
            <w:r>
              <w:rPr>
                <w:rFonts w:hint="eastAsia" w:ascii="仿宋" w:hAnsi="仿宋" w:eastAsia="仿宋" w:cs="仿宋_GB2312"/>
                <w:color w:val="000000" w:themeColor="text1"/>
                <w:sz w:val="24"/>
                <w:highlight w:val="none"/>
                <w14:textFill>
                  <w14:solidFill>
                    <w14:schemeClr w14:val="tx1"/>
                  </w14:solidFill>
                </w14:textFill>
              </w:rPr>
              <w:t>分；</w:t>
            </w:r>
            <w:r>
              <w:rPr>
                <w:rFonts w:ascii="仿宋" w:hAnsi="仿宋" w:eastAsia="仿宋" w:cs="仿宋_GB2312"/>
                <w:color w:val="000000" w:themeColor="text1"/>
                <w:sz w:val="24"/>
                <w:highlight w:val="none"/>
                <w14:textFill>
                  <w14:solidFill>
                    <w14:schemeClr w14:val="tx1"/>
                  </w14:solidFill>
                </w14:textFill>
              </w:rPr>
              <w:t>能够结合实时监测业务特性对部分业务场景进行需求理解，但对关联</w:t>
            </w:r>
            <w:r>
              <w:rPr>
                <w:rFonts w:hint="eastAsia" w:ascii="仿宋" w:hAnsi="仿宋" w:eastAsia="仿宋" w:cs="仿宋_GB2312"/>
                <w:color w:val="000000" w:themeColor="text1"/>
                <w:sz w:val="24"/>
                <w:highlight w:val="none"/>
                <w14:textFill>
                  <w14:solidFill>
                    <w14:schemeClr w14:val="tx1"/>
                  </w14:solidFill>
                </w14:textFill>
              </w:rPr>
              <w:t>的数据平台系统</w:t>
            </w:r>
            <w:r>
              <w:rPr>
                <w:rFonts w:ascii="仿宋" w:hAnsi="仿宋" w:eastAsia="仿宋" w:cs="仿宋_GB2312"/>
                <w:color w:val="000000" w:themeColor="text1"/>
                <w:sz w:val="24"/>
                <w:highlight w:val="none"/>
                <w14:textFill>
                  <w14:solidFill>
                    <w14:schemeClr w14:val="tx1"/>
                  </w14:solidFill>
                </w14:textFill>
              </w:rPr>
              <w:t>阐述不够充分</w:t>
            </w:r>
            <w:r>
              <w:rPr>
                <w:rFonts w:hint="eastAsia" w:ascii="仿宋" w:hAnsi="仿宋" w:eastAsia="仿宋" w:cs="仿宋_GB2312"/>
                <w:color w:val="000000" w:themeColor="text1"/>
                <w:sz w:val="24"/>
                <w:highlight w:val="none"/>
                <w14:textFill>
                  <w14:solidFill>
                    <w14:schemeClr w14:val="tx1"/>
                  </w14:solidFill>
                </w14:textFill>
              </w:rPr>
              <w:t>，得</w:t>
            </w:r>
            <w:r>
              <w:rPr>
                <w:rFonts w:hint="eastAsia" w:ascii="仿宋" w:hAnsi="仿宋" w:eastAsia="仿宋" w:cs="仿宋_GB2312"/>
                <w:color w:val="000000" w:themeColor="text1"/>
                <w:sz w:val="24"/>
                <w:highlight w:val="none"/>
                <w:lang w:val="en-US" w:eastAsia="zh-CN"/>
                <w14:textFill>
                  <w14:solidFill>
                    <w14:schemeClr w14:val="tx1"/>
                  </w14:solidFill>
                </w14:textFill>
              </w:rPr>
              <w:t>2</w:t>
            </w:r>
            <w:r>
              <w:rPr>
                <w:rFonts w:hint="eastAsia" w:ascii="仿宋" w:hAnsi="仿宋" w:eastAsia="仿宋" w:cs="仿宋_GB2312"/>
                <w:color w:val="000000" w:themeColor="text1"/>
                <w:sz w:val="24"/>
                <w:highlight w:val="none"/>
                <w14:textFill>
                  <w14:solidFill>
                    <w14:schemeClr w14:val="tx1"/>
                  </w14:solidFill>
                </w14:textFill>
              </w:rPr>
              <w:t>分；实时监测需求覆盖部分业务场景，业务功能理解不全面，得1分；未提供不得分；</w:t>
            </w:r>
          </w:p>
          <w:p w14:paraId="4655265A">
            <w:pPr>
              <w:numPr>
                <w:ilvl w:val="0"/>
                <w:numId w:val="5"/>
              </w:numPr>
              <w:jc w:val="left"/>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业务功能清晰度：对实时监测功能需求理解边界清晰，范围明确，</w:t>
            </w:r>
            <w:r>
              <w:rPr>
                <w:rFonts w:ascii="仿宋" w:hAnsi="仿宋" w:eastAsia="仿宋" w:cs="仿宋_GB2312"/>
                <w:color w:val="000000" w:themeColor="text1"/>
                <w:sz w:val="24"/>
                <w:highlight w:val="none"/>
                <w14:textFill>
                  <w14:solidFill>
                    <w14:schemeClr w14:val="tx1"/>
                  </w14:solidFill>
                </w14:textFill>
              </w:rPr>
              <w:t>能够从业务流程、功能模块、指标口径、数据来源等维度进行系统化拆解</w:t>
            </w:r>
            <w:r>
              <w:rPr>
                <w:rFonts w:hint="eastAsia" w:ascii="仿宋" w:hAnsi="仿宋" w:eastAsia="仿宋" w:cs="仿宋_GB2312"/>
                <w:color w:val="000000" w:themeColor="text1"/>
                <w:sz w:val="24"/>
                <w:highlight w:val="none"/>
                <w14:textFill>
                  <w14:solidFill>
                    <w14:schemeClr w14:val="tx1"/>
                  </w14:solidFill>
                </w14:textFill>
              </w:rPr>
              <w:t>，得</w:t>
            </w:r>
            <w:r>
              <w:rPr>
                <w:rFonts w:hint="eastAsia" w:ascii="仿宋" w:hAnsi="仿宋" w:eastAsia="仿宋" w:cs="仿宋_GB2312"/>
                <w:color w:val="000000" w:themeColor="text1"/>
                <w:sz w:val="24"/>
                <w:highlight w:val="none"/>
                <w:lang w:val="en-US" w:eastAsia="zh-CN"/>
                <w14:textFill>
                  <w14:solidFill>
                    <w14:schemeClr w14:val="tx1"/>
                  </w14:solidFill>
                </w14:textFill>
              </w:rPr>
              <w:t>2</w:t>
            </w:r>
            <w:r>
              <w:rPr>
                <w:rFonts w:hint="eastAsia" w:ascii="仿宋" w:hAnsi="仿宋" w:eastAsia="仿宋" w:cs="仿宋_GB2312"/>
                <w:color w:val="000000" w:themeColor="text1"/>
                <w:sz w:val="24"/>
                <w:highlight w:val="none"/>
                <w14:textFill>
                  <w14:solidFill>
                    <w14:schemeClr w14:val="tx1"/>
                  </w14:solidFill>
                </w14:textFill>
              </w:rPr>
              <w:t>分；</w:t>
            </w:r>
            <w:r>
              <w:rPr>
                <w:rFonts w:ascii="仿宋" w:hAnsi="仿宋" w:eastAsia="仿宋" w:cs="仿宋_GB2312"/>
                <w:color w:val="000000" w:themeColor="text1"/>
                <w:sz w:val="24"/>
                <w:highlight w:val="none"/>
                <w14:textFill>
                  <w14:solidFill>
                    <w14:schemeClr w14:val="tx1"/>
                  </w14:solidFill>
                </w14:textFill>
              </w:rPr>
              <w:t>对主要业务功能理解边界较清晰，功能范围描述相对明确</w:t>
            </w:r>
            <w:r>
              <w:rPr>
                <w:rFonts w:hint="eastAsia" w:ascii="仿宋" w:hAnsi="仿宋" w:eastAsia="仿宋" w:cs="仿宋_GB2312"/>
                <w:color w:val="000000" w:themeColor="text1"/>
                <w:sz w:val="24"/>
                <w:highlight w:val="none"/>
                <w14:textFill>
                  <w14:solidFill>
                    <w14:schemeClr w14:val="tx1"/>
                  </w14:solidFill>
                </w14:textFill>
              </w:rPr>
              <w:t>，对指标口径，数据来源</w:t>
            </w:r>
            <w:r>
              <w:rPr>
                <w:rFonts w:ascii="仿宋" w:hAnsi="仿宋" w:eastAsia="仿宋" w:cs="仿宋_GB2312"/>
                <w:color w:val="000000" w:themeColor="text1"/>
                <w:sz w:val="24"/>
                <w:highlight w:val="none"/>
                <w14:textFill>
                  <w14:solidFill>
                    <w14:schemeClr w14:val="tx1"/>
                  </w14:solidFill>
                </w14:textFill>
              </w:rPr>
              <w:t>说明</w:t>
            </w:r>
            <w:r>
              <w:rPr>
                <w:rFonts w:hint="eastAsia" w:ascii="仿宋" w:hAnsi="仿宋" w:eastAsia="仿宋" w:cs="仿宋_GB2312"/>
                <w:color w:val="000000" w:themeColor="text1"/>
                <w:sz w:val="24"/>
                <w:highlight w:val="none"/>
                <w14:textFill>
                  <w14:solidFill>
                    <w14:schemeClr w14:val="tx1"/>
                  </w14:solidFill>
                </w14:textFill>
              </w:rPr>
              <w:t>不够完整，得</w:t>
            </w:r>
            <w:r>
              <w:rPr>
                <w:rFonts w:hint="eastAsia" w:ascii="仿宋" w:hAnsi="仿宋" w:eastAsia="仿宋" w:cs="仿宋_GB2312"/>
                <w:color w:val="000000" w:themeColor="text1"/>
                <w:sz w:val="24"/>
                <w:highlight w:val="none"/>
                <w:lang w:val="en-US" w:eastAsia="zh-CN"/>
                <w14:textFill>
                  <w14:solidFill>
                    <w14:schemeClr w14:val="tx1"/>
                  </w14:solidFill>
                </w14:textFill>
              </w:rPr>
              <w:t>1</w:t>
            </w:r>
            <w:r>
              <w:rPr>
                <w:rFonts w:hint="eastAsia" w:ascii="仿宋" w:hAnsi="仿宋" w:eastAsia="仿宋" w:cs="仿宋_GB2312"/>
                <w:color w:val="000000" w:themeColor="text1"/>
                <w:sz w:val="24"/>
                <w:highlight w:val="none"/>
                <w14:textFill>
                  <w14:solidFill>
                    <w14:schemeClr w14:val="tx1"/>
                  </w14:solidFill>
                </w14:textFill>
              </w:rPr>
              <w:t>分；</w:t>
            </w:r>
            <w:r>
              <w:rPr>
                <w:rFonts w:ascii="仿宋" w:hAnsi="仿宋" w:eastAsia="仿宋" w:cs="仿宋_GB2312"/>
                <w:color w:val="000000" w:themeColor="text1"/>
                <w:sz w:val="24"/>
                <w:highlight w:val="none"/>
                <w14:textFill>
                  <w14:solidFill>
                    <w14:schemeClr w14:val="tx1"/>
                  </w14:solidFill>
                </w14:textFill>
              </w:rPr>
              <w:t>对业务功能边界描述模糊，功能范围不清晰</w:t>
            </w:r>
            <w:r>
              <w:rPr>
                <w:rFonts w:hint="eastAsia" w:ascii="仿宋" w:hAnsi="仿宋" w:eastAsia="仿宋" w:cs="仿宋_GB2312"/>
                <w:color w:val="000000" w:themeColor="text1"/>
                <w:sz w:val="24"/>
                <w:highlight w:val="none"/>
                <w14:textFill>
                  <w14:solidFill>
                    <w14:schemeClr w14:val="tx1"/>
                  </w14:solidFill>
                </w14:textFill>
              </w:rPr>
              <w:t>，</w:t>
            </w:r>
            <w:r>
              <w:rPr>
                <w:rFonts w:ascii="仿宋" w:hAnsi="仿宋" w:eastAsia="仿宋" w:cs="仿宋_GB2312"/>
                <w:color w:val="000000" w:themeColor="text1"/>
                <w:sz w:val="24"/>
                <w:highlight w:val="none"/>
                <w14:textFill>
                  <w14:solidFill>
                    <w14:schemeClr w14:val="tx1"/>
                  </w14:solidFill>
                </w14:textFill>
              </w:rPr>
              <w:t>难以体现具体实现对象、数据粒度及业务处理逻辑</w:t>
            </w:r>
            <w:r>
              <w:rPr>
                <w:rFonts w:hint="eastAsia" w:ascii="仿宋" w:hAnsi="仿宋" w:eastAsia="仿宋" w:cs="仿宋_GB2312"/>
                <w:color w:val="000000" w:themeColor="text1"/>
                <w:sz w:val="24"/>
                <w:highlight w:val="none"/>
                <w14:textFill>
                  <w14:solidFill>
                    <w14:schemeClr w14:val="tx1"/>
                  </w14:solidFill>
                </w14:textFill>
              </w:rPr>
              <w:t>，</w:t>
            </w:r>
            <w:r>
              <w:rPr>
                <w:rFonts w:hint="eastAsia" w:ascii="仿宋" w:hAnsi="仿宋" w:eastAsia="仿宋" w:cs="仿宋_GB2312"/>
                <w:color w:val="000000" w:themeColor="text1"/>
                <w:sz w:val="24"/>
                <w:highlight w:val="none"/>
                <w:lang w:val="en-US" w:eastAsia="zh-CN"/>
                <w14:textFill>
                  <w14:solidFill>
                    <w14:schemeClr w14:val="tx1"/>
                  </w14:solidFill>
                </w14:textFill>
              </w:rPr>
              <w:t>或</w:t>
            </w:r>
            <w:r>
              <w:rPr>
                <w:rFonts w:hint="eastAsia" w:ascii="仿宋" w:hAnsi="仿宋" w:eastAsia="仿宋" w:cs="仿宋_GB2312"/>
                <w:color w:val="000000" w:themeColor="text1"/>
                <w:sz w:val="24"/>
                <w:highlight w:val="none"/>
                <w14:textFill>
                  <w14:solidFill>
                    <w14:schemeClr w14:val="tx1"/>
                  </w14:solidFill>
                </w14:textFill>
              </w:rPr>
              <w:t>未提供不得分；</w:t>
            </w:r>
          </w:p>
          <w:p w14:paraId="63B79C49">
            <w:pPr>
              <w:snapToGrid w:val="0"/>
              <w:jc w:val="left"/>
              <w:rPr>
                <w:rFonts w:hint="eastAsia" w:ascii="仿宋" w:hAnsi="仿宋" w:eastAsia="仿宋" w:cs="Arial"/>
                <w:color w:val="000000" w:themeColor="text1"/>
                <w:sz w:val="24"/>
                <w:szCs w:val="22"/>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3.业务重点难点：对</w:t>
            </w:r>
            <w:r>
              <w:rPr>
                <w:rFonts w:ascii="仿宋" w:hAnsi="仿宋" w:eastAsia="仿宋" w:cs="仿宋_GB2312"/>
                <w:color w:val="000000" w:themeColor="text1"/>
                <w:sz w:val="24"/>
                <w:highlight w:val="none"/>
                <w14:textFill>
                  <w14:solidFill>
                    <w14:schemeClr w14:val="tx1"/>
                  </w14:solidFill>
                </w14:textFill>
              </w:rPr>
              <w:t>实时监测规则设计</w:t>
            </w:r>
            <w:r>
              <w:rPr>
                <w:rFonts w:hint="eastAsia" w:ascii="仿宋" w:hAnsi="仿宋" w:eastAsia="仿宋" w:cs="仿宋_GB2312"/>
                <w:color w:val="000000" w:themeColor="text1"/>
                <w:sz w:val="24"/>
                <w:highlight w:val="none"/>
                <w14:textFill>
                  <w14:solidFill>
                    <w14:schemeClr w14:val="tx1"/>
                  </w14:solidFill>
                </w14:textFill>
              </w:rPr>
              <w:t>有深入理解，能够对实时监测的业务</w:t>
            </w:r>
            <w:r>
              <w:rPr>
                <w:rFonts w:ascii="仿宋" w:hAnsi="仿宋" w:eastAsia="仿宋" w:cs="仿宋_GB2312"/>
                <w:color w:val="000000" w:themeColor="text1"/>
                <w:sz w:val="24"/>
                <w:highlight w:val="none"/>
                <w14:textFill>
                  <w14:solidFill>
                    <w14:schemeClr w14:val="tx1"/>
                  </w14:solidFill>
                </w14:textFill>
              </w:rPr>
              <w:t>关键难点</w:t>
            </w:r>
            <w:r>
              <w:rPr>
                <w:rFonts w:hint="eastAsia" w:ascii="仿宋" w:hAnsi="仿宋" w:eastAsia="仿宋" w:cs="仿宋_GB2312"/>
                <w:color w:val="000000" w:themeColor="text1"/>
                <w:sz w:val="24"/>
                <w:highlight w:val="none"/>
                <w14:textFill>
                  <w14:solidFill>
                    <w14:schemeClr w14:val="tx1"/>
                  </w14:solidFill>
                </w14:textFill>
              </w:rPr>
              <w:t>，实时计算链路的</w:t>
            </w:r>
            <w:r>
              <w:rPr>
                <w:rFonts w:ascii="仿宋" w:hAnsi="仿宋" w:eastAsia="仿宋" w:cs="仿宋_GB2312"/>
                <w:color w:val="000000" w:themeColor="text1"/>
                <w:sz w:val="24"/>
                <w:highlight w:val="none"/>
                <w14:textFill>
                  <w14:solidFill>
                    <w14:schemeClr w14:val="tx1"/>
                  </w14:solidFill>
                </w14:textFill>
              </w:rPr>
              <w:t>稳定性</w:t>
            </w:r>
            <w:r>
              <w:rPr>
                <w:rFonts w:hint="eastAsia" w:ascii="仿宋" w:hAnsi="仿宋" w:eastAsia="仿宋" w:cs="仿宋_GB2312"/>
                <w:color w:val="000000" w:themeColor="text1"/>
                <w:sz w:val="24"/>
                <w:highlight w:val="none"/>
                <w14:textFill>
                  <w14:solidFill>
                    <w14:schemeClr w14:val="tx1"/>
                  </w14:solidFill>
                </w14:textFill>
              </w:rPr>
              <w:t>等有深入的理解和分析，得3分；对实时监测的业务重点难点有一定的分析，但分析深度和针对性一般，得2分；对实时监测的业务重点和难点理解较为笼统，不能提供深入的分析，得1分；未提供不得分；</w:t>
            </w:r>
          </w:p>
        </w:tc>
        <w:tc>
          <w:tcPr>
            <w:tcW w:w="431" w:type="pct"/>
            <w:shd w:val="clear" w:color="auto" w:fill="auto"/>
            <w:vAlign w:val="center"/>
          </w:tcPr>
          <w:p w14:paraId="5DAF1B4F">
            <w:pPr>
              <w:snapToGrid w:val="0"/>
              <w:spacing w:line="360" w:lineRule="exact"/>
              <w:jc w:val="center"/>
              <w:rPr>
                <w:rFonts w:hint="default" w:ascii="仿宋" w:hAnsi="仿宋" w:eastAsia="仿宋" w:cs="仿宋_GB2312"/>
                <w:color w:val="000000" w:themeColor="text1"/>
                <w:sz w:val="24"/>
                <w:highlight w:val="none"/>
                <w:lang w:val="en-US"/>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8</w:t>
            </w:r>
          </w:p>
        </w:tc>
      </w:tr>
      <w:tr w14:paraId="20BE3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1905" w:hRule="atLeast"/>
        </w:trPr>
        <w:tc>
          <w:tcPr>
            <w:tcW w:w="431" w:type="pct"/>
            <w:shd w:val="clear" w:color="auto" w:fill="auto"/>
            <w:vAlign w:val="center"/>
          </w:tcPr>
          <w:p w14:paraId="388449FB">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5</w:t>
            </w:r>
          </w:p>
        </w:tc>
        <w:tc>
          <w:tcPr>
            <w:tcW w:w="898" w:type="pct"/>
            <w:vMerge w:val="continue"/>
            <w:shd w:val="clear" w:color="auto" w:fill="auto"/>
            <w:vAlign w:val="center"/>
          </w:tcPr>
          <w:p w14:paraId="4D31D4D9">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p>
        </w:tc>
        <w:tc>
          <w:tcPr>
            <w:tcW w:w="954" w:type="pct"/>
            <w:shd w:val="clear" w:color="auto" w:fill="auto"/>
            <w:vAlign w:val="center"/>
          </w:tcPr>
          <w:p w14:paraId="5FF17CD8">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技术</w:t>
            </w:r>
            <w:r>
              <w:rPr>
                <w:rFonts w:hint="eastAsia" w:ascii="仿宋" w:hAnsi="仿宋" w:eastAsia="仿宋" w:cs="仿宋_GB2312"/>
                <w:color w:val="000000" w:themeColor="text1"/>
                <w:sz w:val="24"/>
                <w:highlight w:val="none"/>
                <w14:textFill>
                  <w14:solidFill>
                    <w14:schemeClr w14:val="tx1"/>
                  </w14:solidFill>
                </w14:textFill>
              </w:rPr>
              <w:t>方案</w:t>
            </w:r>
          </w:p>
        </w:tc>
        <w:tc>
          <w:tcPr>
            <w:tcW w:w="2284" w:type="pct"/>
            <w:shd w:val="clear" w:color="auto" w:fill="auto"/>
            <w:vAlign w:val="center"/>
          </w:tcPr>
          <w:p w14:paraId="1600A5B5">
            <w:pPr>
              <w:jc w:val="left"/>
              <w:rPr>
                <w:rFonts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根据投标人的技术方案进行打分。</w:t>
            </w:r>
          </w:p>
          <w:p w14:paraId="63BA2331">
            <w:pPr>
              <w:spacing w:line="360" w:lineRule="exact"/>
              <w:jc w:val="left"/>
              <w:rPr>
                <w:rFonts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主要包含：</w:t>
            </w:r>
          </w:p>
          <w:p w14:paraId="60D6AE7F">
            <w:pPr>
              <w:numPr>
                <w:ilvl w:val="255"/>
                <w:numId w:val="0"/>
              </w:numPr>
              <w:spacing w:line="360" w:lineRule="exact"/>
              <w:jc w:val="left"/>
              <w:rPr>
                <w:rFonts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（1）实时监测功能实现方案：</w:t>
            </w:r>
            <w:r>
              <w:rPr>
                <w:rFonts w:ascii="仿宋" w:hAnsi="仿宋" w:eastAsia="仿宋" w:cs="Arial"/>
                <w:color w:val="000000" w:themeColor="text1"/>
                <w:sz w:val="24"/>
                <w:highlight w:val="none"/>
                <w14:textFill>
                  <w14:solidFill>
                    <w14:schemeClr w14:val="tx1"/>
                  </w14:solidFill>
                </w14:textFill>
              </w:rPr>
              <w:t>实时监测功能实现方案完整，能够围绕核心业务场景，对监测对象、监测指标、监测规则配置、告警触发机制、监测结果展示等功能进行系统设计；能够结合现有数据平台系统的功能框架，对实时监测功能的落地</w:t>
            </w:r>
            <w:r>
              <w:rPr>
                <w:rFonts w:hint="eastAsia" w:ascii="仿宋" w:hAnsi="仿宋" w:eastAsia="仿宋" w:cs="Arial"/>
                <w:color w:val="000000" w:themeColor="text1"/>
                <w:sz w:val="24"/>
                <w:highlight w:val="none"/>
                <w14:textFill>
                  <w14:solidFill>
                    <w14:schemeClr w14:val="tx1"/>
                  </w14:solidFill>
                </w14:textFill>
              </w:rPr>
              <w:t>有的</w:t>
            </w:r>
            <w:r>
              <w:rPr>
                <w:rFonts w:ascii="仿宋" w:hAnsi="仿宋" w:eastAsia="仿宋" w:cs="Arial"/>
                <w:color w:val="000000" w:themeColor="text1"/>
                <w:sz w:val="24"/>
                <w:highlight w:val="none"/>
                <w14:textFill>
                  <w14:solidFill>
                    <w14:schemeClr w14:val="tx1"/>
                  </w14:solidFill>
                </w14:textFill>
              </w:rPr>
              <w:t>明确说明</w:t>
            </w:r>
            <w:r>
              <w:rPr>
                <w:rFonts w:hint="eastAsia" w:ascii="仿宋" w:hAnsi="仿宋" w:eastAsia="仿宋" w:cs="Arial"/>
                <w:color w:val="000000" w:themeColor="text1"/>
                <w:sz w:val="24"/>
                <w:highlight w:val="none"/>
                <w14:textFill>
                  <w14:solidFill>
                    <w14:schemeClr w14:val="tx1"/>
                  </w14:solidFill>
                </w14:textFill>
              </w:rPr>
              <w:t>，得</w:t>
            </w:r>
            <w:r>
              <w:rPr>
                <w:rFonts w:hint="eastAsia" w:ascii="仿宋" w:hAnsi="仿宋" w:eastAsia="仿宋" w:cs="Arial"/>
                <w:color w:val="000000" w:themeColor="text1"/>
                <w:sz w:val="24"/>
                <w:highlight w:val="none"/>
                <w:lang w:val="en-US" w:eastAsia="zh-CN"/>
                <w14:textFill>
                  <w14:solidFill>
                    <w14:schemeClr w14:val="tx1"/>
                  </w14:solidFill>
                </w14:textFill>
              </w:rPr>
              <w:t>4</w:t>
            </w:r>
            <w:r>
              <w:rPr>
                <w:rFonts w:hint="eastAsia" w:ascii="仿宋" w:hAnsi="仿宋" w:eastAsia="仿宋" w:cs="Arial"/>
                <w:color w:val="000000" w:themeColor="text1"/>
                <w:sz w:val="24"/>
                <w:highlight w:val="none"/>
                <w14:textFill>
                  <w14:solidFill>
                    <w14:schemeClr w14:val="tx1"/>
                  </w14:solidFill>
                </w14:textFill>
              </w:rPr>
              <w:t>分；</w:t>
            </w:r>
            <w:r>
              <w:rPr>
                <w:rFonts w:ascii="仿宋" w:hAnsi="仿宋" w:eastAsia="仿宋" w:cs="Arial"/>
                <w:color w:val="000000" w:themeColor="text1"/>
                <w:sz w:val="24"/>
                <w:highlight w:val="none"/>
                <w14:textFill>
                  <w14:solidFill>
                    <w14:schemeClr w14:val="tx1"/>
                  </w14:solidFill>
                </w14:textFill>
              </w:rPr>
              <w:t>对实时监测功能的实现思路有较为完整的描述，</w:t>
            </w:r>
            <w:r>
              <w:rPr>
                <w:rFonts w:hint="eastAsia" w:ascii="仿宋" w:hAnsi="仿宋" w:eastAsia="仿宋" w:cs="Arial"/>
                <w:color w:val="000000" w:themeColor="text1"/>
                <w:sz w:val="24"/>
                <w:highlight w:val="none"/>
                <w14:textFill>
                  <w14:solidFill>
                    <w14:schemeClr w14:val="tx1"/>
                  </w14:solidFill>
                </w14:textFill>
              </w:rPr>
              <w:t>但</w:t>
            </w:r>
            <w:r>
              <w:rPr>
                <w:rFonts w:ascii="仿宋" w:hAnsi="仿宋" w:eastAsia="仿宋" w:cs="Arial"/>
                <w:color w:val="000000" w:themeColor="text1"/>
                <w:sz w:val="24"/>
                <w:highlight w:val="none"/>
                <w14:textFill>
                  <w14:solidFill>
                    <w14:schemeClr w14:val="tx1"/>
                  </w14:solidFill>
                </w14:textFill>
              </w:rPr>
              <w:t>功能描述不够深入</w:t>
            </w:r>
            <w:r>
              <w:rPr>
                <w:rFonts w:hint="eastAsia" w:ascii="仿宋" w:hAnsi="仿宋" w:eastAsia="仿宋" w:cs="Arial"/>
                <w:color w:val="000000" w:themeColor="text1"/>
                <w:sz w:val="24"/>
                <w:highlight w:val="none"/>
                <w14:textFill>
                  <w14:solidFill>
                    <w14:schemeClr w14:val="tx1"/>
                  </w14:solidFill>
                </w14:textFill>
              </w:rPr>
              <w:t>，不能结合现有数据平台系统进行说明，得3分；</w:t>
            </w:r>
            <w:r>
              <w:rPr>
                <w:rFonts w:ascii="仿宋" w:hAnsi="仿宋" w:eastAsia="仿宋" w:cs="Arial"/>
                <w:color w:val="000000" w:themeColor="text1"/>
                <w:sz w:val="24"/>
                <w:highlight w:val="none"/>
                <w14:textFill>
                  <w14:solidFill>
                    <w14:schemeClr w14:val="tx1"/>
                  </w14:solidFill>
                </w14:textFill>
              </w:rPr>
              <w:t>实时监测功能实现方案描述较为概括</w:t>
            </w:r>
            <w:r>
              <w:rPr>
                <w:rFonts w:hint="eastAsia" w:ascii="仿宋" w:hAnsi="仿宋" w:eastAsia="仿宋" w:cs="Arial"/>
                <w:color w:val="000000" w:themeColor="text1"/>
                <w:sz w:val="24"/>
                <w:highlight w:val="none"/>
                <w14:textFill>
                  <w14:solidFill>
                    <w14:schemeClr w14:val="tx1"/>
                  </w14:solidFill>
                </w14:textFill>
              </w:rPr>
              <w:t>，</w:t>
            </w:r>
            <w:r>
              <w:rPr>
                <w:rFonts w:ascii="仿宋" w:hAnsi="仿宋" w:eastAsia="仿宋" w:cs="Arial"/>
                <w:color w:val="000000" w:themeColor="text1"/>
                <w:sz w:val="24"/>
                <w:highlight w:val="none"/>
                <w14:textFill>
                  <w14:solidFill>
                    <w14:schemeClr w14:val="tx1"/>
                  </w14:solidFill>
                </w14:textFill>
              </w:rPr>
              <w:t>多为原则性说明</w:t>
            </w:r>
            <w:r>
              <w:rPr>
                <w:rFonts w:hint="eastAsia" w:ascii="仿宋" w:hAnsi="仿宋" w:eastAsia="仿宋" w:cs="Arial"/>
                <w:color w:val="000000" w:themeColor="text1"/>
                <w:sz w:val="24"/>
                <w:highlight w:val="none"/>
                <w14:textFill>
                  <w14:solidFill>
                    <w14:schemeClr w14:val="tx1"/>
                  </w14:solidFill>
                </w14:textFill>
              </w:rPr>
              <w:t>得1分；未提供功能实现方案不得分。</w:t>
            </w:r>
          </w:p>
          <w:p w14:paraId="6EB4B90F">
            <w:pPr>
              <w:numPr>
                <w:ilvl w:val="0"/>
                <w:numId w:val="6"/>
              </w:numPr>
              <w:spacing w:line="360" w:lineRule="exact"/>
              <w:jc w:val="left"/>
              <w:rPr>
                <w:rFonts w:ascii="仿宋" w:hAnsi="仿宋" w:eastAsia="仿宋" w:cs="Arial"/>
                <w:color w:val="000000" w:themeColor="text1"/>
                <w:sz w:val="24"/>
                <w:highlight w:val="none"/>
                <w14:textFill>
                  <w14:solidFill>
                    <w14:schemeClr w14:val="tx1"/>
                  </w14:solidFill>
                </w14:textFill>
              </w:rPr>
            </w:pPr>
            <w:r>
              <w:rPr>
                <w:rFonts w:ascii="仿宋" w:hAnsi="仿宋" w:eastAsia="仿宋" w:cs="Arial"/>
                <w:color w:val="000000" w:themeColor="text1"/>
                <w:sz w:val="24"/>
                <w:highlight w:val="none"/>
                <w14:textFill>
                  <w14:solidFill>
                    <w14:schemeClr w14:val="tx1"/>
                  </w14:solidFill>
                </w14:textFill>
              </w:rPr>
              <w:t>实时监测技术实现</w:t>
            </w:r>
            <w:r>
              <w:rPr>
                <w:rFonts w:hint="eastAsia" w:ascii="仿宋" w:hAnsi="仿宋" w:eastAsia="仿宋" w:cs="Arial"/>
                <w:color w:val="000000" w:themeColor="text1"/>
                <w:sz w:val="24"/>
                <w:highlight w:val="none"/>
                <w14:textFill>
                  <w14:solidFill>
                    <w14:schemeClr w14:val="tx1"/>
                  </w14:solidFill>
                </w14:textFill>
              </w:rPr>
              <w:t>方案：</w:t>
            </w:r>
            <w:r>
              <w:rPr>
                <w:rFonts w:ascii="仿宋" w:hAnsi="仿宋" w:eastAsia="仿宋" w:cs="Arial"/>
                <w:color w:val="000000" w:themeColor="text1"/>
                <w:sz w:val="24"/>
                <w:highlight w:val="none"/>
                <w14:textFill>
                  <w14:solidFill>
                    <w14:schemeClr w14:val="tx1"/>
                  </w14:solidFill>
                </w14:textFill>
              </w:rPr>
              <w:t>实时监测技术实现方案设计合理，能够</w:t>
            </w:r>
            <w:r>
              <w:rPr>
                <w:rFonts w:hint="eastAsia" w:ascii="仿宋" w:hAnsi="仿宋" w:eastAsia="仿宋" w:cs="Arial"/>
                <w:color w:val="000000" w:themeColor="text1"/>
                <w:sz w:val="24"/>
                <w:highlight w:val="none"/>
                <w14:textFill>
                  <w14:solidFill>
                    <w14:schemeClr w14:val="tx1"/>
                  </w14:solidFill>
                </w14:textFill>
              </w:rPr>
              <w:t>结合C</w:t>
            </w:r>
            <w:r>
              <w:rPr>
                <w:rFonts w:ascii="仿宋" w:hAnsi="仿宋" w:eastAsia="仿宋" w:cs="Arial"/>
                <w:color w:val="000000" w:themeColor="text1"/>
                <w:sz w:val="24"/>
                <w:highlight w:val="none"/>
                <w14:textFill>
                  <w14:solidFill>
                    <w14:schemeClr w14:val="tx1"/>
                  </w14:solidFill>
                </w14:textFill>
              </w:rPr>
              <w:t>DC/D</w:t>
            </w:r>
            <w:r>
              <w:rPr>
                <w:rFonts w:hint="eastAsia" w:ascii="仿宋" w:hAnsi="仿宋" w:eastAsia="仿宋" w:cs="Arial"/>
                <w:color w:val="000000" w:themeColor="text1"/>
                <w:sz w:val="24"/>
                <w:highlight w:val="none"/>
                <w14:textFill>
                  <w14:solidFill>
                    <w14:schemeClr w14:val="tx1"/>
                  </w14:solidFill>
                </w14:textFill>
              </w:rPr>
              <w:t>atahub</w:t>
            </w:r>
            <w:r>
              <w:rPr>
                <w:rFonts w:ascii="仿宋" w:hAnsi="仿宋" w:eastAsia="仿宋" w:cs="Arial"/>
                <w:color w:val="000000" w:themeColor="text1"/>
                <w:sz w:val="24"/>
                <w:highlight w:val="none"/>
                <w14:textFill>
                  <w14:solidFill>
                    <w14:schemeClr w14:val="tx1"/>
                  </w14:solidFill>
                </w14:textFill>
              </w:rPr>
              <w:t>/Flink</w:t>
            </w:r>
            <w:r>
              <w:rPr>
                <w:rFonts w:hint="eastAsia" w:ascii="仿宋" w:hAnsi="仿宋" w:eastAsia="仿宋" w:cs="Arial"/>
                <w:color w:val="000000" w:themeColor="text1"/>
                <w:sz w:val="24"/>
                <w:highlight w:val="none"/>
                <w14:textFill>
                  <w14:solidFill>
                    <w14:schemeClr w14:val="tx1"/>
                  </w14:solidFill>
                </w14:textFill>
              </w:rPr>
              <w:t>/</w:t>
            </w:r>
            <w:r>
              <w:rPr>
                <w:rFonts w:ascii="仿宋" w:hAnsi="仿宋" w:eastAsia="仿宋" w:cs="Arial"/>
                <w:color w:val="000000" w:themeColor="text1"/>
                <w:sz w:val="24"/>
                <w:highlight w:val="none"/>
                <w14:textFill>
                  <w14:solidFill>
                    <w14:schemeClr w14:val="tx1"/>
                  </w14:solidFill>
                </w14:textFill>
              </w:rPr>
              <w:t>Hologres</w:t>
            </w:r>
            <w:r>
              <w:rPr>
                <w:rFonts w:hint="eastAsia" w:ascii="仿宋" w:hAnsi="仿宋" w:eastAsia="仿宋" w:cs="Arial"/>
                <w:color w:val="000000" w:themeColor="text1"/>
                <w:sz w:val="24"/>
                <w:highlight w:val="none"/>
                <w14:textFill>
                  <w14:solidFill>
                    <w14:schemeClr w14:val="tx1"/>
                  </w14:solidFill>
                </w14:textFill>
              </w:rPr>
              <w:t>/</w:t>
            </w:r>
            <w:r>
              <w:rPr>
                <w:rFonts w:ascii="仿宋" w:hAnsi="仿宋" w:eastAsia="仿宋" w:cs="Arial"/>
                <w:color w:val="000000" w:themeColor="text1"/>
                <w:sz w:val="24"/>
                <w:highlight w:val="none"/>
                <w14:textFill>
                  <w14:solidFill>
                    <w14:schemeClr w14:val="tx1"/>
                  </w14:solidFill>
                </w14:textFill>
              </w:rPr>
              <w:t>Dataworks对实时数据采集、流式处理链路、</w:t>
            </w:r>
            <w:r>
              <w:rPr>
                <w:rFonts w:hint="eastAsia" w:ascii="仿宋" w:hAnsi="仿宋" w:eastAsia="仿宋" w:cs="Arial"/>
                <w:color w:val="000000" w:themeColor="text1"/>
                <w:sz w:val="24"/>
                <w:highlight w:val="none"/>
                <w14:textFill>
                  <w14:solidFill>
                    <w14:schemeClr w14:val="tx1"/>
                  </w14:solidFill>
                </w14:textFill>
              </w:rPr>
              <w:t>业务数据批量E</w:t>
            </w:r>
            <w:r>
              <w:rPr>
                <w:rFonts w:ascii="仿宋" w:hAnsi="仿宋" w:eastAsia="仿宋" w:cs="Arial"/>
                <w:color w:val="000000" w:themeColor="text1"/>
                <w:sz w:val="24"/>
                <w:highlight w:val="none"/>
                <w14:textFill>
                  <w14:solidFill>
                    <w14:schemeClr w14:val="tx1"/>
                  </w14:solidFill>
                </w14:textFill>
              </w:rPr>
              <w:t>TL</w:t>
            </w:r>
            <w:r>
              <w:rPr>
                <w:rFonts w:hint="eastAsia" w:ascii="仿宋" w:hAnsi="仿宋" w:eastAsia="仿宋" w:cs="Arial"/>
                <w:color w:val="000000" w:themeColor="text1"/>
                <w:sz w:val="24"/>
                <w:highlight w:val="none"/>
                <w14:textFill>
                  <w14:solidFill>
                    <w14:schemeClr w14:val="tx1"/>
                  </w14:solidFill>
                </w14:textFill>
              </w:rPr>
              <w:t>处理</w:t>
            </w:r>
            <w:r>
              <w:rPr>
                <w:rFonts w:ascii="仿宋" w:hAnsi="仿宋" w:eastAsia="仿宋" w:cs="Arial"/>
                <w:color w:val="000000" w:themeColor="text1"/>
                <w:sz w:val="24"/>
                <w:highlight w:val="none"/>
                <w14:textFill>
                  <w14:solidFill>
                    <w14:schemeClr w14:val="tx1"/>
                  </w14:solidFill>
                </w14:textFill>
              </w:rPr>
              <w:t>、告警触发机制、前端实时展示等关键技术环节给出完整方案</w:t>
            </w:r>
            <w:r>
              <w:rPr>
                <w:rFonts w:hint="eastAsia" w:ascii="仿宋" w:hAnsi="仿宋" w:eastAsia="仿宋" w:cs="Arial"/>
                <w:color w:val="000000" w:themeColor="text1"/>
                <w:sz w:val="24"/>
                <w:highlight w:val="none"/>
                <w14:textFill>
                  <w14:solidFill>
                    <w14:schemeClr w14:val="tx1"/>
                  </w14:solidFill>
                </w14:textFill>
              </w:rPr>
              <w:t>，</w:t>
            </w:r>
            <w:r>
              <w:rPr>
                <w:rFonts w:ascii="仿宋" w:hAnsi="仿宋" w:eastAsia="仿宋" w:cs="Arial"/>
                <w:color w:val="000000" w:themeColor="text1"/>
                <w:sz w:val="24"/>
                <w:highlight w:val="none"/>
                <w14:textFill>
                  <w14:solidFill>
                    <w14:schemeClr w14:val="tx1"/>
                  </w14:solidFill>
                </w14:textFill>
              </w:rPr>
              <w:t>对实时计算低时延、高吞吐、规则可配置、监测任务调度等技术难点有明确应对策略</w:t>
            </w:r>
            <w:r>
              <w:rPr>
                <w:rFonts w:hint="eastAsia" w:ascii="仿宋" w:hAnsi="仿宋" w:eastAsia="仿宋" w:cs="Arial"/>
                <w:color w:val="000000" w:themeColor="text1"/>
                <w:sz w:val="24"/>
                <w:highlight w:val="none"/>
                <w14:textFill>
                  <w14:solidFill>
                    <w14:schemeClr w14:val="tx1"/>
                  </w14:solidFill>
                </w14:textFill>
              </w:rPr>
              <w:t>，得</w:t>
            </w:r>
            <w:r>
              <w:rPr>
                <w:rFonts w:hint="eastAsia" w:ascii="仿宋" w:hAnsi="仿宋" w:eastAsia="仿宋" w:cs="Arial"/>
                <w:color w:val="000000" w:themeColor="text1"/>
                <w:sz w:val="24"/>
                <w:highlight w:val="none"/>
                <w:lang w:val="en-US" w:eastAsia="zh-CN"/>
                <w14:textFill>
                  <w14:solidFill>
                    <w14:schemeClr w14:val="tx1"/>
                  </w14:solidFill>
                </w14:textFill>
              </w:rPr>
              <w:t>3</w:t>
            </w:r>
            <w:r>
              <w:rPr>
                <w:rFonts w:hint="eastAsia" w:ascii="仿宋" w:hAnsi="仿宋" w:eastAsia="仿宋" w:cs="Arial"/>
                <w:color w:val="000000" w:themeColor="text1"/>
                <w:sz w:val="24"/>
                <w:highlight w:val="none"/>
                <w14:textFill>
                  <w14:solidFill>
                    <w14:schemeClr w14:val="tx1"/>
                  </w14:solidFill>
                </w14:textFill>
              </w:rPr>
              <w:t>分；</w:t>
            </w:r>
            <w:r>
              <w:rPr>
                <w:rFonts w:ascii="仿宋" w:hAnsi="仿宋" w:eastAsia="仿宋" w:cs="Arial"/>
                <w:color w:val="000000" w:themeColor="text1"/>
                <w:sz w:val="24"/>
                <w:highlight w:val="none"/>
                <w14:textFill>
                  <w14:solidFill>
                    <w14:schemeClr w14:val="tx1"/>
                  </w14:solidFill>
                </w14:textFill>
              </w:rPr>
              <w:t>对实时监测关键技术实现路径有基本说明，覆盖数据接入、处理和展示等主要环节</w:t>
            </w:r>
            <w:r>
              <w:rPr>
                <w:rFonts w:hint="eastAsia" w:ascii="仿宋" w:hAnsi="仿宋" w:eastAsia="仿宋" w:cs="Arial"/>
                <w:color w:val="000000" w:themeColor="text1"/>
                <w:sz w:val="24"/>
                <w:highlight w:val="none"/>
                <w14:textFill>
                  <w14:solidFill>
                    <w14:schemeClr w14:val="tx1"/>
                  </w14:solidFill>
                </w14:textFill>
              </w:rPr>
              <w:t>设计较合理，</w:t>
            </w:r>
            <w:r>
              <w:rPr>
                <w:rFonts w:ascii="仿宋" w:hAnsi="仿宋" w:eastAsia="仿宋" w:cs="Arial"/>
                <w:color w:val="000000" w:themeColor="text1"/>
                <w:sz w:val="24"/>
                <w:highlight w:val="none"/>
                <w14:textFill>
                  <w14:solidFill>
                    <w14:schemeClr w14:val="tx1"/>
                  </w14:solidFill>
                </w14:textFill>
              </w:rPr>
              <w:t>关键技术点描述不够具体</w:t>
            </w:r>
            <w:r>
              <w:rPr>
                <w:rFonts w:hint="eastAsia" w:ascii="仿宋" w:hAnsi="仿宋" w:eastAsia="仿宋" w:cs="Arial"/>
                <w:color w:val="000000" w:themeColor="text1"/>
                <w:sz w:val="24"/>
                <w:highlight w:val="none"/>
                <w14:textFill>
                  <w14:solidFill>
                    <w14:schemeClr w14:val="tx1"/>
                  </w14:solidFill>
                </w14:textFill>
              </w:rPr>
              <w:t>，得</w:t>
            </w:r>
            <w:r>
              <w:rPr>
                <w:rFonts w:hint="eastAsia" w:ascii="仿宋" w:hAnsi="仿宋" w:eastAsia="仿宋" w:cs="Arial"/>
                <w:color w:val="000000" w:themeColor="text1"/>
                <w:sz w:val="24"/>
                <w:highlight w:val="none"/>
                <w:lang w:val="en-US" w:eastAsia="zh-CN"/>
                <w14:textFill>
                  <w14:solidFill>
                    <w14:schemeClr w14:val="tx1"/>
                  </w14:solidFill>
                </w14:textFill>
              </w:rPr>
              <w:t>2</w:t>
            </w:r>
            <w:r>
              <w:rPr>
                <w:rFonts w:hint="eastAsia" w:ascii="仿宋" w:hAnsi="仿宋" w:eastAsia="仿宋" w:cs="Arial"/>
                <w:color w:val="000000" w:themeColor="text1"/>
                <w:sz w:val="24"/>
                <w:highlight w:val="none"/>
                <w14:textFill>
                  <w14:solidFill>
                    <w14:schemeClr w14:val="tx1"/>
                  </w14:solidFill>
                </w14:textFill>
              </w:rPr>
              <w:t>分；</w:t>
            </w:r>
            <w:r>
              <w:rPr>
                <w:rFonts w:ascii="仿宋" w:hAnsi="仿宋" w:eastAsia="仿宋" w:cs="Arial"/>
                <w:color w:val="000000" w:themeColor="text1"/>
                <w:sz w:val="24"/>
                <w:highlight w:val="none"/>
                <w14:textFill>
                  <w14:solidFill>
                    <w14:schemeClr w14:val="tx1"/>
                  </w14:solidFill>
                </w14:textFill>
              </w:rPr>
              <w:t>技术实现方案多为概念性描述，对实时链路关键技术点</w:t>
            </w:r>
            <w:r>
              <w:rPr>
                <w:rFonts w:hint="eastAsia" w:ascii="仿宋" w:hAnsi="仿宋" w:eastAsia="仿宋" w:cs="Arial"/>
                <w:color w:val="000000" w:themeColor="text1"/>
                <w:sz w:val="24"/>
                <w:highlight w:val="none"/>
                <w14:textFill>
                  <w14:solidFill>
                    <w14:schemeClr w14:val="tx1"/>
                  </w14:solidFill>
                </w14:textFill>
              </w:rPr>
              <w:t>设计不足，得1分；未提供技术实现方案不得分。</w:t>
            </w:r>
          </w:p>
          <w:p w14:paraId="347782B5">
            <w:pPr>
              <w:spacing w:line="360" w:lineRule="exact"/>
              <w:jc w:val="left"/>
              <w:rPr>
                <w:rFonts w:ascii="仿宋" w:hAnsi="仿宋" w:eastAsia="仿宋" w:cs="Arial"/>
                <w:color w:val="000000" w:themeColor="text1"/>
                <w:sz w:val="24"/>
                <w:szCs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（3）实时监测的稳定性方案：有完整</w:t>
            </w:r>
            <w:r>
              <w:rPr>
                <w:rFonts w:ascii="仿宋" w:hAnsi="仿宋" w:eastAsia="仿宋" w:cs="Arial"/>
                <w:color w:val="000000" w:themeColor="text1"/>
                <w:sz w:val="24"/>
                <w:highlight w:val="none"/>
                <w14:textFill>
                  <w14:solidFill>
                    <w14:schemeClr w14:val="tx1"/>
                  </w14:solidFill>
                </w14:textFill>
              </w:rPr>
              <w:t>的稳定性保障方案，</w:t>
            </w:r>
            <w:r>
              <w:rPr>
                <w:rFonts w:hint="eastAsia" w:ascii="仿宋" w:hAnsi="仿宋" w:eastAsia="仿宋" w:cs="Arial"/>
                <w:color w:val="000000" w:themeColor="text1"/>
                <w:sz w:val="24"/>
                <w:highlight w:val="none"/>
                <w14:textFill>
                  <w14:solidFill>
                    <w14:schemeClr w14:val="tx1"/>
                  </w14:solidFill>
                </w14:textFill>
              </w:rPr>
              <w:t>提供</w:t>
            </w:r>
            <w:r>
              <w:rPr>
                <w:rFonts w:ascii="仿宋" w:hAnsi="仿宋" w:eastAsia="仿宋" w:cs="Arial"/>
                <w:color w:val="000000" w:themeColor="text1"/>
                <w:sz w:val="24"/>
                <w:highlight w:val="none"/>
                <w14:textFill>
                  <w14:solidFill>
                    <w14:schemeClr w14:val="tx1"/>
                  </w14:solidFill>
                </w14:textFill>
              </w:rPr>
              <w:t>高可用架构设计</w:t>
            </w:r>
            <w:r>
              <w:rPr>
                <w:rFonts w:hint="eastAsia" w:ascii="仿宋" w:hAnsi="仿宋" w:eastAsia="仿宋" w:cs="Arial"/>
                <w:color w:val="000000" w:themeColor="text1"/>
                <w:sz w:val="24"/>
                <w:highlight w:val="none"/>
                <w14:textFill>
                  <w14:solidFill>
                    <w14:schemeClr w14:val="tx1"/>
                  </w14:solidFill>
                </w14:textFill>
              </w:rPr>
              <w:t>，</w:t>
            </w:r>
            <w:r>
              <w:rPr>
                <w:rFonts w:ascii="仿宋" w:hAnsi="仿宋" w:eastAsia="仿宋" w:cs="Arial"/>
                <w:color w:val="000000" w:themeColor="text1"/>
                <w:sz w:val="24"/>
                <w:highlight w:val="none"/>
                <w14:textFill>
                  <w14:solidFill>
                    <w14:schemeClr w14:val="tx1"/>
                  </w14:solidFill>
                </w14:textFill>
              </w:rPr>
              <w:t>对实时计算链路稳定性性能保障、系统运行监控与告警机制有针对性设计，能够保障实时监测功能在高并发、高频率场景下持续稳定运行</w:t>
            </w:r>
            <w:r>
              <w:rPr>
                <w:rFonts w:hint="eastAsia" w:ascii="仿宋" w:hAnsi="仿宋" w:eastAsia="仿宋" w:cs="Arial"/>
                <w:color w:val="000000" w:themeColor="text1"/>
                <w:sz w:val="24"/>
                <w:highlight w:val="none"/>
                <w14:textFill>
                  <w14:solidFill>
                    <w14:schemeClr w14:val="tx1"/>
                  </w14:solidFill>
                </w14:textFill>
              </w:rPr>
              <w:t>，得</w:t>
            </w:r>
            <w:r>
              <w:rPr>
                <w:rFonts w:hint="eastAsia" w:ascii="仿宋" w:hAnsi="仿宋" w:eastAsia="仿宋" w:cs="Arial"/>
                <w:color w:val="000000" w:themeColor="text1"/>
                <w:sz w:val="24"/>
                <w:highlight w:val="none"/>
                <w:lang w:val="en-US" w:eastAsia="zh-CN"/>
                <w14:textFill>
                  <w14:solidFill>
                    <w14:schemeClr w14:val="tx1"/>
                  </w14:solidFill>
                </w14:textFill>
              </w:rPr>
              <w:t>3</w:t>
            </w:r>
            <w:r>
              <w:rPr>
                <w:rFonts w:hint="eastAsia" w:ascii="仿宋" w:hAnsi="仿宋" w:eastAsia="仿宋" w:cs="Arial"/>
                <w:color w:val="000000" w:themeColor="text1"/>
                <w:sz w:val="24"/>
                <w:highlight w:val="none"/>
                <w14:textFill>
                  <w14:solidFill>
                    <w14:schemeClr w14:val="tx1"/>
                  </w14:solidFill>
                </w14:textFill>
              </w:rPr>
              <w:t>分；</w:t>
            </w:r>
            <w:r>
              <w:rPr>
                <w:rFonts w:ascii="仿宋" w:hAnsi="仿宋" w:eastAsia="仿宋" w:cs="Arial"/>
                <w:color w:val="000000" w:themeColor="text1"/>
                <w:sz w:val="24"/>
                <w:highlight w:val="none"/>
                <w14:textFill>
                  <w14:solidFill>
                    <w14:schemeClr w14:val="tx1"/>
                  </w14:solidFill>
                </w14:textFill>
              </w:rPr>
              <w:t>对系统稳定性保障</w:t>
            </w:r>
            <w:r>
              <w:rPr>
                <w:rFonts w:hint="eastAsia" w:ascii="仿宋" w:hAnsi="仿宋" w:eastAsia="仿宋" w:cs="Arial"/>
                <w:color w:val="000000" w:themeColor="text1"/>
                <w:sz w:val="24"/>
                <w:highlight w:val="none"/>
                <w14:textFill>
                  <w14:solidFill>
                    <w14:schemeClr w14:val="tx1"/>
                  </w14:solidFill>
                </w14:textFill>
              </w:rPr>
              <w:t>设计一般，</w:t>
            </w:r>
            <w:r>
              <w:rPr>
                <w:rFonts w:ascii="仿宋" w:hAnsi="仿宋" w:eastAsia="仿宋" w:cs="Arial"/>
                <w:color w:val="000000" w:themeColor="text1"/>
                <w:sz w:val="24"/>
                <w:highlight w:val="none"/>
                <w14:textFill>
                  <w14:solidFill>
                    <w14:schemeClr w14:val="tx1"/>
                  </w14:solidFill>
                </w14:textFill>
              </w:rPr>
              <w:t>保障措施描述不够深入</w:t>
            </w:r>
            <w:r>
              <w:rPr>
                <w:rFonts w:hint="eastAsia" w:ascii="仿宋" w:hAnsi="仿宋" w:eastAsia="仿宋" w:cs="Arial"/>
                <w:color w:val="000000" w:themeColor="text1"/>
                <w:sz w:val="24"/>
                <w:highlight w:val="none"/>
                <w14:textFill>
                  <w14:solidFill>
                    <w14:schemeClr w14:val="tx1"/>
                  </w14:solidFill>
                </w14:textFill>
              </w:rPr>
              <w:t>，得</w:t>
            </w:r>
            <w:r>
              <w:rPr>
                <w:rFonts w:hint="eastAsia" w:ascii="仿宋" w:hAnsi="仿宋" w:eastAsia="仿宋" w:cs="Arial"/>
                <w:color w:val="000000" w:themeColor="text1"/>
                <w:sz w:val="24"/>
                <w:highlight w:val="none"/>
                <w:lang w:val="en-US" w:eastAsia="zh-CN"/>
                <w14:textFill>
                  <w14:solidFill>
                    <w14:schemeClr w14:val="tx1"/>
                  </w14:solidFill>
                </w14:textFill>
              </w:rPr>
              <w:t>2</w:t>
            </w:r>
            <w:r>
              <w:rPr>
                <w:rFonts w:hint="eastAsia" w:ascii="仿宋" w:hAnsi="仿宋" w:eastAsia="仿宋" w:cs="Arial"/>
                <w:color w:val="000000" w:themeColor="text1"/>
                <w:sz w:val="24"/>
                <w:highlight w:val="none"/>
                <w14:textFill>
                  <w14:solidFill>
                    <w14:schemeClr w14:val="tx1"/>
                  </w14:solidFill>
                </w14:textFill>
              </w:rPr>
              <w:t>分；</w:t>
            </w:r>
            <w:r>
              <w:rPr>
                <w:rFonts w:ascii="仿宋" w:hAnsi="仿宋" w:eastAsia="仿宋" w:cs="Arial"/>
                <w:color w:val="000000" w:themeColor="text1"/>
                <w:sz w:val="24"/>
                <w:highlight w:val="none"/>
                <w14:textFill>
                  <w14:solidFill>
                    <w14:schemeClr w14:val="tx1"/>
                  </w14:solidFill>
                </w14:textFill>
              </w:rPr>
              <w:t>稳定性保障方案描述较为笼统，多为原则性说明，对高可用设计、故障应对、运行监控等关键内容缺乏具体技术措施</w:t>
            </w:r>
            <w:r>
              <w:rPr>
                <w:rFonts w:hint="eastAsia" w:ascii="仿宋" w:hAnsi="仿宋" w:eastAsia="仿宋" w:cs="Arial"/>
                <w:color w:val="000000" w:themeColor="text1"/>
                <w:sz w:val="24"/>
                <w:highlight w:val="none"/>
                <w14:textFill>
                  <w14:solidFill>
                    <w14:schemeClr w14:val="tx1"/>
                  </w14:solidFill>
                </w14:textFill>
              </w:rPr>
              <w:t>，得1分；未提供稳定性方案不得分。</w:t>
            </w:r>
          </w:p>
        </w:tc>
        <w:tc>
          <w:tcPr>
            <w:tcW w:w="431" w:type="pct"/>
            <w:shd w:val="clear" w:color="auto" w:fill="auto"/>
            <w:vAlign w:val="center"/>
          </w:tcPr>
          <w:p w14:paraId="76540A2E">
            <w:pPr>
              <w:snapToGrid w:val="0"/>
              <w:spacing w:line="360" w:lineRule="exact"/>
              <w:jc w:val="center"/>
              <w:rPr>
                <w:rFonts w:hint="default" w:ascii="仿宋" w:hAnsi="仿宋" w:eastAsia="仿宋" w:cs="仿宋_GB2312"/>
                <w:color w:val="000000" w:themeColor="text1"/>
                <w:sz w:val="24"/>
                <w:highlight w:val="none"/>
                <w:lang w:val="en-US"/>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10</w:t>
            </w:r>
          </w:p>
        </w:tc>
      </w:tr>
      <w:tr w14:paraId="36018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trPr>
        <w:tc>
          <w:tcPr>
            <w:tcW w:w="431" w:type="pct"/>
            <w:shd w:val="clear" w:color="auto" w:fill="auto"/>
            <w:vAlign w:val="center"/>
          </w:tcPr>
          <w:p w14:paraId="7D669530">
            <w:pPr>
              <w:snapToGrid w:val="0"/>
              <w:spacing w:line="360" w:lineRule="exact"/>
              <w:jc w:val="center"/>
              <w:rPr>
                <w:rFonts w:hint="default" w:ascii="仿宋" w:hAnsi="仿宋" w:eastAsia="仿宋" w:cs="仿宋_GB2312"/>
                <w:color w:val="000000" w:themeColor="text1"/>
                <w:sz w:val="24"/>
                <w:highlight w:val="none"/>
                <w:lang w:val="en-US" w:eastAsia="zh-CN"/>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6</w:t>
            </w:r>
          </w:p>
        </w:tc>
        <w:tc>
          <w:tcPr>
            <w:tcW w:w="898" w:type="pct"/>
            <w:vMerge w:val="continue"/>
            <w:shd w:val="clear" w:color="auto" w:fill="auto"/>
            <w:vAlign w:val="center"/>
          </w:tcPr>
          <w:p w14:paraId="0F2D7BF2">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p>
        </w:tc>
        <w:tc>
          <w:tcPr>
            <w:tcW w:w="954" w:type="pct"/>
            <w:shd w:val="clear" w:color="auto" w:fill="auto"/>
            <w:vAlign w:val="center"/>
          </w:tcPr>
          <w:p w14:paraId="4E0F18D1">
            <w:pPr>
              <w:snapToGrid w:val="0"/>
              <w:spacing w:line="360" w:lineRule="exact"/>
              <w:jc w:val="center"/>
              <w:rPr>
                <w:rFonts w:hint="eastAsia" w:ascii="仿宋" w:hAnsi="仿宋" w:eastAsia="仿宋" w:cs="仿宋_GB2312"/>
                <w:color w:val="000000" w:themeColor="text1"/>
                <w:sz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数据实时同步技术需求</w:t>
            </w:r>
          </w:p>
        </w:tc>
        <w:tc>
          <w:tcPr>
            <w:tcW w:w="2284" w:type="pct"/>
            <w:shd w:val="clear" w:color="auto" w:fill="auto"/>
            <w:vAlign w:val="center"/>
          </w:tcPr>
          <w:p w14:paraId="3EDD092E">
            <w:pPr>
              <w:widowControl/>
              <w:numPr>
                <w:ilvl w:val="-1"/>
                <w:numId w:val="0"/>
              </w:numPr>
              <w:spacing w:line="240" w:lineRule="auto"/>
              <w:jc w:val="left"/>
              <w:textAlignment w:val="center"/>
              <w:rPr>
                <w:rFonts w:hint="eastAsia" w:ascii="仿宋" w:hAnsi="仿宋" w:eastAsia="仿宋" w:cs="Arial"/>
                <w:color w:val="000000" w:themeColor="text1"/>
                <w:sz w:val="24"/>
                <w:highlight w:val="none"/>
                <w:lang w:val="en-US" w:eastAsia="zh-CN"/>
                <w14:textFill>
                  <w14:solidFill>
                    <w14:schemeClr w14:val="tx1"/>
                  </w14:solidFill>
                </w14:textFill>
              </w:rPr>
            </w:pPr>
            <w:r>
              <w:rPr>
                <w:rFonts w:hint="eastAsia" w:ascii="仿宋" w:hAnsi="仿宋" w:eastAsia="仿宋" w:cs="Arial"/>
                <w:color w:val="000000" w:themeColor="text1"/>
                <w:sz w:val="24"/>
                <w:highlight w:val="none"/>
                <w:lang w:val="en-US" w:eastAsia="zh-CN"/>
                <w14:textFill>
                  <w14:solidFill>
                    <w14:schemeClr w14:val="tx1"/>
                  </w14:solidFill>
                </w14:textFill>
              </w:rPr>
              <w:t>本项为符合性计分。根据“技术指标-数据实时同步技术需求”所列明的36项产品功能及性能要求，逐项核实投标人提供的</w:t>
            </w:r>
            <w:r>
              <w:rPr>
                <w:rFonts w:hint="eastAsia" w:ascii="仿宋" w:hAnsi="仿宋" w:eastAsia="仿宋" w:cs="仿宋"/>
                <w:color w:val="000000" w:themeColor="text1"/>
                <w:kern w:val="0"/>
                <w:sz w:val="24"/>
                <w:szCs w:val="24"/>
                <w:highlight w:val="none"/>
                <w:lang w:bidi="ar"/>
                <w14:textFill>
                  <w14:solidFill>
                    <w14:schemeClr w14:val="tx1"/>
                  </w14:solidFill>
                </w14:textFill>
              </w:rPr>
              <w:t>功能界面截图及说明文档</w:t>
            </w:r>
            <w:r>
              <w:rPr>
                <w:rFonts w:hint="eastAsia" w:ascii="仿宋" w:hAnsi="仿宋" w:eastAsia="仿宋" w:cs="Arial"/>
                <w:color w:val="000000" w:themeColor="text1"/>
                <w:sz w:val="24"/>
                <w:highlight w:val="none"/>
                <w:lang w:val="en-US" w:eastAsia="zh-CN"/>
                <w14:textFill>
                  <w14:solidFill>
                    <w14:schemeClr w14:val="tx1"/>
                  </w14:solidFill>
                </w14:textFill>
              </w:rPr>
              <w:t>。</w:t>
            </w:r>
          </w:p>
          <w:p w14:paraId="436B57A3">
            <w:pPr>
              <w:widowControl/>
              <w:numPr>
                <w:ilvl w:val="-1"/>
                <w:numId w:val="0"/>
              </w:numPr>
              <w:ind w:left="0" w:leftChars="0" w:firstLineChars="0"/>
              <w:jc w:val="left"/>
              <w:textAlignment w:val="center"/>
              <w:rPr>
                <w:rFonts w:ascii="仿宋" w:hAnsi="仿宋" w:eastAsia="仿宋" w:cs="Arial"/>
                <w:color w:val="000000" w:themeColor="text1"/>
                <w:sz w:val="24"/>
                <w:szCs w:val="24"/>
                <w:highlight w:val="none"/>
                <w14:textFill>
                  <w14:solidFill>
                    <w14:schemeClr w14:val="tx1"/>
                  </w14:solidFill>
                </w14:textFill>
              </w:rPr>
            </w:pPr>
            <w:r>
              <w:rPr>
                <w:rFonts w:hint="eastAsia" w:ascii="仿宋" w:hAnsi="仿宋" w:eastAsia="仿宋" w:cs="Arial"/>
                <w:color w:val="000000" w:themeColor="text1"/>
                <w:sz w:val="24"/>
                <w:highlight w:val="none"/>
                <w:lang w:val="en-US" w:eastAsia="zh-CN"/>
                <w14:textFill>
                  <w14:solidFill>
                    <w14:schemeClr w14:val="tx1"/>
                  </w14:solidFill>
                </w14:textFill>
              </w:rPr>
              <w:t>每完全满足一项得0.5分，不满足或证明材料不充分不得分，</w:t>
            </w:r>
            <w:r>
              <w:rPr>
                <w:rFonts w:hint="eastAsia" w:ascii="仿宋" w:hAnsi="仿宋" w:eastAsia="仿宋" w:cs="Arial"/>
                <w:color w:val="000000" w:themeColor="text1"/>
                <w:sz w:val="24"/>
                <w:highlight w:val="none"/>
                <w14:textFill>
                  <w14:solidFill>
                    <w14:schemeClr w14:val="tx1"/>
                  </w14:solidFill>
                </w14:textFill>
              </w:rPr>
              <w:t>总分1</w:t>
            </w:r>
            <w:r>
              <w:rPr>
                <w:rFonts w:hint="eastAsia" w:ascii="仿宋" w:hAnsi="仿宋" w:eastAsia="仿宋" w:cs="Arial"/>
                <w:color w:val="000000" w:themeColor="text1"/>
                <w:sz w:val="24"/>
                <w:highlight w:val="none"/>
                <w:lang w:val="en-US" w:eastAsia="zh-CN"/>
                <w14:textFill>
                  <w14:solidFill>
                    <w14:schemeClr w14:val="tx1"/>
                  </w14:solidFill>
                </w14:textFill>
              </w:rPr>
              <w:t>8</w:t>
            </w:r>
            <w:r>
              <w:rPr>
                <w:rFonts w:hint="eastAsia" w:ascii="仿宋" w:hAnsi="仿宋" w:eastAsia="仿宋" w:cs="Arial"/>
                <w:color w:val="000000" w:themeColor="text1"/>
                <w:sz w:val="24"/>
                <w:highlight w:val="none"/>
                <w14:textFill>
                  <w14:solidFill>
                    <w14:schemeClr w14:val="tx1"/>
                  </w14:solidFill>
                </w14:textFill>
              </w:rPr>
              <w:t>分。</w:t>
            </w:r>
          </w:p>
        </w:tc>
        <w:tc>
          <w:tcPr>
            <w:tcW w:w="431" w:type="pct"/>
            <w:shd w:val="clear" w:color="auto" w:fill="auto"/>
            <w:vAlign w:val="center"/>
          </w:tcPr>
          <w:p w14:paraId="04B85FAC">
            <w:pPr>
              <w:snapToGrid w:val="0"/>
              <w:spacing w:line="360" w:lineRule="exact"/>
              <w:jc w:val="center"/>
              <w:rPr>
                <w:rFonts w:hint="default" w:ascii="仿宋" w:hAnsi="仿宋" w:eastAsia="仿宋" w:cs="仿宋_GB2312"/>
                <w:color w:val="000000" w:themeColor="text1"/>
                <w:sz w:val="24"/>
                <w:highlight w:val="none"/>
                <w:lang w:val="en-US" w:eastAsia="zh-CN"/>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18</w:t>
            </w:r>
          </w:p>
        </w:tc>
      </w:tr>
      <w:tr w14:paraId="7BD74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trPr>
        <w:tc>
          <w:tcPr>
            <w:tcW w:w="431" w:type="pct"/>
            <w:shd w:val="clear" w:color="auto" w:fill="auto"/>
            <w:vAlign w:val="center"/>
          </w:tcPr>
          <w:p w14:paraId="17B0058E">
            <w:pPr>
              <w:snapToGrid w:val="0"/>
              <w:spacing w:line="360" w:lineRule="exact"/>
              <w:jc w:val="center"/>
              <w:rPr>
                <w:rFonts w:hint="default" w:ascii="仿宋" w:hAnsi="仿宋" w:eastAsia="仿宋" w:cs="仿宋_GB2312"/>
                <w:color w:val="000000" w:themeColor="text1"/>
                <w:sz w:val="24"/>
                <w:highlight w:val="none"/>
                <w:lang w:val="en-US" w:eastAsia="zh-CN"/>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7</w:t>
            </w:r>
          </w:p>
        </w:tc>
        <w:tc>
          <w:tcPr>
            <w:tcW w:w="898" w:type="pct"/>
            <w:vMerge w:val="continue"/>
            <w:shd w:val="clear" w:color="auto" w:fill="auto"/>
            <w:vAlign w:val="center"/>
          </w:tcPr>
          <w:p w14:paraId="77D957B2">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p>
        </w:tc>
        <w:tc>
          <w:tcPr>
            <w:tcW w:w="954" w:type="pct"/>
            <w:shd w:val="clear" w:color="auto" w:fill="auto"/>
            <w:vAlign w:val="center"/>
          </w:tcPr>
          <w:p w14:paraId="5592D339">
            <w:pPr>
              <w:snapToGrid w:val="0"/>
              <w:spacing w:line="360" w:lineRule="exact"/>
              <w:jc w:val="center"/>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数据实时同步性能要求</w:t>
            </w:r>
          </w:p>
        </w:tc>
        <w:tc>
          <w:tcPr>
            <w:tcW w:w="2284" w:type="pct"/>
            <w:shd w:val="clear" w:color="auto" w:fill="auto"/>
            <w:vAlign w:val="center"/>
          </w:tcPr>
          <w:p w14:paraId="57225E1E">
            <w:pPr>
              <w:widowControl/>
              <w:numPr>
                <w:ilvl w:val="-1"/>
                <w:numId w:val="0"/>
              </w:numPr>
              <w:spacing w:line="240" w:lineRule="auto"/>
              <w:jc w:val="left"/>
              <w:textAlignment w:val="center"/>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根据投标人提供的数据实时同步软件的性能测试报告进行评分：</w:t>
            </w:r>
          </w:p>
          <w:p w14:paraId="4FB00EFF">
            <w:pPr>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根据供应商提供的报告中的4项核心指标（载卸、加载、大小事务延迟、可处理日志）进行核对，每有一项指标明确达到或优于要求，得0.5分，共2分，若未提供有效报告，本项得0分。</w:t>
            </w:r>
          </w:p>
        </w:tc>
        <w:tc>
          <w:tcPr>
            <w:tcW w:w="431" w:type="pct"/>
            <w:shd w:val="clear" w:color="auto" w:fill="auto"/>
            <w:vAlign w:val="center"/>
          </w:tcPr>
          <w:p w14:paraId="40E09956">
            <w:pPr>
              <w:snapToGrid w:val="0"/>
              <w:spacing w:line="360" w:lineRule="exact"/>
              <w:jc w:val="center"/>
              <w:rPr>
                <w:rFonts w:hint="default" w:ascii="仿宋" w:hAnsi="仿宋" w:eastAsia="仿宋" w:cs="仿宋_GB2312"/>
                <w:color w:val="000000" w:themeColor="text1"/>
                <w:sz w:val="24"/>
                <w:highlight w:val="none"/>
                <w:lang w:val="en-US" w:eastAsia="zh-CN"/>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2</w:t>
            </w:r>
          </w:p>
        </w:tc>
      </w:tr>
      <w:tr w14:paraId="4AF43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trPr>
        <w:tc>
          <w:tcPr>
            <w:tcW w:w="431" w:type="pct"/>
            <w:shd w:val="clear" w:color="auto" w:fill="auto"/>
            <w:vAlign w:val="center"/>
          </w:tcPr>
          <w:p w14:paraId="1FAB80DD">
            <w:pPr>
              <w:widowControl/>
              <w:snapToGrid w:val="0"/>
              <w:jc w:val="center"/>
              <w:rPr>
                <w:rFonts w:hint="default" w:ascii="仿宋" w:hAnsi="仿宋" w:eastAsia="仿宋" w:cs="仿宋_GB2312"/>
                <w:color w:val="000000" w:themeColor="text1"/>
                <w:sz w:val="24"/>
                <w:highlight w:val="none"/>
                <w:lang w:val="en-US" w:eastAsia="zh-CN"/>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8</w:t>
            </w:r>
          </w:p>
        </w:tc>
        <w:tc>
          <w:tcPr>
            <w:tcW w:w="898" w:type="pct"/>
            <w:vMerge w:val="continue"/>
            <w:vAlign w:val="center"/>
          </w:tcPr>
          <w:p w14:paraId="5BE6244B">
            <w:pPr>
              <w:widowControl/>
              <w:snapToGrid w:val="0"/>
              <w:jc w:val="center"/>
              <w:rPr>
                <w:rFonts w:ascii="仿宋" w:hAnsi="仿宋" w:eastAsia="仿宋" w:cs="仿宋_GB2312"/>
                <w:color w:val="000000" w:themeColor="text1"/>
                <w:sz w:val="24"/>
                <w:highlight w:val="none"/>
                <w14:textFill>
                  <w14:solidFill>
                    <w14:schemeClr w14:val="tx1"/>
                  </w14:solidFill>
                </w14:textFill>
              </w:rPr>
            </w:pPr>
          </w:p>
        </w:tc>
        <w:tc>
          <w:tcPr>
            <w:tcW w:w="954" w:type="pct"/>
            <w:shd w:val="clear" w:color="auto" w:fill="auto"/>
            <w:vAlign w:val="center"/>
          </w:tcPr>
          <w:p w14:paraId="248A54AC">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项目实施方案</w:t>
            </w:r>
          </w:p>
        </w:tc>
        <w:tc>
          <w:tcPr>
            <w:tcW w:w="2284" w:type="pct"/>
            <w:shd w:val="clear" w:color="auto" w:fill="auto"/>
            <w:vAlign w:val="center"/>
          </w:tcPr>
          <w:p w14:paraId="3092DE8B">
            <w:pPr>
              <w:numPr>
                <w:ilvl w:val="0"/>
                <w:numId w:val="0"/>
              </w:numPr>
              <w:rPr>
                <w:color w:val="000000" w:themeColor="text1"/>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基于投标人对需求理解后所提供的项目实施方案进行评分，对方案是否可以支持项目建设的全生命周期进行科学、有效的管理规划进行评价。</w:t>
            </w:r>
          </w:p>
          <w:p w14:paraId="279EFC7E">
            <w:pPr>
              <w:numPr>
                <w:ilvl w:val="0"/>
                <w:numId w:val="0"/>
              </w:numPr>
              <w:rPr>
                <w:rFonts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lang w:val="en-US" w:eastAsia="zh-CN"/>
                <w14:textFill>
                  <w14:solidFill>
                    <w14:schemeClr w14:val="tx1"/>
                  </w14:solidFill>
                </w14:textFill>
              </w:rPr>
              <w:t>1.</w:t>
            </w:r>
            <w:r>
              <w:rPr>
                <w:rFonts w:hint="eastAsia" w:ascii="仿宋" w:hAnsi="仿宋" w:eastAsia="仿宋" w:cs="Arial"/>
                <w:color w:val="000000" w:themeColor="text1"/>
                <w:sz w:val="24"/>
                <w:highlight w:val="none"/>
                <w14:textFill>
                  <w14:solidFill>
                    <w14:schemeClr w14:val="tx1"/>
                  </w14:solidFill>
                </w14:textFill>
              </w:rPr>
              <w:t>实施方案明确、详细、可操作，实施安排明确、时间节点清晰且合理，且承诺验收测试案例覆盖率达到100%，案例通过率达到95%以上，得</w:t>
            </w:r>
            <w:r>
              <w:rPr>
                <w:rFonts w:hint="eastAsia" w:ascii="仿宋" w:hAnsi="仿宋" w:eastAsia="仿宋" w:cs="Arial"/>
                <w:color w:val="000000" w:themeColor="text1"/>
                <w:sz w:val="24"/>
                <w:highlight w:val="none"/>
                <w:lang w:val="en-US" w:eastAsia="zh-CN"/>
                <w14:textFill>
                  <w14:solidFill>
                    <w14:schemeClr w14:val="tx1"/>
                  </w14:solidFill>
                </w14:textFill>
              </w:rPr>
              <w:t>4</w:t>
            </w:r>
            <w:r>
              <w:rPr>
                <w:rFonts w:hint="eastAsia" w:ascii="仿宋" w:hAnsi="仿宋" w:eastAsia="仿宋" w:cs="Arial"/>
                <w:color w:val="000000" w:themeColor="text1"/>
                <w:sz w:val="24"/>
                <w:highlight w:val="none"/>
                <w14:textFill>
                  <w14:solidFill>
                    <w14:schemeClr w14:val="tx1"/>
                  </w14:solidFill>
                </w14:textFill>
              </w:rPr>
              <w:t>分；</w:t>
            </w:r>
          </w:p>
          <w:p w14:paraId="6364428B">
            <w:pPr>
              <w:numPr>
                <w:ilvl w:val="0"/>
                <w:numId w:val="0"/>
              </w:numPr>
              <w:rPr>
                <w:rFonts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lang w:val="en-US" w:eastAsia="zh-CN"/>
                <w14:textFill>
                  <w14:solidFill>
                    <w14:schemeClr w14:val="tx1"/>
                  </w14:solidFill>
                </w14:textFill>
              </w:rPr>
              <w:t>2.</w:t>
            </w:r>
            <w:r>
              <w:rPr>
                <w:rFonts w:hint="eastAsia" w:ascii="仿宋" w:hAnsi="仿宋" w:eastAsia="仿宋" w:cs="Arial"/>
                <w:color w:val="000000" w:themeColor="text1"/>
                <w:sz w:val="24"/>
                <w:highlight w:val="none"/>
                <w14:textFill>
                  <w14:solidFill>
                    <w14:schemeClr w14:val="tx1"/>
                  </w14:solidFill>
                </w14:textFill>
              </w:rPr>
              <w:t>实施方案及安排较为明确详细、时间节点合理性</w:t>
            </w:r>
            <w:r>
              <w:rPr>
                <w:rFonts w:hint="eastAsia" w:ascii="仿宋" w:hAnsi="仿宋" w:eastAsia="仿宋" w:cs="Arial"/>
                <w:color w:val="000000" w:themeColor="text1"/>
                <w:sz w:val="24"/>
                <w:highlight w:val="none"/>
                <w:lang w:val="en-US" w:eastAsia="zh-CN"/>
                <w14:textFill>
                  <w14:solidFill>
                    <w14:schemeClr w14:val="tx1"/>
                  </w14:solidFill>
                </w14:textFill>
              </w:rPr>
              <w:t>和</w:t>
            </w:r>
            <w:r>
              <w:rPr>
                <w:rFonts w:hint="eastAsia" w:ascii="仿宋" w:hAnsi="仿宋" w:eastAsia="仿宋" w:cs="Arial"/>
                <w:color w:val="000000" w:themeColor="text1"/>
                <w:sz w:val="24"/>
                <w:highlight w:val="none"/>
                <w14:textFill>
                  <w14:solidFill>
                    <w14:schemeClr w14:val="tx1"/>
                  </w14:solidFill>
                </w14:textFill>
              </w:rPr>
              <w:t>可行性较强的，且承诺验收测试案例覆盖率达到100%，案例通过率达到95%以上，得</w:t>
            </w:r>
            <w:r>
              <w:rPr>
                <w:rFonts w:hint="eastAsia" w:ascii="仿宋" w:hAnsi="仿宋" w:eastAsia="仿宋" w:cs="Arial"/>
                <w:color w:val="000000" w:themeColor="text1"/>
                <w:sz w:val="24"/>
                <w:highlight w:val="none"/>
                <w:lang w:val="en-US" w:eastAsia="zh-CN"/>
                <w14:textFill>
                  <w14:solidFill>
                    <w14:schemeClr w14:val="tx1"/>
                  </w14:solidFill>
                </w14:textFill>
              </w:rPr>
              <w:t>2</w:t>
            </w:r>
            <w:r>
              <w:rPr>
                <w:rFonts w:hint="eastAsia" w:ascii="仿宋" w:hAnsi="仿宋" w:eastAsia="仿宋" w:cs="Arial"/>
                <w:color w:val="000000" w:themeColor="text1"/>
                <w:sz w:val="24"/>
                <w:highlight w:val="none"/>
                <w14:textFill>
                  <w14:solidFill>
                    <w14:schemeClr w14:val="tx1"/>
                  </w14:solidFill>
                </w14:textFill>
              </w:rPr>
              <w:t>分；</w:t>
            </w:r>
          </w:p>
          <w:p w14:paraId="26F63B7B">
            <w:pPr>
              <w:numPr>
                <w:ilvl w:val="0"/>
                <w:numId w:val="0"/>
              </w:numPr>
              <w:rPr>
                <w:rFonts w:hint="eastAsia"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lang w:val="en-US" w:eastAsia="zh-CN"/>
                <w14:textFill>
                  <w14:solidFill>
                    <w14:schemeClr w14:val="tx1"/>
                  </w14:solidFill>
                </w14:textFill>
              </w:rPr>
              <w:t>3.</w:t>
            </w:r>
            <w:r>
              <w:rPr>
                <w:rFonts w:hint="eastAsia" w:ascii="仿宋" w:hAnsi="仿宋" w:eastAsia="仿宋" w:cs="Arial"/>
                <w:color w:val="000000" w:themeColor="text1"/>
                <w:sz w:val="24"/>
                <w:highlight w:val="none"/>
                <w14:textFill>
                  <w14:solidFill>
                    <w14:schemeClr w14:val="tx1"/>
                  </w14:solidFill>
                </w14:textFill>
              </w:rPr>
              <w:t>实施方案及安排较为简单、时间节点合理性</w:t>
            </w:r>
            <w:r>
              <w:rPr>
                <w:rFonts w:hint="eastAsia" w:ascii="仿宋" w:hAnsi="仿宋" w:eastAsia="仿宋" w:cs="Arial"/>
                <w:color w:val="000000" w:themeColor="text1"/>
                <w:sz w:val="24"/>
                <w:highlight w:val="none"/>
                <w:lang w:val="en-US" w:eastAsia="zh-CN"/>
                <w14:textFill>
                  <w14:solidFill>
                    <w14:schemeClr w14:val="tx1"/>
                  </w14:solidFill>
                </w14:textFill>
              </w:rPr>
              <w:t>和</w:t>
            </w:r>
            <w:r>
              <w:rPr>
                <w:rFonts w:hint="eastAsia" w:ascii="仿宋" w:hAnsi="仿宋" w:eastAsia="仿宋" w:cs="Arial"/>
                <w:color w:val="000000" w:themeColor="text1"/>
                <w:sz w:val="24"/>
                <w:highlight w:val="none"/>
                <w14:textFill>
                  <w14:solidFill>
                    <w14:schemeClr w14:val="tx1"/>
                  </w14:solidFill>
                </w14:textFill>
              </w:rPr>
              <w:t>可行性较弱的，且承诺验收测试案例覆盖率达到100%，案例通过率达到95%以上，得</w:t>
            </w:r>
            <w:r>
              <w:rPr>
                <w:rFonts w:hint="eastAsia" w:ascii="仿宋" w:hAnsi="仿宋" w:eastAsia="仿宋" w:cs="Arial"/>
                <w:color w:val="000000" w:themeColor="text1"/>
                <w:sz w:val="24"/>
                <w:highlight w:val="none"/>
                <w:lang w:val="en-US" w:eastAsia="zh-CN"/>
                <w14:textFill>
                  <w14:solidFill>
                    <w14:schemeClr w14:val="tx1"/>
                  </w14:solidFill>
                </w14:textFill>
              </w:rPr>
              <w:t>1</w:t>
            </w:r>
            <w:r>
              <w:rPr>
                <w:rFonts w:hint="eastAsia" w:ascii="仿宋" w:hAnsi="仿宋" w:eastAsia="仿宋" w:cs="Arial"/>
                <w:color w:val="000000" w:themeColor="text1"/>
                <w:sz w:val="24"/>
                <w:highlight w:val="none"/>
                <w14:textFill>
                  <w14:solidFill>
                    <w14:schemeClr w14:val="tx1"/>
                  </w14:solidFill>
                </w14:textFill>
              </w:rPr>
              <w:t>分；</w:t>
            </w:r>
          </w:p>
          <w:p w14:paraId="66B3F2A9">
            <w:pPr>
              <w:numPr>
                <w:ilvl w:val="0"/>
                <w:numId w:val="0"/>
              </w:numPr>
              <w:rPr>
                <w:rFonts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lang w:val="en-US" w:eastAsia="zh-CN"/>
                <w14:textFill>
                  <w14:solidFill>
                    <w14:schemeClr w14:val="tx1"/>
                  </w14:solidFill>
                </w14:textFill>
              </w:rPr>
              <w:t>4.</w:t>
            </w:r>
            <w:r>
              <w:rPr>
                <w:rFonts w:hint="eastAsia" w:ascii="仿宋" w:hAnsi="仿宋" w:eastAsia="仿宋" w:cs="Arial"/>
                <w:color w:val="000000" w:themeColor="text1"/>
                <w:sz w:val="24"/>
                <w:highlight w:val="none"/>
                <w14:textFill>
                  <w14:solidFill>
                    <w14:schemeClr w14:val="tx1"/>
                  </w14:solidFill>
                </w14:textFill>
              </w:rPr>
              <w:t>未提供实施方案</w:t>
            </w:r>
            <w:r>
              <w:rPr>
                <w:rFonts w:hint="eastAsia" w:ascii="仿宋" w:hAnsi="仿宋" w:eastAsia="仿宋" w:cs="Arial"/>
                <w:color w:val="000000" w:themeColor="text1"/>
                <w:sz w:val="24"/>
                <w:highlight w:val="none"/>
                <w:lang w:eastAsia="zh-CN"/>
                <w14:textFill>
                  <w14:solidFill>
                    <w14:schemeClr w14:val="tx1"/>
                  </w14:solidFill>
                </w14:textFill>
              </w:rPr>
              <w:t>、</w:t>
            </w:r>
            <w:r>
              <w:rPr>
                <w:rFonts w:hint="eastAsia" w:ascii="仿宋" w:hAnsi="仿宋" w:eastAsia="仿宋" w:cs="Arial"/>
                <w:color w:val="000000" w:themeColor="text1"/>
                <w:sz w:val="24"/>
                <w:highlight w:val="none"/>
                <w:lang w:val="en-US" w:eastAsia="zh-CN"/>
                <w14:textFill>
                  <w14:solidFill>
                    <w14:schemeClr w14:val="tx1"/>
                  </w14:solidFill>
                </w14:textFill>
              </w:rPr>
              <w:t>案例覆盖率或通过率未达到要求或未提供承诺的</w:t>
            </w:r>
            <w:r>
              <w:rPr>
                <w:rFonts w:hint="eastAsia" w:ascii="仿宋" w:hAnsi="仿宋" w:eastAsia="仿宋" w:cs="Arial"/>
                <w:color w:val="000000" w:themeColor="text1"/>
                <w:sz w:val="24"/>
                <w:highlight w:val="none"/>
                <w14:textFill>
                  <w14:solidFill>
                    <w14:schemeClr w14:val="tx1"/>
                  </w14:solidFill>
                </w14:textFill>
              </w:rPr>
              <w:t>，不得分。</w:t>
            </w:r>
          </w:p>
        </w:tc>
        <w:tc>
          <w:tcPr>
            <w:tcW w:w="431" w:type="pct"/>
            <w:shd w:val="clear" w:color="auto" w:fill="auto"/>
            <w:vAlign w:val="center"/>
          </w:tcPr>
          <w:p w14:paraId="6C1E9D7E">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4</w:t>
            </w:r>
          </w:p>
        </w:tc>
      </w:tr>
      <w:tr w14:paraId="6D37B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trPr>
        <w:tc>
          <w:tcPr>
            <w:tcW w:w="431" w:type="pct"/>
            <w:shd w:val="clear" w:color="auto" w:fill="auto"/>
            <w:vAlign w:val="center"/>
          </w:tcPr>
          <w:p w14:paraId="028B9BAF">
            <w:pPr>
              <w:snapToGrid w:val="0"/>
              <w:spacing w:line="360" w:lineRule="exact"/>
              <w:jc w:val="center"/>
              <w:rPr>
                <w:rFonts w:hint="default" w:ascii="仿宋" w:hAnsi="仿宋" w:eastAsia="仿宋" w:cs="仿宋_GB2312"/>
                <w:color w:val="000000" w:themeColor="text1"/>
                <w:sz w:val="24"/>
                <w:highlight w:val="none"/>
                <w:lang w:val="en-US" w:eastAsia="zh-CN"/>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9</w:t>
            </w:r>
          </w:p>
        </w:tc>
        <w:tc>
          <w:tcPr>
            <w:tcW w:w="898" w:type="pct"/>
            <w:vMerge w:val="restart"/>
            <w:shd w:val="clear" w:color="auto" w:fill="auto"/>
            <w:vAlign w:val="center"/>
          </w:tcPr>
          <w:p w14:paraId="79A43E09">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服务部分</w:t>
            </w:r>
          </w:p>
          <w:p w14:paraId="0788F3A5">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w:t>
            </w:r>
            <w:r>
              <w:rPr>
                <w:rFonts w:hint="eastAsia" w:ascii="仿宋" w:hAnsi="仿宋" w:eastAsia="仿宋" w:cs="仿宋_GB2312"/>
                <w:color w:val="000000" w:themeColor="text1"/>
                <w:sz w:val="24"/>
                <w:highlight w:val="none"/>
                <w:lang w:val="en-US" w:eastAsia="zh-CN"/>
                <w14:textFill>
                  <w14:solidFill>
                    <w14:schemeClr w14:val="tx1"/>
                  </w14:solidFill>
                </w14:textFill>
              </w:rPr>
              <w:t>15</w:t>
            </w:r>
            <w:r>
              <w:rPr>
                <w:rFonts w:hint="eastAsia" w:ascii="仿宋" w:hAnsi="仿宋" w:eastAsia="仿宋" w:cs="仿宋_GB2312"/>
                <w:color w:val="000000" w:themeColor="text1"/>
                <w:sz w:val="24"/>
                <w:highlight w:val="none"/>
                <w14:textFill>
                  <w14:solidFill>
                    <w14:schemeClr w14:val="tx1"/>
                  </w14:solidFill>
                </w14:textFill>
              </w:rPr>
              <w:t>%）</w:t>
            </w:r>
          </w:p>
        </w:tc>
        <w:tc>
          <w:tcPr>
            <w:tcW w:w="954" w:type="pct"/>
            <w:shd w:val="clear" w:color="auto" w:fill="auto"/>
            <w:vAlign w:val="center"/>
          </w:tcPr>
          <w:p w14:paraId="3B51DA71">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服务方案</w:t>
            </w:r>
          </w:p>
        </w:tc>
        <w:tc>
          <w:tcPr>
            <w:tcW w:w="2284" w:type="pct"/>
            <w:shd w:val="clear" w:color="auto" w:fill="auto"/>
            <w:vAlign w:val="center"/>
          </w:tcPr>
          <w:p w14:paraId="018757A8">
            <w:pPr>
              <w:pStyle w:val="8"/>
              <w:numPr>
                <w:ilvl w:val="0"/>
                <w:numId w:val="0"/>
              </w:numPr>
              <w:rPr>
                <w:rFonts w:hint="eastAsia" w:ascii="仿宋" w:eastAsia="仿宋"/>
                <w:color w:val="000000" w:themeColor="text1"/>
                <w:sz w:val="24"/>
                <w:highlight w:val="none"/>
                <w14:textFill>
                  <w14:solidFill>
                    <w14:schemeClr w14:val="tx1"/>
                  </w14:solidFill>
                </w14:textFill>
              </w:rPr>
            </w:pPr>
            <w:r>
              <w:rPr>
                <w:rFonts w:hint="eastAsia" w:ascii="仿宋" w:eastAsia="仿宋"/>
                <w:color w:val="000000" w:themeColor="text1"/>
                <w:sz w:val="24"/>
                <w:highlight w:val="none"/>
                <w14:textFill>
                  <w14:solidFill>
                    <w14:schemeClr w14:val="tx1"/>
                  </w14:solidFill>
                </w14:textFill>
              </w:rPr>
              <w:t>根据投标人</w:t>
            </w:r>
            <w:r>
              <w:rPr>
                <w:rFonts w:hint="eastAsia" w:ascii="仿宋" w:eastAsia="仿宋"/>
                <w:color w:val="000000" w:themeColor="text1"/>
                <w:sz w:val="24"/>
                <w:highlight w:val="none"/>
                <w:lang w:val="en-US" w:eastAsia="zh-CN"/>
                <w14:textFill>
                  <w14:solidFill>
                    <w14:schemeClr w14:val="tx1"/>
                  </w14:solidFill>
                </w14:textFill>
              </w:rPr>
              <w:t>提供的服务方案进行打分，包括</w:t>
            </w:r>
            <w:r>
              <w:rPr>
                <w:rFonts w:hint="eastAsia" w:ascii="仿宋" w:eastAsia="仿宋"/>
                <w:color w:val="000000" w:themeColor="text1"/>
                <w:sz w:val="24"/>
                <w:highlight w:val="none"/>
                <w14:textFill>
                  <w14:solidFill>
                    <w14:schemeClr w14:val="tx1"/>
                  </w14:solidFill>
                </w14:textFill>
              </w:rPr>
              <w:t>在项目开发过程及维保服务范围内的技术支持能力，事件响应速度、服务质量情况，最高</w:t>
            </w:r>
            <w:r>
              <w:rPr>
                <w:rFonts w:hint="eastAsia" w:ascii="仿宋" w:eastAsia="仿宋"/>
                <w:color w:val="000000" w:themeColor="text1"/>
                <w:sz w:val="24"/>
                <w:highlight w:val="none"/>
                <w:lang w:val="en-US" w:eastAsia="zh-CN"/>
                <w14:textFill>
                  <w14:solidFill>
                    <w14:schemeClr w14:val="tx1"/>
                  </w14:solidFill>
                </w14:textFill>
              </w:rPr>
              <w:t>6</w:t>
            </w:r>
            <w:r>
              <w:rPr>
                <w:rFonts w:hint="eastAsia" w:ascii="仿宋" w:eastAsia="仿宋"/>
                <w:color w:val="000000" w:themeColor="text1"/>
                <w:sz w:val="24"/>
                <w:highlight w:val="none"/>
                <w14:textFill>
                  <w14:solidFill>
                    <w14:schemeClr w14:val="tx1"/>
                  </w14:solidFill>
                </w14:textFill>
              </w:rPr>
              <w:t>分。</w:t>
            </w:r>
          </w:p>
          <w:p w14:paraId="3431198D">
            <w:pPr>
              <w:pStyle w:val="8"/>
              <w:numPr>
                <w:ilvl w:val="0"/>
                <w:numId w:val="0"/>
              </w:numPr>
              <w:snapToGrid/>
              <w:jc w:val="left"/>
              <w:rPr>
                <w:rFonts w:hint="eastAsia" w:ascii="仿宋" w:eastAsia="仿宋"/>
                <w:color w:val="000000" w:themeColor="text1"/>
                <w:sz w:val="24"/>
                <w:highlight w:val="none"/>
                <w14:textFill>
                  <w14:solidFill>
                    <w14:schemeClr w14:val="tx1"/>
                  </w14:solidFill>
                </w14:textFill>
              </w:rPr>
            </w:pPr>
            <w:r>
              <w:rPr>
                <w:rFonts w:hint="eastAsia" w:ascii="仿宋" w:eastAsia="仿宋"/>
                <w:color w:val="000000" w:themeColor="text1"/>
                <w:sz w:val="24"/>
                <w:highlight w:val="none"/>
                <w14:textFill>
                  <w14:solidFill>
                    <w14:schemeClr w14:val="tx1"/>
                  </w14:solidFill>
                </w14:textFill>
              </w:rPr>
              <w:t>（1）提供驻场开发服务和技术支持服务（包括现场及远程）情况说明；</w:t>
            </w:r>
          </w:p>
          <w:p w14:paraId="0CB4F594">
            <w:pPr>
              <w:pStyle w:val="8"/>
              <w:numPr>
                <w:ilvl w:val="0"/>
                <w:numId w:val="0"/>
              </w:numPr>
              <w:snapToGrid/>
              <w:jc w:val="left"/>
              <w:rPr>
                <w:rFonts w:hint="eastAsia" w:ascii="仿宋" w:eastAsia="仿宋"/>
                <w:color w:val="000000" w:themeColor="text1"/>
                <w:sz w:val="24"/>
                <w:highlight w:val="none"/>
                <w14:textFill>
                  <w14:solidFill>
                    <w14:schemeClr w14:val="tx1"/>
                  </w14:solidFill>
                </w14:textFill>
              </w:rPr>
            </w:pPr>
            <w:r>
              <w:rPr>
                <w:rFonts w:hint="eastAsia" w:ascii="仿宋" w:eastAsia="仿宋"/>
                <w:color w:val="000000" w:themeColor="text1"/>
                <w:sz w:val="24"/>
                <w:highlight w:val="none"/>
                <w14:textFill>
                  <w14:solidFill>
                    <w14:schemeClr w14:val="tx1"/>
                  </w14:solidFill>
                </w14:textFill>
              </w:rPr>
              <w:t>（2）配合完成第三方补丁升级；</w:t>
            </w:r>
          </w:p>
          <w:p w14:paraId="11984F8D">
            <w:pPr>
              <w:pStyle w:val="8"/>
              <w:numPr>
                <w:ilvl w:val="0"/>
                <w:numId w:val="0"/>
              </w:numPr>
              <w:snapToGrid/>
              <w:jc w:val="left"/>
              <w:rPr>
                <w:rFonts w:hint="eastAsia" w:ascii="仿宋" w:eastAsia="仿宋"/>
                <w:color w:val="000000" w:themeColor="text1"/>
                <w:sz w:val="24"/>
                <w:highlight w:val="none"/>
                <w14:textFill>
                  <w14:solidFill>
                    <w14:schemeClr w14:val="tx1"/>
                  </w14:solidFill>
                </w14:textFill>
              </w:rPr>
            </w:pPr>
            <w:r>
              <w:rPr>
                <w:rFonts w:hint="eastAsia" w:ascii="仿宋" w:eastAsia="仿宋"/>
                <w:color w:val="000000" w:themeColor="text1"/>
                <w:sz w:val="24"/>
                <w:highlight w:val="none"/>
                <w14:textFill>
                  <w14:solidFill>
                    <w14:schemeClr w14:val="tx1"/>
                  </w14:solidFill>
                </w14:textFill>
              </w:rPr>
              <w:t>（3）在特保期能够提供7×24小时服务；</w:t>
            </w:r>
          </w:p>
          <w:p w14:paraId="13DA8CFA">
            <w:pPr>
              <w:pStyle w:val="8"/>
              <w:numPr>
                <w:ilvl w:val="0"/>
                <w:numId w:val="0"/>
              </w:numPr>
              <w:snapToGrid/>
              <w:jc w:val="left"/>
              <w:rPr>
                <w:rFonts w:hint="eastAsia" w:ascii="仿宋" w:eastAsia="仿宋"/>
                <w:color w:val="000000" w:themeColor="text1"/>
                <w:sz w:val="24"/>
                <w:highlight w:val="none"/>
                <w14:textFill>
                  <w14:solidFill>
                    <w14:schemeClr w14:val="tx1"/>
                  </w14:solidFill>
                </w14:textFill>
              </w:rPr>
            </w:pPr>
            <w:r>
              <w:rPr>
                <w:rFonts w:hint="eastAsia" w:ascii="仿宋" w:eastAsia="仿宋"/>
                <w:color w:val="000000" w:themeColor="text1"/>
                <w:sz w:val="24"/>
                <w:highlight w:val="none"/>
                <w14:textFill>
                  <w14:solidFill>
                    <w14:schemeClr w14:val="tx1"/>
                  </w14:solidFill>
                </w14:textFill>
              </w:rPr>
              <w:t>（4）在特保期能够在0.5小时内响应、1小时内到场、2小时内恢复系统至可用；</w:t>
            </w:r>
          </w:p>
          <w:p w14:paraId="0843DBCD">
            <w:pPr>
              <w:pStyle w:val="8"/>
              <w:numPr>
                <w:ilvl w:val="0"/>
                <w:numId w:val="0"/>
              </w:numPr>
              <w:rPr>
                <w:rFonts w:hint="eastAsia" w:ascii="仿宋" w:eastAsia="仿宋"/>
                <w:color w:val="000000" w:themeColor="text1"/>
                <w:sz w:val="24"/>
                <w:highlight w:val="none"/>
                <w:lang w:val="en-US" w:eastAsia="zh-CN"/>
                <w14:textFill>
                  <w14:solidFill>
                    <w14:schemeClr w14:val="tx1"/>
                  </w14:solidFill>
                </w14:textFill>
              </w:rPr>
            </w:pPr>
            <w:r>
              <w:rPr>
                <w:rFonts w:hint="eastAsia" w:ascii="仿宋" w:eastAsia="仿宋"/>
                <w:color w:val="000000" w:themeColor="text1"/>
                <w:sz w:val="24"/>
                <w:highlight w:val="none"/>
                <w14:textFill>
                  <w14:solidFill>
                    <w14:schemeClr w14:val="tx1"/>
                  </w14:solidFill>
                </w14:textFill>
              </w:rPr>
              <w:t>（5）</w:t>
            </w:r>
            <w:r>
              <w:rPr>
                <w:rFonts w:hint="eastAsia" w:ascii="仿宋" w:eastAsia="仿宋"/>
                <w:color w:val="000000" w:themeColor="text1"/>
                <w:sz w:val="24"/>
                <w:highlight w:val="none"/>
                <w:lang w:val="en-US" w:eastAsia="zh-CN"/>
                <w14:textFill>
                  <w14:solidFill>
                    <w14:schemeClr w14:val="tx1"/>
                  </w14:solidFill>
                </w14:textFill>
              </w:rPr>
              <w:t>提供</w:t>
            </w:r>
            <w:r>
              <w:rPr>
                <w:rFonts w:hint="eastAsia" w:ascii="仿宋" w:eastAsia="仿宋"/>
                <w:color w:val="000000" w:themeColor="text1"/>
                <w:sz w:val="24"/>
                <w:highlight w:val="none"/>
                <w14:textFill>
                  <w14:solidFill>
                    <w14:schemeClr w14:val="tx1"/>
                  </w14:solidFill>
                </w14:textFill>
              </w:rPr>
              <w:t>定期健康检查、性能调优服务</w:t>
            </w:r>
            <w:r>
              <w:rPr>
                <w:rFonts w:hint="eastAsia" w:ascii="仿宋" w:eastAsia="仿宋"/>
                <w:color w:val="000000" w:themeColor="text1"/>
                <w:sz w:val="24"/>
                <w:highlight w:val="none"/>
                <w:lang w:val="en-US" w:eastAsia="zh-CN"/>
                <w14:textFill>
                  <w14:solidFill>
                    <w14:schemeClr w14:val="tx1"/>
                  </w14:solidFill>
                </w14:textFill>
              </w:rPr>
              <w:t>；</w:t>
            </w:r>
          </w:p>
          <w:p w14:paraId="1F28E152">
            <w:pPr>
              <w:pStyle w:val="8"/>
              <w:numPr>
                <w:ilvl w:val="0"/>
                <w:numId w:val="0"/>
              </w:numPr>
              <w:rPr>
                <w:rFonts w:hint="default" w:ascii="仿宋" w:eastAsia="仿宋"/>
                <w:color w:val="000000" w:themeColor="text1"/>
                <w:sz w:val="24"/>
                <w:highlight w:val="none"/>
                <w:lang w:val="en-US" w:eastAsia="zh-CN"/>
                <w14:textFill>
                  <w14:solidFill>
                    <w14:schemeClr w14:val="tx1"/>
                  </w14:solidFill>
                </w14:textFill>
              </w:rPr>
            </w:pPr>
            <w:r>
              <w:rPr>
                <w:rFonts w:hint="eastAsia" w:ascii="仿宋" w:eastAsia="仿宋"/>
                <w:color w:val="000000" w:themeColor="text1"/>
                <w:sz w:val="24"/>
                <w:highlight w:val="none"/>
                <w:lang w:val="en-US" w:eastAsia="zh-CN"/>
                <w14:textFill>
                  <w14:solidFill>
                    <w14:schemeClr w14:val="tx1"/>
                  </w14:solidFill>
                </w14:textFill>
              </w:rPr>
              <w:t>（6）</w:t>
            </w:r>
            <w:r>
              <w:rPr>
                <w:rFonts w:hint="eastAsia" w:ascii="仿宋" w:eastAsia="仿宋"/>
                <w:color w:val="000000" w:themeColor="text1"/>
                <w:sz w:val="24"/>
                <w:highlight w:val="none"/>
                <w14:textFill>
                  <w14:solidFill>
                    <w14:schemeClr w14:val="tx1"/>
                  </w14:solidFill>
                </w14:textFill>
              </w:rPr>
              <w:t>项目培训方面提供不低于2次现场培训，每次培训时间不少于2个小时。</w:t>
            </w:r>
          </w:p>
          <w:p w14:paraId="24BA0B24">
            <w:pPr>
              <w:pStyle w:val="8"/>
              <w:numPr>
                <w:ilvl w:val="0"/>
                <w:numId w:val="0"/>
              </w:numPr>
              <w:snapToGrid/>
              <w:ind w:left="0" w:leftChars="0" w:firstLine="0" w:firstLineChars="0"/>
              <w:jc w:val="left"/>
              <w:rPr>
                <w:rFonts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lang w:val="en-US" w:eastAsia="zh-CN"/>
                <w14:textFill>
                  <w14:solidFill>
                    <w14:schemeClr w14:val="tx1"/>
                  </w14:solidFill>
                </w14:textFill>
              </w:rPr>
              <w:t>提供的服务方案每</w:t>
            </w:r>
            <w:r>
              <w:rPr>
                <w:rFonts w:hint="eastAsia" w:ascii="仿宋" w:hAnsi="仿宋" w:eastAsia="仿宋" w:cs="Arial"/>
                <w:color w:val="000000" w:themeColor="text1"/>
                <w:sz w:val="24"/>
                <w:highlight w:val="none"/>
                <w14:textFill>
                  <w14:solidFill>
                    <w14:schemeClr w14:val="tx1"/>
                  </w14:solidFill>
                </w14:textFill>
              </w:rPr>
              <w:t>满足以上</w:t>
            </w:r>
            <w:r>
              <w:rPr>
                <w:rFonts w:hint="eastAsia" w:ascii="仿宋" w:hAnsi="仿宋" w:eastAsia="仿宋" w:cs="Arial"/>
                <w:color w:val="000000" w:themeColor="text1"/>
                <w:sz w:val="24"/>
                <w:highlight w:val="none"/>
                <w:lang w:val="en-US" w:eastAsia="zh-CN"/>
                <w14:textFill>
                  <w14:solidFill>
                    <w14:schemeClr w14:val="tx1"/>
                  </w14:solidFill>
                </w14:textFill>
              </w:rPr>
              <w:t>1个要求得1分，全部满足</w:t>
            </w:r>
            <w:r>
              <w:rPr>
                <w:rFonts w:hint="eastAsia" w:ascii="仿宋" w:hAnsi="仿宋" w:eastAsia="仿宋" w:cs="Arial"/>
                <w:color w:val="000000" w:themeColor="text1"/>
                <w:sz w:val="24"/>
                <w:highlight w:val="none"/>
                <w14:textFill>
                  <w14:solidFill>
                    <w14:schemeClr w14:val="tx1"/>
                  </w14:solidFill>
                </w14:textFill>
              </w:rPr>
              <w:t>得</w:t>
            </w:r>
            <w:r>
              <w:rPr>
                <w:rFonts w:hint="eastAsia" w:ascii="仿宋" w:hAnsi="仿宋" w:eastAsia="仿宋" w:cs="Arial"/>
                <w:color w:val="000000" w:themeColor="text1"/>
                <w:sz w:val="24"/>
                <w:highlight w:val="none"/>
                <w:lang w:val="en-US" w:eastAsia="zh-CN"/>
                <w14:textFill>
                  <w14:solidFill>
                    <w14:schemeClr w14:val="tx1"/>
                  </w14:solidFill>
                </w14:textFill>
              </w:rPr>
              <w:t>6</w:t>
            </w:r>
            <w:r>
              <w:rPr>
                <w:rFonts w:hint="eastAsia" w:ascii="仿宋" w:hAnsi="仿宋" w:eastAsia="仿宋" w:cs="Arial"/>
                <w:color w:val="000000" w:themeColor="text1"/>
                <w:sz w:val="24"/>
                <w:highlight w:val="none"/>
                <w14:textFill>
                  <w14:solidFill>
                    <w14:schemeClr w14:val="tx1"/>
                  </w14:solidFill>
                </w14:textFill>
              </w:rPr>
              <w:t>分</w:t>
            </w:r>
            <w:r>
              <w:rPr>
                <w:rFonts w:hint="eastAsia" w:ascii="仿宋" w:hAnsi="仿宋" w:eastAsia="仿宋" w:cs="Arial"/>
                <w:color w:val="000000" w:themeColor="text1"/>
                <w:sz w:val="24"/>
                <w:highlight w:val="none"/>
                <w:lang w:eastAsia="zh-CN"/>
                <w14:textFill>
                  <w14:solidFill>
                    <w14:schemeClr w14:val="tx1"/>
                  </w14:solidFill>
                </w14:textFill>
              </w:rPr>
              <w:t>；</w:t>
            </w:r>
          </w:p>
        </w:tc>
        <w:tc>
          <w:tcPr>
            <w:tcW w:w="431" w:type="pct"/>
            <w:shd w:val="clear" w:color="auto" w:fill="auto"/>
            <w:vAlign w:val="center"/>
          </w:tcPr>
          <w:p w14:paraId="4FAFC6C5">
            <w:pPr>
              <w:snapToGrid w:val="0"/>
              <w:spacing w:line="360" w:lineRule="exact"/>
              <w:jc w:val="center"/>
              <w:rPr>
                <w:rFonts w:hint="default" w:ascii="仿宋" w:hAnsi="仿宋" w:eastAsia="仿宋" w:cs="仿宋_GB2312"/>
                <w:color w:val="000000" w:themeColor="text1"/>
                <w:sz w:val="24"/>
                <w:highlight w:val="none"/>
                <w:lang w:val="en-US" w:eastAsia="zh-CN"/>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6</w:t>
            </w:r>
          </w:p>
        </w:tc>
      </w:tr>
      <w:tr w14:paraId="059C3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trPr>
        <w:tc>
          <w:tcPr>
            <w:tcW w:w="431" w:type="pct"/>
            <w:shd w:val="clear" w:color="auto" w:fill="auto"/>
            <w:vAlign w:val="center"/>
          </w:tcPr>
          <w:p w14:paraId="0F90BB61">
            <w:pPr>
              <w:widowControl/>
              <w:snapToGrid w:val="0"/>
              <w:jc w:val="center"/>
              <w:rPr>
                <w:rFonts w:hint="default" w:ascii="仿宋" w:hAnsi="仿宋" w:eastAsia="仿宋" w:cs="仿宋_GB2312"/>
                <w:color w:val="000000" w:themeColor="text1"/>
                <w:sz w:val="24"/>
                <w:highlight w:val="none"/>
                <w:lang w:val="en-US" w:eastAsia="zh-CN"/>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10</w:t>
            </w:r>
          </w:p>
        </w:tc>
        <w:tc>
          <w:tcPr>
            <w:tcW w:w="898" w:type="pct"/>
            <w:vMerge w:val="continue"/>
            <w:vAlign w:val="center"/>
          </w:tcPr>
          <w:p w14:paraId="28B670A3">
            <w:pPr>
              <w:widowControl/>
              <w:snapToGrid w:val="0"/>
              <w:jc w:val="center"/>
              <w:rPr>
                <w:rFonts w:ascii="仿宋" w:hAnsi="仿宋" w:eastAsia="仿宋" w:cs="仿宋_GB2312"/>
                <w:color w:val="000000" w:themeColor="text1"/>
                <w:sz w:val="24"/>
                <w:highlight w:val="none"/>
                <w14:textFill>
                  <w14:solidFill>
                    <w14:schemeClr w14:val="tx1"/>
                  </w14:solidFill>
                </w14:textFill>
              </w:rPr>
            </w:pPr>
          </w:p>
        </w:tc>
        <w:tc>
          <w:tcPr>
            <w:tcW w:w="954" w:type="pct"/>
            <w:shd w:val="clear" w:color="auto" w:fill="auto"/>
            <w:vAlign w:val="center"/>
          </w:tcPr>
          <w:p w14:paraId="1534FDEA">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服务团队</w:t>
            </w:r>
          </w:p>
        </w:tc>
        <w:tc>
          <w:tcPr>
            <w:tcW w:w="2284" w:type="pct"/>
            <w:shd w:val="clear" w:color="auto" w:fill="auto"/>
            <w:vAlign w:val="center"/>
          </w:tcPr>
          <w:p w14:paraId="7997F3FE">
            <w:pPr>
              <w:spacing w:line="240" w:lineRule="auto"/>
              <w:rPr>
                <w:color w:val="000000" w:themeColor="text1"/>
                <w:highlight w:val="none"/>
                <w14:textFill>
                  <w14:solidFill>
                    <w14:schemeClr w14:val="tx1"/>
                  </w14:solidFill>
                </w14:textFill>
              </w:rPr>
            </w:pPr>
            <w:r>
              <w:rPr>
                <w:rFonts w:ascii="仿宋" w:hAnsi="仿宋" w:eastAsia="仿宋" w:cs="Arial"/>
                <w:color w:val="000000" w:themeColor="text1"/>
                <w:sz w:val="24"/>
                <w:highlight w:val="none"/>
                <w14:textFill>
                  <w14:solidFill>
                    <w14:schemeClr w14:val="tx1"/>
                  </w14:solidFill>
                </w14:textFill>
              </w:rPr>
              <w:t>根据</w:t>
            </w:r>
            <w:r>
              <w:rPr>
                <w:rFonts w:hint="eastAsia" w:ascii="仿宋" w:hAnsi="仿宋" w:eastAsia="仿宋" w:cs="Arial"/>
                <w:color w:val="000000" w:themeColor="text1"/>
                <w:sz w:val="24"/>
                <w:highlight w:val="none"/>
                <w14:textFill>
                  <w14:solidFill>
                    <w14:schemeClr w14:val="tx1"/>
                  </w14:solidFill>
                </w14:textFill>
              </w:rPr>
              <w:t>投标人</w:t>
            </w:r>
            <w:r>
              <w:rPr>
                <w:rFonts w:ascii="仿宋" w:hAnsi="仿宋" w:eastAsia="仿宋" w:cs="Arial"/>
                <w:color w:val="000000" w:themeColor="text1"/>
                <w:sz w:val="24"/>
                <w:highlight w:val="none"/>
                <w14:textFill>
                  <w14:solidFill>
                    <w14:schemeClr w14:val="tx1"/>
                  </w14:solidFill>
                </w14:textFill>
              </w:rPr>
              <w:t>提供详细的</w:t>
            </w:r>
            <w:r>
              <w:rPr>
                <w:rFonts w:hint="eastAsia" w:ascii="仿宋" w:hAnsi="仿宋" w:eastAsia="仿宋" w:cs="Arial"/>
                <w:color w:val="000000" w:themeColor="text1"/>
                <w:sz w:val="24"/>
                <w:highlight w:val="none"/>
                <w:lang w:val="en-US" w:eastAsia="zh-CN"/>
                <w14:textFill>
                  <w14:solidFill>
                    <w14:schemeClr w14:val="tx1"/>
                  </w14:solidFill>
                </w14:textFill>
              </w:rPr>
              <w:t>项目经理</w:t>
            </w:r>
            <w:r>
              <w:rPr>
                <w:rFonts w:ascii="仿宋" w:hAnsi="仿宋" w:eastAsia="仿宋" w:cs="Arial"/>
                <w:color w:val="000000" w:themeColor="text1"/>
                <w:sz w:val="24"/>
                <w:highlight w:val="none"/>
                <w14:textFill>
                  <w14:solidFill>
                    <w14:schemeClr w14:val="tx1"/>
                  </w14:solidFill>
                </w14:textFill>
              </w:rPr>
              <w:t>及团队成员</w:t>
            </w:r>
            <w:r>
              <w:rPr>
                <w:rFonts w:hint="eastAsia" w:ascii="仿宋" w:hAnsi="仿宋" w:eastAsia="仿宋" w:cs="Arial"/>
                <w:color w:val="000000" w:themeColor="text1"/>
                <w:sz w:val="24"/>
                <w:highlight w:val="none"/>
                <w:lang w:eastAsia="zh-CN"/>
                <w14:textFill>
                  <w14:solidFill>
                    <w14:schemeClr w14:val="tx1"/>
                  </w14:solidFill>
                </w14:textFill>
              </w:rPr>
              <w:t>（</w:t>
            </w:r>
            <w:r>
              <w:rPr>
                <w:rFonts w:hint="eastAsia" w:ascii="仿宋" w:hAnsi="仿宋" w:eastAsia="仿宋" w:cs="Arial"/>
                <w:color w:val="000000" w:themeColor="text1"/>
                <w:sz w:val="24"/>
                <w:highlight w:val="none"/>
                <w:lang w:val="en-US" w:eastAsia="zh-CN"/>
                <w14:textFill>
                  <w14:solidFill>
                    <w14:schemeClr w14:val="tx1"/>
                  </w14:solidFill>
                </w14:textFill>
              </w:rPr>
              <w:t>含</w:t>
            </w:r>
            <w:r>
              <w:rPr>
                <w:rFonts w:hint="eastAsia" w:ascii="仿宋" w:hAnsi="仿宋" w:eastAsia="仿宋" w:cs="Arial"/>
                <w:color w:val="000000" w:themeColor="text1"/>
                <w:sz w:val="24"/>
                <w:highlight w:val="none"/>
                <w14:textFill>
                  <w14:solidFill>
                    <w14:schemeClr w14:val="tx1"/>
                  </w14:solidFill>
                </w14:textFill>
              </w:rPr>
              <w:t>核心</w:t>
            </w:r>
            <w:r>
              <w:rPr>
                <w:rFonts w:hint="eastAsia" w:ascii="仿宋" w:hAnsi="仿宋" w:eastAsia="仿宋" w:cs="Arial"/>
                <w:color w:val="000000" w:themeColor="text1"/>
                <w:sz w:val="24"/>
                <w:highlight w:val="none"/>
                <w:lang w:val="en-US" w:eastAsia="zh-CN"/>
                <w14:textFill>
                  <w14:solidFill>
                    <w14:schemeClr w14:val="tx1"/>
                  </w14:solidFill>
                </w14:textFill>
              </w:rPr>
              <w:t>成员</w:t>
            </w:r>
            <w:r>
              <w:rPr>
                <w:rFonts w:hint="eastAsia" w:ascii="仿宋" w:hAnsi="仿宋" w:eastAsia="仿宋" w:cs="Arial"/>
                <w:color w:val="000000" w:themeColor="text1"/>
                <w:sz w:val="24"/>
                <w:highlight w:val="none"/>
                <w:lang w:eastAsia="zh-CN"/>
                <w14:textFill>
                  <w14:solidFill>
                    <w14:schemeClr w14:val="tx1"/>
                  </w14:solidFill>
                </w14:textFill>
              </w:rPr>
              <w:t>）</w:t>
            </w:r>
            <w:r>
              <w:rPr>
                <w:rFonts w:ascii="仿宋" w:hAnsi="仿宋" w:eastAsia="仿宋" w:cs="Arial"/>
                <w:color w:val="000000" w:themeColor="text1"/>
                <w:sz w:val="24"/>
                <w:highlight w:val="none"/>
                <w14:textFill>
                  <w14:solidFill>
                    <w14:schemeClr w14:val="tx1"/>
                  </w14:solidFill>
                </w14:textFill>
              </w:rPr>
              <w:t>组成情况，</w:t>
            </w:r>
            <w:r>
              <w:rPr>
                <w:rFonts w:hint="eastAsia" w:ascii="仿宋" w:hAnsi="仿宋" w:eastAsia="仿宋" w:cs="Arial"/>
                <w:color w:val="000000" w:themeColor="text1"/>
                <w:sz w:val="24"/>
                <w:highlight w:val="none"/>
                <w14:textFill>
                  <w14:solidFill>
                    <w14:schemeClr w14:val="tx1"/>
                  </w14:solidFill>
                </w14:textFill>
              </w:rPr>
              <w:t>综合考虑服务团队人员配置、分工安排、团队核心成员的工作经验等内容进行打分。</w:t>
            </w:r>
          </w:p>
          <w:p w14:paraId="36FB58B1">
            <w:pPr>
              <w:snapToGrid/>
              <w:spacing w:line="240" w:lineRule="auto"/>
              <w:jc w:val="left"/>
              <w:rPr>
                <w:rFonts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1、项目经理：项目经理应具有1</w:t>
            </w:r>
            <w:r>
              <w:rPr>
                <w:rFonts w:hint="eastAsia" w:ascii="仿宋" w:hAnsi="仿宋" w:eastAsia="仿宋" w:cs="Arial"/>
                <w:color w:val="000000" w:themeColor="text1"/>
                <w:sz w:val="24"/>
                <w:highlight w:val="none"/>
                <w:lang w:val="en-US" w:eastAsia="zh-CN"/>
                <w14:textFill>
                  <w14:solidFill>
                    <w14:schemeClr w14:val="tx1"/>
                  </w14:solidFill>
                </w14:textFill>
              </w:rPr>
              <w:t>0</w:t>
            </w:r>
            <w:r>
              <w:rPr>
                <w:rFonts w:hint="eastAsia" w:ascii="仿宋" w:hAnsi="仿宋" w:eastAsia="仿宋" w:cs="Arial"/>
                <w:color w:val="000000" w:themeColor="text1"/>
                <w:sz w:val="24"/>
                <w:highlight w:val="none"/>
                <w14:textFill>
                  <w14:solidFill>
                    <w14:schemeClr w14:val="tx1"/>
                  </w14:solidFill>
                </w14:textFill>
              </w:rPr>
              <w:t>年及以上工作经验，具有不少于</w:t>
            </w:r>
            <w:r>
              <w:rPr>
                <w:rFonts w:hint="eastAsia" w:ascii="仿宋" w:hAnsi="仿宋" w:eastAsia="仿宋" w:cs="Arial"/>
                <w:color w:val="000000" w:themeColor="text1"/>
                <w:sz w:val="24"/>
                <w:highlight w:val="none"/>
                <w:lang w:val="en-US" w:eastAsia="zh-CN"/>
                <w14:textFill>
                  <w14:solidFill>
                    <w14:schemeClr w14:val="tx1"/>
                  </w14:solidFill>
                </w14:textFill>
              </w:rPr>
              <w:t>3</w:t>
            </w:r>
            <w:r>
              <w:rPr>
                <w:rFonts w:hint="eastAsia" w:ascii="仿宋" w:hAnsi="仿宋" w:eastAsia="仿宋" w:cs="Arial"/>
                <w:color w:val="000000" w:themeColor="text1"/>
                <w:sz w:val="24"/>
                <w:highlight w:val="none"/>
                <w14:textFill>
                  <w14:solidFill>
                    <w14:schemeClr w14:val="tx1"/>
                  </w14:solidFill>
                </w14:textFill>
              </w:rPr>
              <w:t>个数据系统或应用系统</w:t>
            </w:r>
            <w:r>
              <w:rPr>
                <w:rFonts w:hint="eastAsia" w:ascii="仿宋" w:hAnsi="仿宋" w:eastAsia="仿宋" w:cs="Arial"/>
                <w:color w:val="000000" w:themeColor="text1"/>
                <w:sz w:val="24"/>
                <w:highlight w:val="none"/>
                <w:lang w:val="en-US" w:eastAsia="zh-CN"/>
                <w14:textFill>
                  <w14:solidFill>
                    <w14:schemeClr w14:val="tx1"/>
                  </w14:solidFill>
                </w14:textFill>
              </w:rPr>
              <w:t>项目建设</w:t>
            </w:r>
            <w:r>
              <w:rPr>
                <w:rFonts w:hint="eastAsia" w:ascii="仿宋" w:hAnsi="仿宋" w:eastAsia="仿宋" w:cs="Arial"/>
                <w:color w:val="000000" w:themeColor="text1"/>
                <w:sz w:val="24"/>
                <w:highlight w:val="none"/>
                <w14:textFill>
                  <w14:solidFill>
                    <w14:schemeClr w14:val="tx1"/>
                  </w14:solidFill>
                </w14:textFill>
              </w:rPr>
              <w:t>的主导经验</w:t>
            </w:r>
            <w:r>
              <w:rPr>
                <w:rFonts w:hint="eastAsia" w:ascii="仿宋" w:hAnsi="仿宋" w:eastAsia="仿宋" w:cs="Arial"/>
                <w:color w:val="000000" w:themeColor="text1"/>
                <w:sz w:val="24"/>
                <w:highlight w:val="none"/>
                <w:lang w:eastAsia="zh-CN"/>
                <w14:textFill>
                  <w14:solidFill>
                    <w14:schemeClr w14:val="tx1"/>
                  </w14:solidFill>
                </w14:textFill>
              </w:rPr>
              <w:t>，</w:t>
            </w:r>
            <w:r>
              <w:rPr>
                <w:rFonts w:hint="eastAsia" w:ascii="仿宋" w:hAnsi="仿宋" w:eastAsia="仿宋" w:cs="Arial"/>
                <w:color w:val="000000" w:themeColor="text1"/>
                <w:sz w:val="24"/>
                <w:highlight w:val="none"/>
                <w:lang w:val="en-US" w:eastAsia="zh-CN"/>
                <w14:textFill>
                  <w14:solidFill>
                    <w14:schemeClr w14:val="tx1"/>
                  </w14:solidFill>
                </w14:textFill>
              </w:rPr>
              <w:t>需</w:t>
            </w:r>
            <w:r>
              <w:rPr>
                <w:rFonts w:hint="eastAsia" w:ascii="仿宋" w:hAnsi="仿宋" w:eastAsia="仿宋" w:cs="仿宋"/>
                <w:color w:val="000000" w:themeColor="text1"/>
                <w:sz w:val="24"/>
                <w:highlight w:val="none"/>
                <w:lang w:bidi="ar"/>
                <w14:textFill>
                  <w14:solidFill>
                    <w14:schemeClr w14:val="tx1"/>
                  </w14:solidFill>
                </w14:textFill>
              </w:rPr>
              <w:t>提供</w:t>
            </w:r>
            <w:r>
              <w:rPr>
                <w:rFonts w:hint="eastAsia" w:ascii="仿宋" w:hAnsi="仿宋" w:eastAsia="仿宋" w:cs="仿宋"/>
                <w:color w:val="000000" w:themeColor="text1"/>
                <w:sz w:val="24"/>
                <w:highlight w:val="none"/>
                <w:lang w:val="en-US" w:eastAsia="zh-CN" w:bidi="ar"/>
                <w14:textFill>
                  <w14:solidFill>
                    <w14:schemeClr w14:val="tx1"/>
                  </w14:solidFill>
                </w14:textFill>
              </w:rPr>
              <w:t>简历</w:t>
            </w:r>
            <w:r>
              <w:rPr>
                <w:rFonts w:hint="eastAsia"/>
                <w:color w:val="000000" w:themeColor="text1"/>
                <w:highlight w:val="none"/>
                <w:lang w:eastAsia="zh-CN"/>
                <w14:textFill>
                  <w14:solidFill>
                    <w14:schemeClr w14:val="tx1"/>
                  </w14:solidFill>
                </w14:textFill>
              </w:rPr>
              <w:t>（</w:t>
            </w:r>
            <w:r>
              <w:rPr>
                <w:rFonts w:hint="eastAsia" w:ascii="仿宋" w:hAnsi="仿宋" w:eastAsia="仿宋" w:cs="仿宋"/>
                <w:color w:val="000000" w:themeColor="text1"/>
                <w:sz w:val="24"/>
                <w:highlight w:val="none"/>
                <w:lang w:bidi="ar"/>
                <w14:textFill>
                  <w14:solidFill>
                    <w14:schemeClr w14:val="tx1"/>
                  </w14:solidFill>
                </w14:textFill>
              </w:rPr>
              <w:t>证明</w:t>
            </w:r>
            <w:r>
              <w:rPr>
                <w:rFonts w:hint="eastAsia" w:ascii="仿宋" w:hAnsi="仿宋" w:eastAsia="仿宋" w:cs="仿宋"/>
                <w:color w:val="000000" w:themeColor="text1"/>
                <w:sz w:val="24"/>
                <w:highlight w:val="none"/>
                <w:lang w:val="en-US" w:eastAsia="zh-CN" w:bidi="ar"/>
                <w14:textFill>
                  <w14:solidFill>
                    <w14:schemeClr w14:val="tx1"/>
                  </w14:solidFill>
                </w14:textFill>
              </w:rPr>
              <w:t>工作经历</w:t>
            </w:r>
            <w:r>
              <w:rPr>
                <w:rFonts w:hint="eastAsia" w:ascii="仿宋" w:hAnsi="仿宋" w:eastAsia="仿宋" w:cs="仿宋"/>
                <w:color w:val="000000" w:themeColor="text1"/>
                <w:sz w:val="24"/>
                <w:highlight w:val="none"/>
                <w:lang w:eastAsia="zh-CN" w:bidi="ar"/>
                <w14:textFill>
                  <w14:solidFill>
                    <w14:schemeClr w14:val="tx1"/>
                  </w14:solidFill>
                </w14:textFill>
              </w:rPr>
              <w:t>）</w:t>
            </w:r>
            <w:r>
              <w:rPr>
                <w:rFonts w:hint="eastAsia" w:ascii="仿宋" w:hAnsi="仿宋" w:eastAsia="仿宋" w:cs="仿宋"/>
                <w:color w:val="000000" w:themeColor="text1"/>
                <w:sz w:val="24"/>
                <w:highlight w:val="none"/>
                <w:lang w:bidi="ar"/>
                <w14:textFill>
                  <w14:solidFill>
                    <w14:schemeClr w14:val="tx1"/>
                  </w14:solidFill>
                </w14:textFill>
              </w:rPr>
              <w:t>，</w:t>
            </w:r>
            <w:r>
              <w:rPr>
                <w:rFonts w:hint="eastAsia" w:ascii="仿宋" w:hAnsi="仿宋" w:eastAsia="仿宋" w:cs="Arial"/>
                <w:color w:val="000000" w:themeColor="text1"/>
                <w:sz w:val="24"/>
                <w:highlight w:val="none"/>
                <w:lang w:val="en-US" w:eastAsia="zh-CN"/>
                <w14:textFill>
                  <w14:solidFill>
                    <w14:schemeClr w14:val="tx1"/>
                  </w14:solidFill>
                </w14:textFill>
              </w:rPr>
              <w:t>得1分；未满足要求或未提供材料不得分</w:t>
            </w:r>
            <w:r>
              <w:rPr>
                <w:rFonts w:hint="eastAsia" w:ascii="仿宋" w:hAnsi="仿宋" w:eastAsia="仿宋" w:cs="Arial"/>
                <w:color w:val="000000" w:themeColor="text1"/>
                <w:sz w:val="24"/>
                <w:highlight w:val="none"/>
                <w14:textFill>
                  <w14:solidFill>
                    <w14:schemeClr w14:val="tx1"/>
                  </w14:solidFill>
                </w14:textFill>
              </w:rPr>
              <w:t>。</w:t>
            </w:r>
          </w:p>
          <w:p w14:paraId="0C0F75A3">
            <w:pPr>
              <w:snapToGrid/>
              <w:spacing w:line="240" w:lineRule="auto"/>
              <w:jc w:val="left"/>
              <w:rPr>
                <w:rFonts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项目经理具备信息系统项目管理师（计算机技术与软件专业技术资格（水平）-高级）资质证书，</w:t>
            </w:r>
            <w:r>
              <w:rPr>
                <w:rFonts w:ascii="仿宋" w:hAnsi="仿宋" w:eastAsia="仿宋" w:cs="Arial"/>
                <w:color w:val="000000" w:themeColor="text1"/>
                <w:sz w:val="24"/>
                <w:highlight w:val="none"/>
                <w14:textFill>
                  <w14:solidFill>
                    <w14:schemeClr w14:val="tx1"/>
                  </w14:solidFill>
                </w14:textFill>
              </w:rPr>
              <w:t>得</w:t>
            </w:r>
            <w:r>
              <w:rPr>
                <w:rFonts w:hint="eastAsia" w:ascii="仿宋" w:hAnsi="仿宋" w:eastAsia="仿宋" w:cs="Arial"/>
                <w:color w:val="000000" w:themeColor="text1"/>
                <w:sz w:val="24"/>
                <w:highlight w:val="none"/>
                <w:lang w:val="en-US" w:eastAsia="zh-CN"/>
                <w14:textFill>
                  <w14:solidFill>
                    <w14:schemeClr w14:val="tx1"/>
                  </w14:solidFill>
                </w14:textFill>
              </w:rPr>
              <w:t>1</w:t>
            </w:r>
            <w:r>
              <w:rPr>
                <w:rFonts w:ascii="仿宋" w:hAnsi="仿宋" w:eastAsia="仿宋" w:cs="Arial"/>
                <w:color w:val="000000" w:themeColor="text1"/>
                <w:sz w:val="24"/>
                <w:highlight w:val="none"/>
                <w14:textFill>
                  <w14:solidFill>
                    <w14:schemeClr w14:val="tx1"/>
                  </w14:solidFill>
                </w14:textFill>
              </w:rPr>
              <w:t>分；</w:t>
            </w:r>
          </w:p>
          <w:p w14:paraId="5CE5D3E8">
            <w:pPr>
              <w:snapToGrid/>
              <w:spacing w:line="240" w:lineRule="auto"/>
              <w:jc w:val="left"/>
              <w:rPr>
                <w:rFonts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2、</w:t>
            </w:r>
            <w:r>
              <w:rPr>
                <w:rFonts w:hint="eastAsia" w:ascii="仿宋" w:hAnsi="仿宋" w:eastAsia="仿宋" w:cs="Arial"/>
                <w:color w:val="000000" w:themeColor="text1"/>
                <w:sz w:val="24"/>
                <w:highlight w:val="none"/>
                <w:lang w:val="en-US" w:eastAsia="zh-CN"/>
                <w14:textFill>
                  <w14:solidFill>
                    <w14:schemeClr w14:val="tx1"/>
                  </w14:solidFill>
                </w14:textFill>
              </w:rPr>
              <w:t>核心</w:t>
            </w:r>
            <w:r>
              <w:rPr>
                <w:rFonts w:hint="eastAsia" w:ascii="仿宋" w:hAnsi="仿宋" w:eastAsia="仿宋" w:cs="Arial"/>
                <w:color w:val="000000" w:themeColor="text1"/>
                <w:sz w:val="24"/>
                <w:highlight w:val="none"/>
                <w14:textFill>
                  <w14:solidFill>
                    <w14:schemeClr w14:val="tx1"/>
                  </w14:solidFill>
                </w14:textFill>
              </w:rPr>
              <w:t>团队成员：根据项目团队成员的专业经验年限情况、是否驻场等打分。</w:t>
            </w:r>
          </w:p>
          <w:p w14:paraId="47B595EA">
            <w:pPr>
              <w:spacing w:line="240" w:lineRule="auto"/>
              <w:rPr>
                <w:rFonts w:hint="eastAsia"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1)产品经理要求</w:t>
            </w:r>
            <w:r>
              <w:rPr>
                <w:rFonts w:hint="eastAsia" w:ascii="仿宋" w:hAnsi="仿宋" w:eastAsia="仿宋" w:cs="Arial"/>
                <w:color w:val="000000" w:themeColor="text1"/>
                <w:sz w:val="24"/>
                <w:highlight w:val="none"/>
                <w:lang w:val="en-US" w:eastAsia="zh-CN"/>
                <w14:textFill>
                  <w14:solidFill>
                    <w14:schemeClr w14:val="tx1"/>
                  </w14:solidFill>
                </w14:textFill>
              </w:rPr>
              <w:t>5</w:t>
            </w:r>
            <w:r>
              <w:rPr>
                <w:rFonts w:hint="eastAsia" w:ascii="仿宋" w:hAnsi="仿宋" w:eastAsia="仿宋" w:cs="Arial"/>
                <w:color w:val="000000" w:themeColor="text1"/>
                <w:sz w:val="24"/>
                <w:highlight w:val="none"/>
                <w14:textFill>
                  <w14:solidFill>
                    <w14:schemeClr w14:val="tx1"/>
                  </w14:solidFill>
                </w14:textFill>
              </w:rPr>
              <w:t>年及以上系统业务需求分析经验；</w:t>
            </w:r>
          </w:p>
          <w:p w14:paraId="7AF52936">
            <w:pPr>
              <w:spacing w:line="240" w:lineRule="auto"/>
              <w:rPr>
                <w:rFonts w:hint="eastAsia"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2)架构师要求</w:t>
            </w:r>
            <w:r>
              <w:rPr>
                <w:rFonts w:hint="eastAsia" w:ascii="仿宋" w:hAnsi="仿宋" w:eastAsia="仿宋" w:cs="Arial"/>
                <w:color w:val="000000" w:themeColor="text1"/>
                <w:sz w:val="24"/>
                <w:highlight w:val="none"/>
                <w:lang w:val="en-US" w:eastAsia="zh-CN"/>
                <w14:textFill>
                  <w14:solidFill>
                    <w14:schemeClr w14:val="tx1"/>
                  </w14:solidFill>
                </w14:textFill>
              </w:rPr>
              <w:t>5</w:t>
            </w:r>
            <w:r>
              <w:rPr>
                <w:rFonts w:hint="eastAsia" w:ascii="仿宋" w:hAnsi="仿宋" w:eastAsia="仿宋" w:cs="Arial"/>
                <w:color w:val="000000" w:themeColor="text1"/>
                <w:sz w:val="24"/>
                <w:highlight w:val="none"/>
                <w14:textFill>
                  <w14:solidFill>
                    <w14:schemeClr w14:val="tx1"/>
                  </w14:solidFill>
                </w14:textFill>
              </w:rPr>
              <w:t>年及以上系统架构经验；</w:t>
            </w:r>
          </w:p>
          <w:p w14:paraId="72F48126">
            <w:pPr>
              <w:spacing w:line="240" w:lineRule="auto"/>
              <w:rPr>
                <w:rFonts w:hint="eastAsia"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3)高级开发人员要求</w:t>
            </w:r>
            <w:r>
              <w:rPr>
                <w:rFonts w:hint="eastAsia" w:ascii="仿宋" w:hAnsi="仿宋" w:eastAsia="仿宋" w:cs="Arial"/>
                <w:color w:val="000000" w:themeColor="text1"/>
                <w:sz w:val="24"/>
                <w:highlight w:val="none"/>
                <w:lang w:val="en-US" w:eastAsia="zh-CN"/>
                <w14:textFill>
                  <w14:solidFill>
                    <w14:schemeClr w14:val="tx1"/>
                  </w14:solidFill>
                </w14:textFill>
              </w:rPr>
              <w:t>3</w:t>
            </w:r>
            <w:r>
              <w:rPr>
                <w:rFonts w:hint="eastAsia" w:ascii="仿宋" w:hAnsi="仿宋" w:eastAsia="仿宋" w:cs="Arial"/>
                <w:color w:val="000000" w:themeColor="text1"/>
                <w:sz w:val="24"/>
                <w:highlight w:val="none"/>
                <w14:textFill>
                  <w14:solidFill>
                    <w14:schemeClr w14:val="tx1"/>
                  </w14:solidFill>
                </w14:textFill>
              </w:rPr>
              <w:t>年及以上系统开发经验；</w:t>
            </w:r>
          </w:p>
          <w:p w14:paraId="37FFB6EB">
            <w:pPr>
              <w:spacing w:line="240" w:lineRule="auto"/>
              <w:rPr>
                <w:rFonts w:hint="eastAsia"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4)测试经理要求</w:t>
            </w:r>
            <w:r>
              <w:rPr>
                <w:rFonts w:hint="eastAsia" w:ascii="仿宋" w:hAnsi="仿宋" w:eastAsia="仿宋" w:cs="Arial"/>
                <w:color w:val="000000" w:themeColor="text1"/>
                <w:sz w:val="24"/>
                <w:highlight w:val="none"/>
                <w:lang w:val="en-US" w:eastAsia="zh-CN"/>
                <w14:textFill>
                  <w14:solidFill>
                    <w14:schemeClr w14:val="tx1"/>
                  </w14:solidFill>
                </w14:textFill>
              </w:rPr>
              <w:t>5</w:t>
            </w:r>
            <w:r>
              <w:rPr>
                <w:rFonts w:hint="eastAsia" w:ascii="仿宋" w:hAnsi="仿宋" w:eastAsia="仿宋" w:cs="Arial"/>
                <w:color w:val="000000" w:themeColor="text1"/>
                <w:sz w:val="24"/>
                <w:highlight w:val="none"/>
                <w14:textFill>
                  <w14:solidFill>
                    <w14:schemeClr w14:val="tx1"/>
                  </w14:solidFill>
                </w14:textFill>
              </w:rPr>
              <w:t>年以上系统软件测试经验；</w:t>
            </w:r>
          </w:p>
          <w:p w14:paraId="705A3167">
            <w:pPr>
              <w:spacing w:line="240" w:lineRule="auto"/>
              <w:rPr>
                <w:rFonts w:hint="eastAsia"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5)配置管理要求</w:t>
            </w:r>
            <w:r>
              <w:rPr>
                <w:rFonts w:hint="eastAsia" w:ascii="仿宋" w:hAnsi="仿宋" w:eastAsia="仿宋" w:cs="Arial"/>
                <w:color w:val="000000" w:themeColor="text1"/>
                <w:sz w:val="24"/>
                <w:highlight w:val="none"/>
                <w:lang w:val="en-US" w:eastAsia="zh-CN"/>
                <w14:textFill>
                  <w14:solidFill>
                    <w14:schemeClr w14:val="tx1"/>
                  </w14:solidFill>
                </w14:textFill>
              </w:rPr>
              <w:t>3</w:t>
            </w:r>
            <w:r>
              <w:rPr>
                <w:rFonts w:hint="eastAsia" w:ascii="仿宋" w:hAnsi="仿宋" w:eastAsia="仿宋" w:cs="Arial"/>
                <w:color w:val="000000" w:themeColor="text1"/>
                <w:sz w:val="24"/>
                <w:highlight w:val="none"/>
                <w14:textFill>
                  <w14:solidFill>
                    <w14:schemeClr w14:val="tx1"/>
                  </w14:solidFill>
                </w14:textFill>
              </w:rPr>
              <w:t>年及以上系统配置管理经验；</w:t>
            </w:r>
          </w:p>
          <w:p w14:paraId="10E15CB7">
            <w:pPr>
              <w:spacing w:line="240" w:lineRule="auto"/>
              <w:rPr>
                <w:rFonts w:hint="eastAsia"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满足上述工作年限要求并可驻场开发的，架构师岗位提供1位符合要求的人员得1分，其他岗位提供1位符合要求的人员得0.5分。最高3分。</w:t>
            </w:r>
          </w:p>
          <w:p w14:paraId="3243BBD9">
            <w:pPr>
              <w:spacing w:line="240" w:lineRule="auto"/>
              <w:rPr>
                <w:rFonts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3、团队规模：项目团队人员（含核心成员）</w:t>
            </w:r>
            <w:r>
              <w:rPr>
                <w:rFonts w:hint="eastAsia" w:ascii="仿宋" w:hAnsi="仿宋" w:eastAsia="仿宋" w:cs="Arial"/>
                <w:color w:val="000000" w:themeColor="text1"/>
                <w:sz w:val="24"/>
                <w:highlight w:val="none"/>
                <w:lang w:val="en-US" w:eastAsia="zh-CN"/>
                <w14:textFill>
                  <w14:solidFill>
                    <w14:schemeClr w14:val="tx1"/>
                  </w14:solidFill>
                </w14:textFill>
              </w:rPr>
              <w:t>均</w:t>
            </w:r>
            <w:r>
              <w:rPr>
                <w:rFonts w:hint="eastAsia" w:ascii="仿宋" w:hAnsi="仿宋" w:eastAsia="仿宋" w:cs="Arial"/>
                <w:color w:val="000000" w:themeColor="text1"/>
                <w:sz w:val="24"/>
                <w:szCs w:val="24"/>
                <w:highlight w:val="none"/>
                <w14:textFill>
                  <w14:solidFill>
                    <w14:schemeClr w14:val="tx1"/>
                  </w14:solidFill>
                </w14:textFill>
              </w:rPr>
              <w:t>具备3年及以上系统实施经验</w:t>
            </w:r>
            <w:r>
              <w:rPr>
                <w:rFonts w:hint="eastAsia" w:ascii="仿宋" w:hAnsi="仿宋" w:eastAsia="仿宋" w:cs="Arial"/>
                <w:color w:val="000000" w:themeColor="text1"/>
                <w:sz w:val="24"/>
                <w:szCs w:val="24"/>
                <w:highlight w:val="none"/>
                <w:lang w:eastAsia="zh-CN"/>
                <w14:textFill>
                  <w14:solidFill>
                    <w14:schemeClr w14:val="tx1"/>
                  </w14:solidFill>
                </w14:textFill>
              </w:rPr>
              <w:t>，</w:t>
            </w:r>
            <w:r>
              <w:rPr>
                <w:rFonts w:hint="eastAsia" w:ascii="仿宋" w:hAnsi="仿宋" w:eastAsia="仿宋" w:cs="Arial"/>
                <w:color w:val="000000" w:themeColor="text1"/>
                <w:sz w:val="24"/>
                <w:szCs w:val="24"/>
                <w:highlight w:val="none"/>
                <w:lang w:val="en-US" w:eastAsia="zh-CN"/>
                <w14:textFill>
                  <w14:solidFill>
                    <w14:schemeClr w14:val="tx1"/>
                  </w14:solidFill>
                </w14:textFill>
              </w:rPr>
              <w:t>满足要求的团队人员</w:t>
            </w:r>
            <w:r>
              <w:rPr>
                <w:rFonts w:hint="eastAsia" w:ascii="仿宋" w:hAnsi="仿宋" w:eastAsia="仿宋" w:cs="Arial"/>
                <w:color w:val="000000" w:themeColor="text1"/>
                <w:sz w:val="24"/>
                <w:szCs w:val="24"/>
                <w:highlight w:val="none"/>
                <w:lang w:eastAsia="zh-CN"/>
                <w14:textFill>
                  <w14:solidFill>
                    <w14:schemeClr w14:val="tx1"/>
                  </w14:solidFill>
                </w14:textFill>
              </w:rPr>
              <w:t>配备</w:t>
            </w:r>
            <w:r>
              <w:rPr>
                <w:rFonts w:hint="eastAsia" w:ascii="仿宋" w:hAnsi="仿宋" w:eastAsia="仿宋" w:cs="Arial"/>
                <w:color w:val="000000" w:themeColor="text1"/>
                <w:sz w:val="24"/>
                <w:szCs w:val="24"/>
                <w:highlight w:val="none"/>
                <w:lang w:val="en-US" w:eastAsia="zh-CN"/>
                <w14:textFill>
                  <w14:solidFill>
                    <w14:schemeClr w14:val="tx1"/>
                  </w14:solidFill>
                </w14:textFill>
              </w:rPr>
              <w:t>10人（不含）以上的，得3分；满足要求的团队人员配备10人及以下，5人（不含）以上的，得2分；满足要求的团队人员数在5人及以下不得分</w:t>
            </w:r>
            <w:r>
              <w:rPr>
                <w:rFonts w:hint="eastAsia" w:ascii="仿宋" w:hAnsi="仿宋" w:eastAsia="仿宋" w:cs="Arial"/>
                <w:color w:val="000000" w:themeColor="text1"/>
                <w:sz w:val="24"/>
                <w:highlight w:val="none"/>
                <w14:textFill>
                  <w14:solidFill>
                    <w14:schemeClr w14:val="tx1"/>
                  </w14:solidFill>
                </w14:textFill>
              </w:rPr>
              <w:t>。</w:t>
            </w:r>
          </w:p>
          <w:p w14:paraId="4B0BDDFA">
            <w:pPr>
              <w:rPr>
                <w:rFonts w:hint="eastAsia"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14:textFill>
                  <w14:solidFill>
                    <w14:schemeClr w14:val="tx1"/>
                  </w14:solidFill>
                </w14:textFill>
              </w:rPr>
              <w:t>注：</w:t>
            </w:r>
          </w:p>
          <w:p w14:paraId="15081F5C">
            <w:pPr>
              <w:rPr>
                <w:rFonts w:hint="eastAsia"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lang w:val="en-US" w:eastAsia="zh-CN"/>
                <w14:textFill>
                  <w14:solidFill>
                    <w14:schemeClr w14:val="tx1"/>
                  </w14:solidFill>
                </w14:textFill>
              </w:rPr>
              <w:t>1.需提供项目经理简历和</w:t>
            </w:r>
            <w:r>
              <w:rPr>
                <w:rFonts w:hint="eastAsia" w:ascii="仿宋" w:hAnsi="仿宋" w:eastAsia="仿宋" w:cs="Arial"/>
                <w:color w:val="000000" w:themeColor="text1"/>
                <w:sz w:val="24"/>
                <w:highlight w:val="none"/>
                <w14:textFill>
                  <w14:solidFill>
                    <w14:schemeClr w14:val="tx1"/>
                  </w14:solidFill>
                </w14:textFill>
              </w:rPr>
              <w:t>资格证书（至投标截止之日在有效期内）。</w:t>
            </w:r>
          </w:p>
          <w:p w14:paraId="00C1BFF9">
            <w:pPr>
              <w:rPr>
                <w:rFonts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lang w:val="en-US" w:eastAsia="zh-CN"/>
                <w14:textFill>
                  <w14:solidFill>
                    <w14:schemeClr w14:val="tx1"/>
                  </w14:solidFill>
                </w14:textFill>
              </w:rPr>
              <w:t>2.</w:t>
            </w:r>
            <w:r>
              <w:rPr>
                <w:rFonts w:hint="eastAsia" w:ascii="仿宋" w:hAnsi="仿宋" w:eastAsia="仿宋" w:cs="Arial"/>
                <w:color w:val="000000" w:themeColor="text1"/>
                <w:sz w:val="24"/>
                <w:highlight w:val="none"/>
                <w14:textFill>
                  <w14:solidFill>
                    <w14:schemeClr w14:val="tx1"/>
                  </w14:solidFill>
                </w14:textFill>
              </w:rPr>
              <w:t>需提供服务承诺函，说明服务团队情况</w:t>
            </w:r>
            <w:r>
              <w:rPr>
                <w:rFonts w:hint="eastAsia" w:ascii="仿宋" w:hAnsi="仿宋" w:eastAsia="仿宋" w:cs="Arial"/>
                <w:color w:val="000000" w:themeColor="text1"/>
                <w:sz w:val="24"/>
                <w:highlight w:val="none"/>
                <w:lang w:eastAsia="zh-CN"/>
                <w14:textFill>
                  <w14:solidFill>
                    <w14:schemeClr w14:val="tx1"/>
                  </w14:solidFill>
                </w14:textFill>
              </w:rPr>
              <w:t>。</w:t>
            </w:r>
            <w:r>
              <w:rPr>
                <w:rFonts w:hint="eastAsia" w:ascii="仿宋" w:hAnsi="仿宋" w:eastAsia="仿宋" w:cs="Arial"/>
                <w:color w:val="000000" w:themeColor="text1"/>
                <w:sz w:val="24"/>
                <w:highlight w:val="none"/>
                <w14:textFill>
                  <w14:solidFill>
                    <w14:schemeClr w14:val="tx1"/>
                  </w14:solidFill>
                </w14:textFill>
              </w:rPr>
              <w:t>未提供</w:t>
            </w:r>
            <w:r>
              <w:rPr>
                <w:rFonts w:hint="eastAsia" w:ascii="仿宋" w:hAnsi="仿宋" w:eastAsia="仿宋" w:cs="Arial"/>
                <w:color w:val="000000" w:themeColor="text1"/>
                <w:sz w:val="24"/>
                <w:highlight w:val="none"/>
                <w:lang w:val="en-US" w:eastAsia="zh-CN"/>
                <w14:textFill>
                  <w14:solidFill>
                    <w14:schemeClr w14:val="tx1"/>
                  </w14:solidFill>
                </w14:textFill>
              </w:rPr>
              <w:t>承诺函</w:t>
            </w:r>
            <w:r>
              <w:rPr>
                <w:rFonts w:hint="eastAsia" w:ascii="仿宋" w:hAnsi="仿宋" w:eastAsia="仿宋" w:cs="Arial"/>
                <w:color w:val="000000" w:themeColor="text1"/>
                <w:sz w:val="24"/>
                <w:highlight w:val="none"/>
                <w14:textFill>
                  <w14:solidFill>
                    <w14:schemeClr w14:val="tx1"/>
                  </w14:solidFill>
                </w14:textFill>
              </w:rPr>
              <w:t>或提供的</w:t>
            </w:r>
            <w:r>
              <w:rPr>
                <w:rFonts w:hint="eastAsia" w:ascii="仿宋" w:hAnsi="仿宋" w:eastAsia="仿宋" w:cs="Arial"/>
                <w:color w:val="000000" w:themeColor="text1"/>
                <w:sz w:val="24"/>
                <w:highlight w:val="none"/>
                <w:lang w:val="en-US" w:eastAsia="zh-CN"/>
                <w14:textFill>
                  <w14:solidFill>
                    <w14:schemeClr w14:val="tx1"/>
                  </w14:solidFill>
                </w14:textFill>
              </w:rPr>
              <w:t>承诺函内容</w:t>
            </w:r>
            <w:r>
              <w:rPr>
                <w:rFonts w:hint="eastAsia" w:ascii="仿宋" w:hAnsi="仿宋" w:eastAsia="仿宋" w:cs="Arial"/>
                <w:color w:val="000000" w:themeColor="text1"/>
                <w:sz w:val="24"/>
                <w:highlight w:val="none"/>
                <w14:textFill>
                  <w14:solidFill>
                    <w14:schemeClr w14:val="tx1"/>
                  </w14:solidFill>
                </w14:textFill>
              </w:rPr>
              <w:t>不满足要求的不作为评审依据。</w:t>
            </w:r>
          </w:p>
        </w:tc>
        <w:tc>
          <w:tcPr>
            <w:tcW w:w="431" w:type="pct"/>
            <w:shd w:val="clear" w:color="auto" w:fill="auto"/>
            <w:vAlign w:val="center"/>
          </w:tcPr>
          <w:p w14:paraId="5C04F3FC">
            <w:pPr>
              <w:snapToGrid w:val="0"/>
              <w:spacing w:line="360" w:lineRule="exact"/>
              <w:jc w:val="center"/>
              <w:rPr>
                <w:rFonts w:hint="default" w:ascii="仿宋" w:hAnsi="仿宋" w:eastAsia="仿宋" w:cs="仿宋_GB2312"/>
                <w:color w:val="000000" w:themeColor="text1"/>
                <w:sz w:val="24"/>
                <w:highlight w:val="none"/>
                <w:lang w:val="en-US" w:eastAsia="zh-CN"/>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8</w:t>
            </w:r>
          </w:p>
        </w:tc>
      </w:tr>
      <w:tr w14:paraId="4A491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trPr>
        <w:tc>
          <w:tcPr>
            <w:tcW w:w="431" w:type="pct"/>
            <w:shd w:val="clear" w:color="auto" w:fill="auto"/>
            <w:vAlign w:val="center"/>
          </w:tcPr>
          <w:p w14:paraId="1BAA04D6">
            <w:pPr>
              <w:widowControl/>
              <w:snapToGrid w:val="0"/>
              <w:jc w:val="center"/>
              <w:rPr>
                <w:rFonts w:hint="default" w:ascii="仿宋" w:hAnsi="仿宋" w:eastAsia="仿宋" w:cs="仿宋_GB2312"/>
                <w:color w:val="000000" w:themeColor="text1"/>
                <w:sz w:val="24"/>
                <w:highlight w:val="none"/>
                <w:lang w:val="en-US" w:eastAsia="zh-CN"/>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11</w:t>
            </w:r>
          </w:p>
        </w:tc>
        <w:tc>
          <w:tcPr>
            <w:tcW w:w="898" w:type="pct"/>
            <w:vMerge w:val="continue"/>
            <w:vAlign w:val="center"/>
          </w:tcPr>
          <w:p w14:paraId="0EB12964">
            <w:pPr>
              <w:widowControl/>
              <w:snapToGrid w:val="0"/>
              <w:jc w:val="center"/>
              <w:rPr>
                <w:rFonts w:ascii="仿宋" w:hAnsi="仿宋" w:eastAsia="仿宋" w:cs="仿宋_GB2312"/>
                <w:color w:val="000000" w:themeColor="text1"/>
                <w:sz w:val="24"/>
                <w:highlight w:val="none"/>
                <w14:textFill>
                  <w14:solidFill>
                    <w14:schemeClr w14:val="tx1"/>
                  </w14:solidFill>
                </w14:textFill>
              </w:rPr>
            </w:pPr>
          </w:p>
        </w:tc>
        <w:tc>
          <w:tcPr>
            <w:tcW w:w="954" w:type="pct"/>
            <w:shd w:val="clear" w:color="auto" w:fill="auto"/>
            <w:vAlign w:val="center"/>
          </w:tcPr>
          <w:p w14:paraId="59A78180">
            <w:pPr>
              <w:snapToGrid w:val="0"/>
              <w:spacing w:line="360" w:lineRule="exact"/>
              <w:jc w:val="center"/>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延伸服务</w:t>
            </w:r>
          </w:p>
        </w:tc>
        <w:tc>
          <w:tcPr>
            <w:tcW w:w="2284" w:type="pct"/>
            <w:shd w:val="clear" w:color="auto" w:fill="auto"/>
            <w:vAlign w:val="center"/>
          </w:tcPr>
          <w:p w14:paraId="760B5F02">
            <w:pPr>
              <w:snapToGrid/>
              <w:spacing w:line="240" w:lineRule="auto"/>
              <w:jc w:val="left"/>
              <w:rPr>
                <w:rFonts w:ascii="仿宋" w:hAnsi="仿宋" w:eastAsia="仿宋" w:cs="Arial"/>
                <w:color w:val="000000" w:themeColor="text1"/>
                <w:sz w:val="24"/>
                <w:highlight w:val="none"/>
                <w14:textFill>
                  <w14:solidFill>
                    <w14:schemeClr w14:val="tx1"/>
                  </w14:solidFill>
                </w14:textFill>
              </w:rPr>
            </w:pPr>
            <w:r>
              <w:rPr>
                <w:rFonts w:hint="eastAsia" w:ascii="仿宋" w:hAnsi="仿宋" w:eastAsia="仿宋" w:cs="Arial"/>
                <w:color w:val="000000" w:themeColor="text1"/>
                <w:sz w:val="24"/>
                <w:highlight w:val="none"/>
                <w:lang w:val="en-US" w:eastAsia="zh-CN"/>
                <w14:textFill>
                  <w14:solidFill>
                    <w14:schemeClr w14:val="tx1"/>
                  </w14:solidFill>
                </w14:textFill>
              </w:rPr>
              <w:t>在1年免费维保基础上，额外</w:t>
            </w:r>
            <w:r>
              <w:rPr>
                <w:rFonts w:hint="eastAsia" w:ascii="仿宋" w:hAnsi="仿宋" w:eastAsia="仿宋" w:cs="Arial"/>
                <w:color w:val="000000" w:themeColor="text1"/>
                <w:sz w:val="24"/>
                <w:highlight w:val="none"/>
                <w:lang w:eastAsia="zh-CN"/>
                <w14:textFill>
                  <w14:solidFill>
                    <w14:schemeClr w14:val="tx1"/>
                  </w14:solidFill>
                </w14:textFill>
              </w:rPr>
              <w:t>提供</w:t>
            </w:r>
            <w:r>
              <w:rPr>
                <w:rFonts w:hint="eastAsia" w:ascii="仿宋" w:hAnsi="仿宋" w:eastAsia="仿宋" w:cs="Arial"/>
                <w:color w:val="000000" w:themeColor="text1"/>
                <w:sz w:val="24"/>
                <w:highlight w:val="none"/>
                <w:lang w:val="en-US" w:eastAsia="zh-CN"/>
                <w14:textFill>
                  <w14:solidFill>
                    <w14:schemeClr w14:val="tx1"/>
                  </w14:solidFill>
                </w14:textFill>
              </w:rPr>
              <w:t>1年免费维保服务</w:t>
            </w:r>
            <w:r>
              <w:rPr>
                <w:rFonts w:hint="eastAsia" w:ascii="仿宋" w:hAnsi="仿宋" w:eastAsia="仿宋" w:cs="Arial"/>
                <w:color w:val="000000" w:themeColor="text1"/>
                <w:sz w:val="24"/>
                <w:highlight w:val="none"/>
                <w14:textFill>
                  <w14:solidFill>
                    <w14:schemeClr w14:val="tx1"/>
                  </w14:solidFill>
                </w14:textFill>
              </w:rPr>
              <w:t>，得</w:t>
            </w:r>
            <w:r>
              <w:rPr>
                <w:rFonts w:hint="eastAsia" w:ascii="仿宋" w:hAnsi="仿宋" w:eastAsia="仿宋" w:cs="Arial"/>
                <w:color w:val="000000" w:themeColor="text1"/>
                <w:sz w:val="24"/>
                <w:highlight w:val="none"/>
                <w:lang w:val="en-US" w:eastAsia="zh-CN"/>
                <w14:textFill>
                  <w14:solidFill>
                    <w14:schemeClr w14:val="tx1"/>
                  </w14:solidFill>
                </w14:textFill>
              </w:rPr>
              <w:t>1</w:t>
            </w:r>
            <w:r>
              <w:rPr>
                <w:rFonts w:hint="eastAsia" w:ascii="仿宋" w:hAnsi="仿宋" w:eastAsia="仿宋" w:cs="Arial"/>
                <w:color w:val="000000" w:themeColor="text1"/>
                <w:sz w:val="24"/>
                <w:highlight w:val="none"/>
                <w14:textFill>
                  <w14:solidFill>
                    <w14:schemeClr w14:val="tx1"/>
                  </w14:solidFill>
                </w14:textFill>
              </w:rPr>
              <w:t>分</w:t>
            </w:r>
            <w:r>
              <w:rPr>
                <w:rFonts w:hint="eastAsia" w:ascii="仿宋" w:hAnsi="仿宋" w:eastAsia="仿宋" w:cs="Arial"/>
                <w:color w:val="000000" w:themeColor="text1"/>
                <w:sz w:val="24"/>
                <w:highlight w:val="none"/>
                <w:lang w:eastAsia="zh-CN"/>
                <w14:textFill>
                  <w14:solidFill>
                    <w14:schemeClr w14:val="tx1"/>
                  </w14:solidFill>
                </w14:textFill>
              </w:rPr>
              <w:t>，</w:t>
            </w:r>
            <w:r>
              <w:rPr>
                <w:rFonts w:hint="eastAsia" w:ascii="仿宋" w:hAnsi="仿宋" w:eastAsia="仿宋" w:cs="Arial"/>
                <w:color w:val="000000" w:themeColor="text1"/>
                <w:sz w:val="24"/>
                <w:highlight w:val="none"/>
                <w:lang w:val="en-US" w:eastAsia="zh-CN"/>
                <w14:textFill>
                  <w14:solidFill>
                    <w14:schemeClr w14:val="tx1"/>
                  </w14:solidFill>
                </w14:textFill>
              </w:rPr>
              <w:t>否则不得分</w:t>
            </w:r>
            <w:r>
              <w:rPr>
                <w:rFonts w:hint="eastAsia" w:ascii="仿宋" w:hAnsi="仿宋" w:eastAsia="仿宋" w:cs="Arial"/>
                <w:color w:val="000000" w:themeColor="text1"/>
                <w:sz w:val="24"/>
                <w:highlight w:val="none"/>
                <w14:textFill>
                  <w14:solidFill>
                    <w14:schemeClr w14:val="tx1"/>
                  </w14:solidFill>
                </w14:textFill>
              </w:rPr>
              <w:t>。</w:t>
            </w:r>
          </w:p>
        </w:tc>
        <w:tc>
          <w:tcPr>
            <w:tcW w:w="431" w:type="pct"/>
            <w:shd w:val="clear" w:color="auto" w:fill="auto"/>
            <w:vAlign w:val="center"/>
          </w:tcPr>
          <w:p w14:paraId="49FCECF1">
            <w:pPr>
              <w:snapToGrid w:val="0"/>
              <w:spacing w:line="360" w:lineRule="exact"/>
              <w:jc w:val="center"/>
              <w:rPr>
                <w:rFonts w:hint="eastAsia" w:ascii="仿宋" w:hAnsi="仿宋" w:eastAsia="仿宋" w:cs="仿宋_GB2312"/>
                <w:color w:val="000000" w:themeColor="text1"/>
                <w:sz w:val="24"/>
                <w:highlight w:val="none"/>
                <w:lang w:val="en-US" w:eastAsia="zh-CN"/>
                <w14:textFill>
                  <w14:solidFill>
                    <w14:schemeClr w14:val="tx1"/>
                  </w14:solidFill>
                </w14:textFill>
              </w:rPr>
            </w:pPr>
            <w:r>
              <w:rPr>
                <w:rFonts w:hint="eastAsia" w:ascii="仿宋" w:hAnsi="仿宋" w:eastAsia="仿宋" w:cs="仿宋_GB2312"/>
                <w:color w:val="000000" w:themeColor="text1"/>
                <w:sz w:val="24"/>
                <w:highlight w:val="none"/>
                <w:lang w:val="en-US" w:eastAsia="zh-CN"/>
                <w14:textFill>
                  <w14:solidFill>
                    <w14:schemeClr w14:val="tx1"/>
                  </w14:solidFill>
                </w14:textFill>
              </w:rPr>
              <w:t>1</w:t>
            </w:r>
          </w:p>
        </w:tc>
      </w:tr>
    </w:tbl>
    <w:p w14:paraId="7557174E">
      <w:pPr>
        <w:widowControl/>
        <w:jc w:val="left"/>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p>
    <w:p w14:paraId="24F8E3BB">
      <w:pPr>
        <w:widowControl/>
        <w:jc w:val="left"/>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注：</w:t>
      </w:r>
    </w:p>
    <w:p w14:paraId="7B453DAB">
      <w:pPr>
        <w:spacing w:line="280" w:lineRule="exact"/>
        <w:ind w:firstLine="422" w:firstLineChars="200"/>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1.计算得分应四舍五入，精确到小数点后两位。</w:t>
      </w:r>
    </w:p>
    <w:p w14:paraId="2A5BC6ED">
      <w:pPr>
        <w:spacing w:line="280" w:lineRule="exact"/>
        <w:ind w:firstLine="422" w:firstLineChars="200"/>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2.评标委员会对各投标人的投标总价进行评标，评标委员会认为投标人的投标总价有可能影响采购事项的质量或者不能诚信履约的，应当要求其在评标现场合理的时间内提供书面说明，并提交相关证明材料。投标人拒绝或者变相拒绝提供有效书面说明或者书面说明不能证明其报价合理性的或未在规定时间内递交有效书面说明书的，评标委员会应当将其投标文件作为无效投标处理。</w:t>
      </w:r>
    </w:p>
    <w:p w14:paraId="40F5D008">
      <w:pPr>
        <w:spacing w:line="280" w:lineRule="exact"/>
        <w:ind w:firstLine="422" w:firstLineChars="200"/>
        <w:rPr>
          <w:rFonts w:hint="default" w:ascii="Times New Roman Regular" w:hAnsi="Times New Roman Regular" w:eastAsia="宋体" w:cs="Times New Roman Regular"/>
          <w:b/>
          <w:color w:val="000000" w:themeColor="text1"/>
          <w:sz w:val="30"/>
          <w:szCs w:val="30"/>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3.投标人须对本章中的评分要求逐项说明在投标文件中的装订页码，并将该页装订在投标文件的首页。</w:t>
      </w:r>
    </w:p>
    <w:p w14:paraId="66AA8969">
      <w:pPr>
        <w:pStyle w:val="3"/>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br w:type="page"/>
      </w:r>
      <w:bookmarkStart w:id="63" w:name="_Toc411025857"/>
      <w:r>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t>第四章 合同主要条款及格式</w:t>
      </w:r>
      <w:bookmarkEnd w:id="63"/>
    </w:p>
    <w:p w14:paraId="61E4D627">
      <w:pPr>
        <w:spacing w:line="800" w:lineRule="exact"/>
        <w:rPr>
          <w:rFonts w:ascii="仿宋_GB2312" w:hAnsi="Calibri" w:eastAsia="仿宋_GB2312" w:cs="Times New Roman"/>
          <w:color w:val="auto"/>
          <w:szCs w:val="24"/>
          <w:highlight w:val="none"/>
        </w:rPr>
      </w:pPr>
      <w:r>
        <w:rPr>
          <w:rFonts w:hint="eastAsia" w:ascii="仿宋_GB2312" w:hAnsi="Calibri" w:eastAsia="仿宋_GB2312" w:cs="Times New Roman"/>
          <w:color w:val="auto"/>
          <w:szCs w:val="24"/>
          <w:highlight w:val="none"/>
        </w:rPr>
        <w:drawing>
          <wp:anchor distT="0" distB="0" distL="114300" distR="114300" simplePos="0" relativeHeight="251659264" behindDoc="0" locked="0" layoutInCell="1" allowOverlap="1">
            <wp:simplePos x="0" y="0"/>
            <wp:positionH relativeFrom="column">
              <wp:posOffset>2849880</wp:posOffset>
            </wp:positionH>
            <wp:positionV relativeFrom="paragraph">
              <wp:posOffset>0</wp:posOffset>
            </wp:positionV>
            <wp:extent cx="2383155" cy="494665"/>
            <wp:effectExtent l="0" t="0" r="4445" b="635"/>
            <wp:wrapSquare wrapText="bothSides"/>
            <wp:docPr id="133064375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643758" name="图片 2"/>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2383155" cy="494665"/>
                    </a:xfrm>
                    <a:prstGeom prst="rect">
                      <a:avLst/>
                    </a:prstGeom>
                  </pic:spPr>
                </pic:pic>
              </a:graphicData>
            </a:graphic>
          </wp:anchor>
        </w:drawing>
      </w:r>
    </w:p>
    <w:p w14:paraId="23D83188">
      <w:pPr>
        <w:spacing w:line="800" w:lineRule="exact"/>
        <w:rPr>
          <w:rFonts w:ascii="仿宋_GB2312" w:hAnsi="Calibri" w:eastAsia="仿宋_GB2312" w:cs="Times New Roman"/>
          <w:color w:val="auto"/>
          <w:szCs w:val="24"/>
          <w:highlight w:val="none"/>
        </w:rPr>
      </w:pPr>
      <w:bookmarkStart w:id="64" w:name="_Hlk133080370"/>
      <w:bookmarkEnd w:id="64"/>
    </w:p>
    <w:p w14:paraId="5D5A62C1">
      <w:pPr>
        <w:spacing w:line="800" w:lineRule="exact"/>
        <w:rPr>
          <w:rFonts w:ascii="仿宋_GB2312" w:hAnsi="Calibri" w:eastAsia="仿宋_GB2312" w:cs="Times New Roman"/>
          <w:color w:val="auto"/>
          <w:szCs w:val="24"/>
          <w:highlight w:val="none"/>
        </w:rPr>
      </w:pPr>
    </w:p>
    <w:p w14:paraId="00C4027B">
      <w:pPr>
        <w:autoSpaceDE w:val="0"/>
        <w:autoSpaceDN w:val="0"/>
        <w:adjustRightInd w:val="0"/>
        <w:spacing w:line="800" w:lineRule="exact"/>
        <w:jc w:val="center"/>
        <w:outlineLvl w:val="0"/>
        <w:rPr>
          <w:rFonts w:ascii="楷体" w:hAnsi="楷体" w:eastAsia="楷体" w:cs="楷体"/>
          <w:b/>
          <w:bCs/>
          <w:color w:val="auto"/>
          <w:sz w:val="52"/>
          <w:szCs w:val="52"/>
          <w:highlight w:val="none"/>
        </w:rPr>
      </w:pPr>
      <w:r>
        <w:rPr>
          <w:rFonts w:hint="eastAsia" w:ascii="Calibri" w:hAnsi="Calibri" w:eastAsia="楷体" w:cs="Times New Roman"/>
          <w:b/>
          <w:bCs/>
          <w:color w:val="auto"/>
          <w:sz w:val="52"/>
          <w:szCs w:val="52"/>
          <w:highlight w:val="none"/>
          <w:lang w:eastAsia="zh-Hans"/>
        </w:rPr>
        <w:t>成方</w:t>
      </w:r>
      <w:r>
        <w:rPr>
          <w:rFonts w:hint="eastAsia" w:ascii="Calibri" w:hAnsi="Calibri" w:eastAsia="楷体" w:cs="Times New Roman"/>
          <w:b/>
          <w:bCs/>
          <w:color w:val="auto"/>
          <w:sz w:val="52"/>
          <w:szCs w:val="52"/>
          <w:highlight w:val="none"/>
        </w:rPr>
        <w:t>金融科技有限公司</w:t>
      </w:r>
      <w:r>
        <w:rPr>
          <w:rFonts w:hint="eastAsia" w:ascii="Calibri" w:hAnsi="Calibri" w:eastAsia="楷体" w:cs="Times New Roman"/>
          <w:b/>
          <w:bCs/>
          <w:color w:val="auto"/>
          <w:sz w:val="52"/>
          <w:szCs w:val="52"/>
          <w:highlight w:val="none"/>
          <w:lang w:val="en-US" w:eastAsia="zh-CN"/>
        </w:rPr>
        <w:t>上海分公司</w:t>
      </w:r>
      <w:r>
        <w:rPr>
          <w:rFonts w:ascii="Calibri" w:hAnsi="Calibri" w:eastAsia="楷体" w:cs="Times New Roman"/>
          <w:b/>
          <w:bCs/>
          <w:color w:val="auto"/>
          <w:sz w:val="52"/>
          <w:szCs w:val="52"/>
          <w:highlight w:val="none"/>
        </w:rPr>
        <w:br w:type="textWrapping"/>
      </w:r>
      <w:r>
        <w:rPr>
          <w:rFonts w:hint="eastAsia" w:ascii="楷体" w:hAnsi="楷体" w:eastAsia="楷体" w:cs="楷体"/>
          <w:b/>
          <w:bCs/>
          <w:color w:val="auto"/>
          <w:sz w:val="52"/>
          <w:szCs w:val="52"/>
          <w:highlight w:val="none"/>
        </w:rPr>
        <w:t>数据平台系统实时监测技术服务</w:t>
      </w:r>
      <w:r>
        <w:rPr>
          <w:rFonts w:ascii="楷体" w:hAnsi="楷体" w:eastAsia="楷体" w:cs="楷体"/>
          <w:b/>
          <w:bCs/>
          <w:color w:val="auto"/>
          <w:sz w:val="52"/>
          <w:szCs w:val="52"/>
          <w:highlight w:val="none"/>
          <w:lang w:val="zh-TW"/>
        </w:rPr>
        <w:br w:type="textWrapping"/>
      </w:r>
      <w:r>
        <w:rPr>
          <w:rFonts w:hint="eastAsia" w:ascii="楷体" w:hAnsi="楷体" w:eastAsia="楷体" w:cs="楷体"/>
          <w:b/>
          <w:bCs/>
          <w:color w:val="auto"/>
          <w:sz w:val="52"/>
          <w:szCs w:val="52"/>
          <w:highlight w:val="none"/>
        </w:rPr>
        <w:t>采购合同</w:t>
      </w:r>
    </w:p>
    <w:p w14:paraId="5A7EE559">
      <w:pPr>
        <w:spacing w:line="800" w:lineRule="exact"/>
        <w:jc w:val="center"/>
        <w:rPr>
          <w:rFonts w:ascii="Calibri" w:hAnsi="Calibri" w:eastAsia="宋体" w:cs="Times New Roman"/>
          <w:color w:val="auto"/>
          <w:szCs w:val="24"/>
          <w:highlight w:val="none"/>
        </w:rPr>
      </w:pPr>
    </w:p>
    <w:p w14:paraId="2400CA31">
      <w:pPr>
        <w:spacing w:line="800" w:lineRule="exact"/>
        <w:jc w:val="center"/>
        <w:rPr>
          <w:rFonts w:hint="eastAsia" w:ascii="仿宋" w:hAnsi="仿宋" w:eastAsia="仿宋" w:cs="Times New Roman"/>
          <w:color w:val="auto"/>
          <w:szCs w:val="24"/>
          <w:highlight w:val="none"/>
          <w:lang w:eastAsia="zh-CN"/>
        </w:rPr>
      </w:pPr>
      <w:r>
        <w:rPr>
          <w:rFonts w:hint="eastAsia" w:ascii="仿宋" w:hAnsi="仿宋" w:eastAsia="仿宋" w:cs="Times New Roman"/>
          <w:color w:val="auto"/>
          <w:sz w:val="32"/>
          <w:szCs w:val="32"/>
          <w:highlight w:val="none"/>
        </w:rPr>
        <w:t>合同编号：</w:t>
      </w:r>
      <w:r>
        <w:rPr>
          <w:rFonts w:hint="eastAsia" w:ascii="仿宋" w:hAnsi="仿宋" w:eastAsia="仿宋" w:cs="Times New Roman"/>
          <w:color w:val="auto"/>
          <w:sz w:val="32"/>
          <w:szCs w:val="32"/>
          <w:highlight w:val="none"/>
          <w:lang w:val="en-US" w:eastAsia="zh-CN"/>
        </w:rPr>
        <w:t>XXX</w:t>
      </w:r>
      <w:r>
        <w:rPr>
          <w:rFonts w:hint="eastAsia" w:ascii="仿宋" w:hAnsi="仿宋" w:eastAsia="仿宋" w:cs="Times New Roman"/>
          <w:color w:val="auto"/>
          <w:sz w:val="32"/>
          <w:szCs w:val="32"/>
          <w:highlight w:val="none"/>
          <w:u w:val="dotted"/>
          <w:lang w:val="en-US" w:eastAsia="zh-CN"/>
        </w:rPr>
        <w:t>XXX</w:t>
      </w:r>
      <w:r>
        <w:rPr>
          <w:rFonts w:hint="eastAsia" w:ascii="仿宋" w:hAnsi="仿宋" w:eastAsia="仿宋" w:cs="Times New Roman"/>
          <w:color w:val="auto"/>
          <w:sz w:val="32"/>
          <w:szCs w:val="32"/>
          <w:highlight w:val="none"/>
          <w:lang w:val="en-US" w:eastAsia="zh-CN"/>
        </w:rPr>
        <w:t>XX</w:t>
      </w:r>
    </w:p>
    <w:p w14:paraId="1EAE293C">
      <w:pPr>
        <w:spacing w:line="800" w:lineRule="exact"/>
        <w:jc w:val="center"/>
        <w:rPr>
          <w:rFonts w:ascii="仿宋_GB2312" w:hAnsi="黑体" w:eastAsia="仿宋_GB2312" w:cs="Times New Roman"/>
          <w:b/>
          <w:color w:val="auto"/>
          <w:sz w:val="30"/>
          <w:szCs w:val="30"/>
          <w:highlight w:val="none"/>
        </w:rPr>
      </w:pPr>
    </w:p>
    <w:p w14:paraId="5CBFC722">
      <w:pPr>
        <w:spacing w:line="800" w:lineRule="exact"/>
        <w:jc w:val="center"/>
        <w:rPr>
          <w:rFonts w:ascii="仿宋_GB2312" w:hAnsi="黑体" w:eastAsia="仿宋_GB2312" w:cs="Times New Roman"/>
          <w:b/>
          <w:color w:val="auto"/>
          <w:sz w:val="30"/>
          <w:szCs w:val="30"/>
          <w:highlight w:val="none"/>
        </w:rPr>
      </w:pPr>
    </w:p>
    <w:p w14:paraId="7351C629">
      <w:pPr>
        <w:spacing w:line="800" w:lineRule="exact"/>
        <w:jc w:val="center"/>
        <w:rPr>
          <w:rFonts w:ascii="仿宋_GB2312" w:hAnsi="黑体" w:eastAsia="仿宋_GB2312" w:cs="Times New Roman"/>
          <w:b/>
          <w:color w:val="auto"/>
          <w:sz w:val="30"/>
          <w:szCs w:val="30"/>
          <w:highlight w:val="none"/>
        </w:rPr>
      </w:pPr>
    </w:p>
    <w:p w14:paraId="2F4D0D21">
      <w:pPr>
        <w:spacing w:line="800" w:lineRule="exact"/>
        <w:jc w:val="center"/>
        <w:rPr>
          <w:rFonts w:ascii="仿宋_GB2312" w:hAnsi="黑体" w:eastAsia="仿宋_GB2312" w:cs="Times New Roman"/>
          <w:b/>
          <w:color w:val="auto"/>
          <w:sz w:val="30"/>
          <w:szCs w:val="30"/>
          <w:highlight w:val="none"/>
        </w:rPr>
      </w:pPr>
    </w:p>
    <w:p w14:paraId="3B46E1F2">
      <w:pPr>
        <w:spacing w:line="800" w:lineRule="exact"/>
        <w:jc w:val="center"/>
        <w:rPr>
          <w:rFonts w:ascii="仿宋_GB2312" w:hAnsi="黑体" w:eastAsia="仿宋_GB2312" w:cs="Times New Roman"/>
          <w:b/>
          <w:color w:val="auto"/>
          <w:sz w:val="30"/>
          <w:szCs w:val="30"/>
          <w:highlight w:val="none"/>
        </w:rPr>
      </w:pPr>
    </w:p>
    <w:p w14:paraId="1577C20B">
      <w:pPr>
        <w:spacing w:line="800" w:lineRule="exact"/>
        <w:jc w:val="center"/>
        <w:rPr>
          <w:rFonts w:hint="default" w:ascii="仿宋" w:hAnsi="仿宋" w:eastAsia="仿宋" w:cs="Times New Roman"/>
          <w:b/>
          <w:color w:val="auto"/>
          <w:sz w:val="30"/>
          <w:szCs w:val="30"/>
          <w:highlight w:val="none"/>
          <w:lang w:val="en-US" w:eastAsia="zh-CN"/>
        </w:rPr>
      </w:pPr>
      <w:r>
        <w:rPr>
          <w:rFonts w:hint="eastAsia" w:ascii="仿宋" w:hAnsi="仿宋" w:eastAsia="仿宋" w:cs="Times New Roman"/>
          <w:b/>
          <w:color w:val="auto"/>
          <w:sz w:val="30"/>
          <w:szCs w:val="30"/>
          <w:highlight w:val="none"/>
        </w:rPr>
        <w:t>甲方：成方金融科技有限公司</w:t>
      </w:r>
      <w:r>
        <w:rPr>
          <w:rFonts w:hint="eastAsia" w:ascii="仿宋" w:hAnsi="仿宋" w:eastAsia="仿宋" w:cs="Times New Roman"/>
          <w:b/>
          <w:color w:val="auto"/>
          <w:sz w:val="30"/>
          <w:szCs w:val="30"/>
          <w:highlight w:val="none"/>
          <w:lang w:val="en-US" w:eastAsia="zh-CN"/>
        </w:rPr>
        <w:t>上海分公司</w:t>
      </w:r>
    </w:p>
    <w:p w14:paraId="0432BBFE">
      <w:pPr>
        <w:spacing w:line="800" w:lineRule="exact"/>
        <w:jc w:val="center"/>
        <w:rPr>
          <w:rFonts w:ascii="仿宋" w:hAnsi="仿宋" w:eastAsia="仿宋" w:cs="Times New Roman"/>
          <w:b/>
          <w:color w:val="auto"/>
          <w:sz w:val="30"/>
          <w:szCs w:val="30"/>
          <w:highlight w:val="none"/>
        </w:rPr>
      </w:pPr>
      <w:r>
        <w:rPr>
          <w:rFonts w:hint="eastAsia" w:ascii="仿宋" w:hAnsi="仿宋" w:eastAsia="仿宋" w:cs="Times New Roman"/>
          <w:b/>
          <w:color w:val="auto"/>
          <w:sz w:val="30"/>
          <w:szCs w:val="30"/>
          <w:highlight w:val="none"/>
        </w:rPr>
        <w:t>乙方：</w:t>
      </w:r>
    </w:p>
    <w:p w14:paraId="75FD3E94">
      <w:pPr>
        <w:spacing w:line="440" w:lineRule="exact"/>
        <w:rPr>
          <w:rFonts w:ascii="仿宋_GB2312" w:hAnsi="宋体" w:eastAsia="仿宋_GB2312" w:cs="Times New Roman"/>
          <w:b/>
          <w:color w:val="auto"/>
          <w:szCs w:val="24"/>
          <w:highlight w:val="none"/>
        </w:rPr>
        <w:sectPr>
          <w:pgSz w:w="11906" w:h="16838"/>
          <w:pgMar w:top="1440" w:right="1800" w:bottom="1440" w:left="1800" w:header="851" w:footer="992" w:gutter="0"/>
          <w:cols w:space="425" w:num="1"/>
          <w:docGrid w:type="lines" w:linePitch="312" w:charSpace="0"/>
        </w:sectPr>
      </w:pPr>
      <w:bookmarkStart w:id="65" w:name="_Toc18297"/>
    </w:p>
    <w:bookmarkEnd w:id="65"/>
    <w:p w14:paraId="3D8E9078">
      <w:pPr>
        <w:spacing w:line="600" w:lineRule="exact"/>
        <w:outlineLvl w:val="0"/>
        <w:rPr>
          <w:rFonts w:ascii="仿宋" w:hAnsi="仿宋" w:eastAsia="仿宋" w:cs="Times New Roman"/>
          <w:b/>
          <w:color w:val="auto"/>
          <w:sz w:val="24"/>
          <w:szCs w:val="24"/>
          <w:highlight w:val="none"/>
        </w:rPr>
      </w:pPr>
      <w:bookmarkStart w:id="66" w:name="_Hlk62807809"/>
      <w:r>
        <w:rPr>
          <w:rFonts w:hint="eastAsia" w:ascii="仿宋" w:hAnsi="仿宋" w:eastAsia="仿宋" w:cs="Times New Roman"/>
          <w:b/>
          <w:color w:val="auto"/>
          <w:sz w:val="24"/>
          <w:szCs w:val="24"/>
          <w:highlight w:val="none"/>
        </w:rPr>
        <w:t>【信息页】</w:t>
      </w:r>
    </w:p>
    <w:p w14:paraId="74762D8F">
      <w:pPr>
        <w:spacing w:line="600" w:lineRule="exact"/>
        <w:rPr>
          <w:rFonts w:ascii="仿宋" w:hAnsi="仿宋" w:eastAsia="仿宋" w:cs="Times New Roman"/>
          <w:color w:val="auto"/>
          <w:szCs w:val="24"/>
          <w:highlight w:val="none"/>
        </w:rPr>
      </w:pPr>
    </w:p>
    <w:p w14:paraId="48163CDD">
      <w:pPr>
        <w:tabs>
          <w:tab w:val="left" w:pos="6540"/>
        </w:tabs>
        <w:spacing w:line="600" w:lineRule="exact"/>
        <w:rPr>
          <w:rFonts w:ascii="仿宋" w:hAnsi="仿宋" w:eastAsia="仿宋" w:cs="Times New Roman"/>
          <w:bCs/>
          <w:color w:val="auto"/>
          <w:sz w:val="24"/>
          <w:szCs w:val="24"/>
          <w:highlight w:val="none"/>
        </w:rPr>
      </w:pPr>
      <w:r>
        <w:rPr>
          <w:rFonts w:hint="eastAsia" w:ascii="仿宋" w:hAnsi="仿宋" w:eastAsia="仿宋" w:cs="Times New Roman"/>
          <w:bCs/>
          <w:color w:val="auto"/>
          <w:sz w:val="24"/>
          <w:szCs w:val="24"/>
          <w:highlight w:val="none"/>
        </w:rPr>
        <w:t>甲方：成方金融科技有限公司上海分公司</w:t>
      </w:r>
    </w:p>
    <w:p w14:paraId="64E002D1">
      <w:pPr>
        <w:tabs>
          <w:tab w:val="left" w:pos="6540"/>
        </w:tabs>
        <w:spacing w:line="600" w:lineRule="exact"/>
        <w:rPr>
          <w:rFonts w:ascii="仿宋" w:hAnsi="仿宋" w:eastAsia="仿宋" w:cs="Times New Roman"/>
          <w:bCs/>
          <w:color w:val="auto"/>
          <w:sz w:val="24"/>
          <w:szCs w:val="24"/>
          <w:highlight w:val="none"/>
        </w:rPr>
      </w:pPr>
      <w:r>
        <w:rPr>
          <w:rFonts w:hint="eastAsia" w:ascii="仿宋" w:hAnsi="仿宋" w:eastAsia="仿宋" w:cs="Times New Roman"/>
          <w:bCs/>
          <w:color w:val="auto"/>
          <w:sz w:val="24"/>
          <w:szCs w:val="24"/>
          <w:highlight w:val="none"/>
        </w:rPr>
        <w:t>法定代表人：姜才康</w:t>
      </w:r>
    </w:p>
    <w:p w14:paraId="6AA6476A">
      <w:pPr>
        <w:tabs>
          <w:tab w:val="left" w:pos="6540"/>
        </w:tabs>
        <w:spacing w:line="600" w:lineRule="exact"/>
        <w:rPr>
          <w:rFonts w:ascii="仿宋" w:hAnsi="仿宋" w:eastAsia="仿宋" w:cs="Times New Roman"/>
          <w:bCs/>
          <w:color w:val="auto"/>
          <w:sz w:val="24"/>
          <w:szCs w:val="24"/>
          <w:highlight w:val="none"/>
        </w:rPr>
      </w:pPr>
      <w:r>
        <w:rPr>
          <w:rFonts w:hint="eastAsia" w:ascii="仿宋" w:hAnsi="仿宋" w:eastAsia="仿宋" w:cs="Times New Roman"/>
          <w:bCs/>
          <w:color w:val="auto"/>
          <w:sz w:val="24"/>
          <w:szCs w:val="24"/>
          <w:highlight w:val="none"/>
        </w:rPr>
        <w:t>纳税人识别号：9131 0115 MA7D CHU7 14</w:t>
      </w:r>
    </w:p>
    <w:p w14:paraId="4FAC0897">
      <w:pPr>
        <w:tabs>
          <w:tab w:val="left" w:pos="6540"/>
        </w:tabs>
        <w:spacing w:line="600" w:lineRule="exact"/>
        <w:rPr>
          <w:rFonts w:ascii="仿宋" w:hAnsi="仿宋" w:eastAsia="仿宋" w:cs="Times New Roman"/>
          <w:bCs/>
          <w:color w:val="auto"/>
          <w:sz w:val="24"/>
          <w:szCs w:val="24"/>
          <w:highlight w:val="none"/>
        </w:rPr>
      </w:pPr>
      <w:r>
        <w:rPr>
          <w:rFonts w:hint="eastAsia" w:ascii="仿宋" w:hAnsi="仿宋" w:eastAsia="仿宋" w:cs="Times New Roman"/>
          <w:bCs/>
          <w:color w:val="auto"/>
          <w:sz w:val="24"/>
          <w:szCs w:val="24"/>
          <w:highlight w:val="none"/>
        </w:rPr>
        <w:t>注册地址：上海市浦东新区卡园二路108号8幢202C室</w:t>
      </w:r>
    </w:p>
    <w:p w14:paraId="07EAC81F">
      <w:pPr>
        <w:tabs>
          <w:tab w:val="left" w:pos="6540"/>
        </w:tabs>
        <w:spacing w:line="600" w:lineRule="exact"/>
        <w:rPr>
          <w:rFonts w:ascii="仿宋" w:hAnsi="仿宋" w:eastAsia="仿宋" w:cs="Times New Roman"/>
          <w:bCs/>
          <w:color w:val="auto"/>
          <w:sz w:val="24"/>
          <w:szCs w:val="24"/>
          <w:highlight w:val="none"/>
        </w:rPr>
      </w:pPr>
      <w:r>
        <w:rPr>
          <w:rFonts w:hint="eastAsia" w:ascii="仿宋" w:hAnsi="仿宋" w:eastAsia="仿宋" w:cs="Times New Roman"/>
          <w:bCs/>
          <w:color w:val="auto"/>
          <w:sz w:val="24"/>
          <w:szCs w:val="24"/>
          <w:highlight w:val="none"/>
        </w:rPr>
        <w:t>联系电话：021-20389388</w:t>
      </w:r>
    </w:p>
    <w:p w14:paraId="242EDBD9">
      <w:pPr>
        <w:tabs>
          <w:tab w:val="left" w:pos="6540"/>
        </w:tabs>
        <w:spacing w:line="600" w:lineRule="exact"/>
        <w:rPr>
          <w:rFonts w:ascii="仿宋" w:hAnsi="仿宋" w:eastAsia="仿宋" w:cs="Times New Roman"/>
          <w:bCs/>
          <w:color w:val="auto"/>
          <w:sz w:val="24"/>
          <w:szCs w:val="24"/>
          <w:highlight w:val="none"/>
        </w:rPr>
      </w:pPr>
      <w:r>
        <w:rPr>
          <w:rFonts w:hint="eastAsia" w:ascii="仿宋" w:hAnsi="仿宋" w:eastAsia="仿宋" w:cs="Times New Roman"/>
          <w:bCs/>
          <w:color w:val="auto"/>
          <w:sz w:val="24"/>
          <w:szCs w:val="24"/>
          <w:highlight w:val="none"/>
        </w:rPr>
        <w:t>开户银行：招商银行上海分行营业部</w:t>
      </w:r>
    </w:p>
    <w:p w14:paraId="5E32B97B">
      <w:pPr>
        <w:tabs>
          <w:tab w:val="left" w:pos="6540"/>
        </w:tabs>
        <w:spacing w:line="600" w:lineRule="exact"/>
        <w:rPr>
          <w:rFonts w:ascii="仿宋" w:hAnsi="仿宋" w:eastAsia="仿宋" w:cs="Times New Roman"/>
          <w:bCs/>
          <w:color w:val="auto"/>
          <w:sz w:val="24"/>
          <w:szCs w:val="24"/>
          <w:highlight w:val="none"/>
        </w:rPr>
      </w:pPr>
      <w:r>
        <w:rPr>
          <w:rFonts w:hint="eastAsia" w:ascii="仿宋" w:hAnsi="仿宋" w:eastAsia="仿宋" w:cs="Times New Roman"/>
          <w:bCs/>
          <w:color w:val="auto"/>
          <w:sz w:val="24"/>
          <w:szCs w:val="24"/>
          <w:highlight w:val="none"/>
        </w:rPr>
        <w:t>银行账号：1219 4518 0710 666</w:t>
      </w:r>
    </w:p>
    <w:p w14:paraId="4963C014">
      <w:pPr>
        <w:tabs>
          <w:tab w:val="left" w:pos="6540"/>
        </w:tabs>
        <w:spacing w:line="600" w:lineRule="exact"/>
        <w:rPr>
          <w:rFonts w:hint="eastAsia" w:ascii="仿宋" w:hAnsi="仿宋" w:eastAsia="仿宋" w:cs="Times New Roman"/>
          <w:bCs/>
          <w:color w:val="auto"/>
          <w:sz w:val="24"/>
          <w:szCs w:val="24"/>
          <w:highlight w:val="none"/>
          <w:lang w:val="en-US" w:eastAsia="zh-CN"/>
        </w:rPr>
      </w:pPr>
      <w:r>
        <w:rPr>
          <w:rFonts w:hint="eastAsia" w:ascii="仿宋" w:hAnsi="仿宋" w:eastAsia="仿宋" w:cs="Times New Roman"/>
          <w:bCs/>
          <w:color w:val="auto"/>
          <w:sz w:val="24"/>
          <w:szCs w:val="24"/>
          <w:highlight w:val="none"/>
        </w:rPr>
        <w:t>联 系 人：</w:t>
      </w:r>
    </w:p>
    <w:p w14:paraId="4ED67C6F">
      <w:pPr>
        <w:spacing w:line="600" w:lineRule="exact"/>
        <w:rPr>
          <w:rFonts w:hint="default" w:ascii="仿宋" w:hAnsi="仿宋" w:eastAsia="仿宋" w:cs="Times New Roman"/>
          <w:bCs/>
          <w:color w:val="auto"/>
          <w:sz w:val="24"/>
          <w:szCs w:val="24"/>
          <w:highlight w:val="none"/>
          <w:lang w:val="en-US" w:eastAsia="zh-CN"/>
        </w:rPr>
      </w:pPr>
      <w:r>
        <w:rPr>
          <w:rFonts w:hint="eastAsia" w:ascii="仿宋" w:hAnsi="仿宋" w:eastAsia="仿宋" w:cs="Times New Roman"/>
          <w:bCs/>
          <w:color w:val="auto"/>
          <w:sz w:val="24"/>
          <w:szCs w:val="24"/>
          <w:highlight w:val="none"/>
        </w:rPr>
        <w:t>联系电话：</w:t>
      </w:r>
    </w:p>
    <w:p w14:paraId="107479BB">
      <w:pPr>
        <w:spacing w:line="600" w:lineRule="exact"/>
        <w:rPr>
          <w:rFonts w:ascii="仿宋" w:hAnsi="仿宋" w:eastAsia="仿宋" w:cs="Times New Roman"/>
          <w:color w:val="auto"/>
          <w:sz w:val="24"/>
          <w:szCs w:val="24"/>
          <w:highlight w:val="none"/>
        </w:rPr>
      </w:pPr>
    </w:p>
    <w:p w14:paraId="1DB3B4DF">
      <w:pPr>
        <w:spacing w:line="600" w:lineRule="exact"/>
        <w:rPr>
          <w:rFonts w:ascii="仿宋" w:hAnsi="仿宋" w:eastAsia="仿宋" w:cs="Times New Roman"/>
          <w:color w:val="auto"/>
          <w:sz w:val="24"/>
          <w:szCs w:val="24"/>
          <w:highlight w:val="none"/>
        </w:rPr>
      </w:pPr>
    </w:p>
    <w:p w14:paraId="0A2170C3">
      <w:pPr>
        <w:tabs>
          <w:tab w:val="left" w:pos="6540"/>
        </w:tabs>
        <w:spacing w:line="600" w:lineRule="exact"/>
        <w:rPr>
          <w:rFonts w:ascii="仿宋" w:hAnsi="仿宋" w:eastAsia="仿宋" w:cs="Times New Roman"/>
          <w:bCs/>
          <w:color w:val="auto"/>
          <w:sz w:val="24"/>
          <w:szCs w:val="24"/>
          <w:highlight w:val="none"/>
        </w:rPr>
      </w:pPr>
      <w:bookmarkStart w:id="67" w:name="OLE_LINK1"/>
      <w:r>
        <w:rPr>
          <w:rFonts w:hint="eastAsia" w:ascii="仿宋" w:hAnsi="仿宋" w:eastAsia="仿宋" w:cs="Times New Roman"/>
          <w:bCs/>
          <w:color w:val="auto"/>
          <w:sz w:val="24"/>
          <w:szCs w:val="24"/>
          <w:highlight w:val="none"/>
        </w:rPr>
        <w:t>乙方：</w:t>
      </w:r>
    </w:p>
    <w:p w14:paraId="1AF7EAD8">
      <w:pPr>
        <w:tabs>
          <w:tab w:val="left" w:pos="6540"/>
        </w:tabs>
        <w:spacing w:line="600" w:lineRule="exact"/>
        <w:rPr>
          <w:rFonts w:ascii="仿宋" w:hAnsi="仿宋" w:eastAsia="仿宋" w:cs="Times New Roman"/>
          <w:bCs/>
          <w:color w:val="auto"/>
          <w:sz w:val="24"/>
          <w:szCs w:val="24"/>
          <w:highlight w:val="none"/>
        </w:rPr>
      </w:pPr>
      <w:r>
        <w:rPr>
          <w:rFonts w:hint="eastAsia" w:ascii="仿宋" w:hAnsi="仿宋" w:eastAsia="仿宋" w:cs="Times New Roman"/>
          <w:bCs/>
          <w:color w:val="auto"/>
          <w:sz w:val="24"/>
          <w:szCs w:val="24"/>
          <w:highlight w:val="none"/>
        </w:rPr>
        <w:t>法定代表人：</w:t>
      </w:r>
    </w:p>
    <w:p w14:paraId="3D2BCEE0">
      <w:pPr>
        <w:tabs>
          <w:tab w:val="left" w:pos="6540"/>
        </w:tabs>
        <w:spacing w:line="600" w:lineRule="exact"/>
        <w:rPr>
          <w:rFonts w:ascii="仿宋" w:hAnsi="仿宋" w:eastAsia="仿宋" w:cs="Times New Roman"/>
          <w:bCs/>
          <w:color w:val="auto"/>
          <w:sz w:val="24"/>
          <w:szCs w:val="24"/>
          <w:highlight w:val="none"/>
        </w:rPr>
      </w:pPr>
      <w:r>
        <w:rPr>
          <w:rFonts w:hint="eastAsia" w:ascii="仿宋" w:hAnsi="仿宋" w:eastAsia="仿宋" w:cs="Times New Roman"/>
          <w:bCs/>
          <w:color w:val="auto"/>
          <w:sz w:val="24"/>
          <w:szCs w:val="24"/>
          <w:highlight w:val="none"/>
        </w:rPr>
        <w:t>账户名称：</w:t>
      </w:r>
    </w:p>
    <w:p w14:paraId="4580E6BE">
      <w:pPr>
        <w:tabs>
          <w:tab w:val="left" w:pos="6540"/>
        </w:tabs>
        <w:spacing w:line="600" w:lineRule="exact"/>
        <w:rPr>
          <w:rFonts w:ascii="仿宋" w:hAnsi="仿宋" w:eastAsia="仿宋" w:cs="Times New Roman"/>
          <w:bCs/>
          <w:color w:val="auto"/>
          <w:sz w:val="24"/>
          <w:szCs w:val="24"/>
          <w:highlight w:val="none"/>
        </w:rPr>
      </w:pPr>
      <w:r>
        <w:rPr>
          <w:rFonts w:hint="eastAsia" w:ascii="仿宋" w:hAnsi="仿宋" w:eastAsia="仿宋" w:cs="Times New Roman"/>
          <w:bCs/>
          <w:color w:val="auto"/>
          <w:sz w:val="24"/>
          <w:szCs w:val="24"/>
          <w:highlight w:val="none"/>
        </w:rPr>
        <w:t>开户银行：</w:t>
      </w:r>
    </w:p>
    <w:p w14:paraId="260A49E9">
      <w:pPr>
        <w:tabs>
          <w:tab w:val="left" w:pos="6540"/>
        </w:tabs>
        <w:spacing w:line="600" w:lineRule="exact"/>
        <w:rPr>
          <w:rFonts w:ascii="仿宋" w:hAnsi="仿宋" w:eastAsia="仿宋" w:cs="Times New Roman"/>
          <w:bCs/>
          <w:color w:val="auto"/>
          <w:sz w:val="24"/>
          <w:szCs w:val="24"/>
          <w:highlight w:val="none"/>
        </w:rPr>
      </w:pPr>
      <w:r>
        <w:rPr>
          <w:rFonts w:hint="eastAsia" w:ascii="仿宋" w:hAnsi="仿宋" w:eastAsia="仿宋" w:cs="Times New Roman"/>
          <w:bCs/>
          <w:color w:val="auto"/>
          <w:sz w:val="24"/>
          <w:szCs w:val="24"/>
          <w:highlight w:val="none"/>
        </w:rPr>
        <w:t>银行账号：</w:t>
      </w:r>
    </w:p>
    <w:p w14:paraId="4C9AEE1E">
      <w:pPr>
        <w:tabs>
          <w:tab w:val="left" w:pos="6540"/>
        </w:tabs>
        <w:spacing w:line="600" w:lineRule="exact"/>
        <w:rPr>
          <w:rFonts w:ascii="仿宋" w:hAnsi="仿宋" w:eastAsia="仿宋" w:cs="Times New Roman"/>
          <w:bCs/>
          <w:color w:val="auto"/>
          <w:sz w:val="24"/>
          <w:szCs w:val="24"/>
          <w:highlight w:val="none"/>
        </w:rPr>
      </w:pPr>
      <w:r>
        <w:rPr>
          <w:rFonts w:hint="eastAsia" w:ascii="仿宋" w:hAnsi="仿宋" w:eastAsia="仿宋" w:cs="Times New Roman"/>
          <w:bCs/>
          <w:color w:val="auto"/>
          <w:sz w:val="24"/>
          <w:szCs w:val="24"/>
          <w:highlight w:val="none"/>
        </w:rPr>
        <w:t>联 系 人：</w:t>
      </w:r>
    </w:p>
    <w:p w14:paraId="11DDD025">
      <w:pPr>
        <w:tabs>
          <w:tab w:val="left" w:pos="6540"/>
        </w:tabs>
        <w:spacing w:line="600" w:lineRule="exact"/>
        <w:rPr>
          <w:rFonts w:ascii="仿宋" w:hAnsi="仿宋" w:eastAsia="仿宋" w:cs="Times New Roman"/>
          <w:bCs/>
          <w:color w:val="auto"/>
          <w:sz w:val="24"/>
          <w:szCs w:val="24"/>
          <w:highlight w:val="none"/>
        </w:rPr>
      </w:pPr>
      <w:r>
        <w:rPr>
          <w:rFonts w:hint="eastAsia" w:ascii="仿宋" w:hAnsi="仿宋" w:eastAsia="仿宋" w:cs="Times New Roman"/>
          <w:bCs/>
          <w:color w:val="auto"/>
          <w:sz w:val="24"/>
          <w:szCs w:val="24"/>
          <w:highlight w:val="none"/>
        </w:rPr>
        <w:t>联系电话：</w:t>
      </w:r>
    </w:p>
    <w:p w14:paraId="72962932">
      <w:pPr>
        <w:tabs>
          <w:tab w:val="left" w:pos="6540"/>
        </w:tabs>
        <w:spacing w:line="600" w:lineRule="exact"/>
        <w:rPr>
          <w:rFonts w:ascii="仿宋" w:hAnsi="仿宋" w:eastAsia="仿宋" w:cs="Times New Roman"/>
          <w:bCs/>
          <w:color w:val="auto"/>
          <w:sz w:val="24"/>
          <w:szCs w:val="24"/>
          <w:highlight w:val="none"/>
        </w:rPr>
      </w:pPr>
      <w:r>
        <w:rPr>
          <w:rFonts w:hint="eastAsia" w:ascii="仿宋" w:hAnsi="仿宋" w:eastAsia="仿宋" w:cs="Times New Roman"/>
          <w:bCs/>
          <w:color w:val="auto"/>
          <w:sz w:val="24"/>
          <w:szCs w:val="24"/>
          <w:highlight w:val="none"/>
        </w:rPr>
        <w:t>联系地址：</w:t>
      </w:r>
    </w:p>
    <w:bookmarkEnd w:id="67"/>
    <w:p w14:paraId="4626A842">
      <w:pPr>
        <w:tabs>
          <w:tab w:val="left" w:pos="567"/>
        </w:tabs>
        <w:spacing w:line="600" w:lineRule="exact"/>
        <w:rPr>
          <w:rFonts w:ascii="仿宋_GB2312" w:hAnsi="宋体" w:eastAsia="仿宋_GB2312" w:cs="Times New Roman"/>
          <w:color w:val="auto"/>
          <w:szCs w:val="24"/>
          <w:highlight w:val="none"/>
        </w:rPr>
        <w:sectPr>
          <w:footerReference r:id="rId5" w:type="default"/>
          <w:pgSz w:w="11906" w:h="16838"/>
          <w:pgMar w:top="1440" w:right="1800" w:bottom="1440" w:left="1800" w:header="851" w:footer="992" w:gutter="0"/>
          <w:pgNumType w:start="1"/>
          <w:cols w:space="425" w:num="1"/>
          <w:docGrid w:type="lines" w:linePitch="312" w:charSpace="0"/>
        </w:sectPr>
      </w:pPr>
      <w:bookmarkStart w:id="68" w:name="_DV_M0"/>
      <w:bookmarkEnd w:id="68"/>
    </w:p>
    <w:p w14:paraId="19FA19F3">
      <w:pPr>
        <w:tabs>
          <w:tab w:val="left" w:pos="567"/>
        </w:tabs>
        <w:spacing w:line="440" w:lineRule="exact"/>
        <w:rPr>
          <w:rFonts w:ascii="仿宋_GB2312" w:hAnsi="宋体" w:eastAsia="仿宋_GB2312" w:cs="Times New Roman"/>
          <w:color w:val="auto"/>
          <w:szCs w:val="24"/>
          <w:highlight w:val="none"/>
        </w:rPr>
        <w:sectPr>
          <w:type w:val="continuous"/>
          <w:pgSz w:w="11906" w:h="16838"/>
          <w:pgMar w:top="1440" w:right="1800" w:bottom="1440" w:left="1800" w:header="851" w:footer="992" w:gutter="0"/>
          <w:pgNumType w:start="1"/>
          <w:cols w:space="425" w:num="1"/>
          <w:docGrid w:type="lines" w:linePitch="312" w:charSpace="0"/>
        </w:sectPr>
      </w:pPr>
    </w:p>
    <w:p w14:paraId="4DF2EC72">
      <w:pPr>
        <w:tabs>
          <w:tab w:val="left" w:pos="567"/>
        </w:tabs>
        <w:spacing w:line="440" w:lineRule="exact"/>
        <w:rPr>
          <w:rFonts w:ascii="仿宋_GB2312" w:hAnsi="宋体" w:eastAsia="仿宋_GB2312" w:cs="Times New Roman"/>
          <w:color w:val="auto"/>
          <w:szCs w:val="24"/>
          <w:highlight w:val="none"/>
        </w:rPr>
        <w:sectPr>
          <w:type w:val="continuous"/>
          <w:pgSz w:w="11906" w:h="16838"/>
          <w:pgMar w:top="1440" w:right="1800" w:bottom="1440" w:left="1800" w:header="851" w:footer="992" w:gutter="0"/>
          <w:pgNumType w:start="1"/>
          <w:cols w:space="425" w:num="1"/>
          <w:docGrid w:type="lines" w:linePitch="312" w:charSpace="0"/>
        </w:sectPr>
      </w:pPr>
    </w:p>
    <w:p w14:paraId="71C41CC2">
      <w:pPr>
        <w:tabs>
          <w:tab w:val="left" w:pos="567"/>
        </w:tabs>
        <w:spacing w:line="440" w:lineRule="exact"/>
        <w:rPr>
          <w:rFonts w:ascii="仿宋_GB2312" w:hAnsi="宋体" w:eastAsia="仿宋_GB2312" w:cs="Times New Roman"/>
          <w:color w:val="auto"/>
          <w:szCs w:val="24"/>
          <w:highlight w:val="none"/>
        </w:rPr>
        <w:sectPr>
          <w:footerReference r:id="rId6" w:type="default"/>
          <w:type w:val="continuous"/>
          <w:pgSz w:w="11906" w:h="16838"/>
          <w:pgMar w:top="1440" w:right="1800" w:bottom="1440" w:left="1800" w:header="851" w:footer="992" w:gutter="0"/>
          <w:pgNumType w:start="1"/>
          <w:cols w:space="425" w:num="1"/>
          <w:docGrid w:type="lines" w:linePitch="312" w:charSpace="0"/>
        </w:sectPr>
      </w:pPr>
    </w:p>
    <w:bookmarkEnd w:id="66"/>
    <w:p w14:paraId="341C0301">
      <w:pPr>
        <w:numPr>
          <w:ilvl w:val="1"/>
          <w:numId w:val="0"/>
        </w:numPr>
        <w:spacing w:line="420" w:lineRule="exact"/>
        <w:ind w:firstLine="480" w:firstLineChars="200"/>
        <w:rPr>
          <w:rFonts w:ascii="仿宋" w:hAnsi="仿宋" w:eastAsia="仿宋" w:cs="Times New Roman"/>
          <w:color w:val="auto"/>
          <w:sz w:val="24"/>
          <w:szCs w:val="24"/>
          <w:highlight w:val="none"/>
        </w:rPr>
      </w:pPr>
      <w:bookmarkStart w:id="69" w:name="_Toc4612"/>
      <w:bookmarkStart w:id="70" w:name="_Toc119323240"/>
      <w:bookmarkStart w:id="71" w:name="_Toc11251668"/>
      <w:r>
        <w:rPr>
          <w:rFonts w:hint="eastAsia" w:ascii="仿宋" w:hAnsi="仿宋" w:eastAsia="仿宋" w:cs="Times New Roman"/>
          <w:color w:val="auto"/>
          <w:sz w:val="24"/>
          <w:szCs w:val="24"/>
          <w:highlight w:val="none"/>
        </w:rPr>
        <w:t>根据《中华人民共和国民法典》及相关法律法规之规定，甲乙双方就成方金融科技有限公司</w:t>
      </w:r>
      <w:r>
        <w:rPr>
          <w:rFonts w:hint="eastAsia" w:ascii="仿宋" w:hAnsi="仿宋" w:eastAsia="仿宋" w:cs="仿宋_GB2312"/>
          <w:color w:val="auto"/>
          <w:sz w:val="24"/>
          <w:szCs w:val="24"/>
          <w:highlight w:val="none"/>
          <w:lang w:val="en-US" w:eastAsia="zh-CN"/>
        </w:rPr>
        <w:t>上海分公司</w:t>
      </w:r>
      <w:r>
        <w:rPr>
          <w:rFonts w:hint="eastAsia" w:ascii="仿宋" w:hAnsi="仿宋" w:eastAsia="仿宋" w:cs="Times New Roman"/>
          <w:color w:val="auto"/>
          <w:sz w:val="24"/>
          <w:szCs w:val="24"/>
          <w:highlight w:val="none"/>
        </w:rPr>
        <w:t>数据平台系统实时监测技术服务采购项目（以下简称“本项目”）相关事项，本着平等互利、诚实信用的原则，经协商一致，现授权各自代表按照下述条款签订本合同，以资双方信守执行。</w:t>
      </w:r>
    </w:p>
    <w:p w14:paraId="7541A0DD">
      <w:pPr>
        <w:spacing w:before="156" w:beforeLines="50" w:line="420" w:lineRule="exact"/>
        <w:ind w:firstLine="482" w:firstLineChars="200"/>
        <w:outlineLvl w:val="0"/>
        <w:rPr>
          <w:rFonts w:ascii="仿宋" w:hAnsi="仿宋" w:eastAsia="仿宋" w:cs="Times New Roman"/>
          <w:b/>
          <w:color w:val="auto"/>
          <w:sz w:val="24"/>
          <w:szCs w:val="24"/>
          <w:highlight w:val="none"/>
        </w:rPr>
      </w:pPr>
      <w:r>
        <w:rPr>
          <w:rFonts w:hint="eastAsia" w:ascii="仿宋" w:hAnsi="仿宋" w:eastAsia="仿宋" w:cs="Times New Roman"/>
          <w:b/>
          <w:color w:val="auto"/>
          <w:sz w:val="24"/>
          <w:szCs w:val="24"/>
          <w:highlight w:val="none"/>
        </w:rPr>
        <w:t>第一条 合同的组成</w:t>
      </w:r>
      <w:bookmarkEnd w:id="69"/>
      <w:bookmarkEnd w:id="70"/>
    </w:p>
    <w:p w14:paraId="6EFE53A3">
      <w:pPr>
        <w:tabs>
          <w:tab w:val="left" w:pos="567"/>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1.1 下述文件是构成本合同不可分割的部分:</w:t>
      </w:r>
    </w:p>
    <w:p w14:paraId="6CCB7816">
      <w:pPr>
        <w:tabs>
          <w:tab w:val="left" w:pos="567"/>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（1）本合同条款及其所有附件；</w:t>
      </w:r>
    </w:p>
    <w:p w14:paraId="2316EBE6">
      <w:pPr>
        <w:tabs>
          <w:tab w:val="left" w:pos="567"/>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（2） 经双方法定代表人或其授权代表签字并加盖单位公章确认的补充协议；</w:t>
      </w:r>
    </w:p>
    <w:p w14:paraId="1A99C294">
      <w:pPr>
        <w:tabs>
          <w:tab w:val="left" w:pos="567"/>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（3）甲方的采购文件及澄清文件；</w:t>
      </w:r>
    </w:p>
    <w:p w14:paraId="0B7BF39F">
      <w:pPr>
        <w:tabs>
          <w:tab w:val="left" w:pos="567"/>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（4）乙方的响应文件及质疑解答文件；</w:t>
      </w:r>
    </w:p>
    <w:p w14:paraId="4F51988E">
      <w:pPr>
        <w:tabs>
          <w:tab w:val="left" w:pos="567"/>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（5）成交通知书；</w:t>
      </w:r>
    </w:p>
    <w:p w14:paraId="7E74CC65">
      <w:pPr>
        <w:tabs>
          <w:tab w:val="left" w:pos="567"/>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（6）法定代表人授权书；</w:t>
      </w:r>
    </w:p>
    <w:p w14:paraId="0FDDBCFB">
      <w:pPr>
        <w:tabs>
          <w:tab w:val="left" w:pos="567"/>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（7）双方与合同有关的往来信函、传真，经双方法定代表人或其授权代表签字并加盖单位公章确认后，视为本合同的组成部分。</w:t>
      </w:r>
    </w:p>
    <w:p w14:paraId="2AE7D0A2">
      <w:pPr>
        <w:tabs>
          <w:tab w:val="left" w:pos="567"/>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1.2 如果乙方的响应文件及质疑解答文件内容违背或低于甲方采购文件要求或任何可能导致影响当次采购目的的情形，均应当被视为乙方自动放弃响应文件及质疑解答文件中相应部分而同意以采购文件相应内容为准。如果乙方的响应文件及质疑解答文件内容高于甲方采购文件要求，则以乙方的响应文件及质疑解答文件内容为准。如果合同条款与合同附件有矛盾之处，以合同条款内容为准。如果合同附件之间有矛盾之处，以有利于甲方的附件内容为准。</w:t>
      </w:r>
    </w:p>
    <w:p w14:paraId="38951AB1">
      <w:pPr>
        <w:tabs>
          <w:tab w:val="left" w:pos="567"/>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1.3 上述合同文件应能够相互解释、相互说明。如合同文件之间出现不一致，除本合同另有约定外，1.1条第（1）款至（7）款的排列顺序即为合同文件的优先解释顺序。若第（2）款中双方达成的补充协议内容与原合同存在不一致，则以签订日期在后的为准。</w:t>
      </w:r>
    </w:p>
    <w:p w14:paraId="1C7474F2">
      <w:pPr>
        <w:spacing w:before="156" w:beforeLines="50" w:line="420" w:lineRule="exact"/>
        <w:ind w:firstLine="482" w:firstLineChars="200"/>
        <w:outlineLvl w:val="0"/>
        <w:rPr>
          <w:rFonts w:ascii="仿宋" w:hAnsi="仿宋" w:eastAsia="仿宋" w:cs="Times New Roman"/>
          <w:b/>
          <w:color w:val="auto"/>
          <w:sz w:val="24"/>
          <w:szCs w:val="24"/>
          <w:highlight w:val="none"/>
        </w:rPr>
      </w:pPr>
      <w:bookmarkStart w:id="72" w:name="_Toc119323241"/>
      <w:bookmarkStart w:id="73" w:name="_Toc20473"/>
      <w:r>
        <w:rPr>
          <w:rFonts w:hint="eastAsia" w:ascii="仿宋" w:hAnsi="仿宋" w:eastAsia="仿宋" w:cs="Times New Roman"/>
          <w:b/>
          <w:color w:val="auto"/>
          <w:sz w:val="24"/>
          <w:szCs w:val="24"/>
          <w:highlight w:val="none"/>
        </w:rPr>
        <w:t xml:space="preserve">第二条 </w:t>
      </w:r>
      <w:bookmarkEnd w:id="71"/>
      <w:r>
        <w:rPr>
          <w:rFonts w:hint="eastAsia" w:ascii="仿宋" w:hAnsi="仿宋" w:eastAsia="仿宋" w:cs="Times New Roman"/>
          <w:b/>
          <w:color w:val="auto"/>
          <w:sz w:val="24"/>
          <w:szCs w:val="24"/>
          <w:highlight w:val="none"/>
        </w:rPr>
        <w:t>服务范围及内容</w:t>
      </w:r>
      <w:bookmarkEnd w:id="72"/>
      <w:bookmarkEnd w:id="73"/>
    </w:p>
    <w:p w14:paraId="03AC2647">
      <w:pPr>
        <w:numPr>
          <w:ilvl w:val="1"/>
          <w:numId w:val="0"/>
        </w:numPr>
        <w:tabs>
          <w:tab w:val="left" w:pos="567"/>
        </w:tabs>
        <w:spacing w:line="420" w:lineRule="exact"/>
        <w:ind w:firstLine="480" w:firstLineChars="200"/>
        <w:rPr>
          <w:rFonts w:ascii="仿宋" w:hAnsi="仿宋" w:eastAsia="仿宋" w:cs="Arial"/>
          <w:color w:val="auto"/>
          <w:sz w:val="24"/>
          <w:szCs w:val="24"/>
          <w:highlight w:val="none"/>
        </w:rPr>
      </w:pPr>
      <w:bookmarkStart w:id="74" w:name="_Hlk62808054"/>
      <w:bookmarkStart w:id="75" w:name="_Hlk484990755"/>
      <w:r>
        <w:rPr>
          <w:rFonts w:ascii="仿宋" w:hAnsi="仿宋" w:eastAsia="仿宋" w:cs="Arial"/>
          <w:color w:val="auto"/>
          <w:sz w:val="24"/>
          <w:szCs w:val="24"/>
          <w:highlight w:val="none"/>
        </w:rPr>
        <w:t>就</w:t>
      </w:r>
      <w:bookmarkEnd w:id="74"/>
      <w:r>
        <w:rPr>
          <w:rFonts w:hint="eastAsia" w:ascii="仿宋" w:hAnsi="仿宋" w:eastAsia="仿宋" w:cs="Times New Roman"/>
          <w:bCs/>
          <w:color w:val="auto"/>
          <w:sz w:val="24"/>
          <w:szCs w:val="24"/>
          <w:highlight w:val="none"/>
        </w:rPr>
        <w:t>本</w:t>
      </w:r>
      <w:r>
        <w:rPr>
          <w:rFonts w:hint="eastAsia" w:ascii="仿宋" w:hAnsi="仿宋" w:eastAsia="仿宋" w:cs="Arial"/>
          <w:color w:val="auto"/>
          <w:sz w:val="24"/>
          <w:szCs w:val="24"/>
          <w:highlight w:val="none"/>
        </w:rPr>
        <w:t>项目</w:t>
      </w:r>
      <w:r>
        <w:rPr>
          <w:rFonts w:ascii="仿宋" w:hAnsi="仿宋" w:eastAsia="仿宋" w:cs="Arial"/>
          <w:color w:val="auto"/>
          <w:sz w:val="24"/>
          <w:szCs w:val="24"/>
          <w:highlight w:val="none"/>
        </w:rPr>
        <w:t>，</w:t>
      </w:r>
      <w:bookmarkEnd w:id="75"/>
      <w:r>
        <w:rPr>
          <w:rFonts w:ascii="仿宋" w:hAnsi="仿宋" w:eastAsia="仿宋" w:cs="Arial"/>
          <w:color w:val="auto"/>
          <w:sz w:val="24"/>
          <w:szCs w:val="24"/>
          <w:highlight w:val="none"/>
        </w:rPr>
        <w:t>乙方</w:t>
      </w:r>
      <w:r>
        <w:rPr>
          <w:rFonts w:hint="eastAsia" w:ascii="仿宋" w:hAnsi="仿宋" w:eastAsia="仿宋" w:cs="Arial"/>
          <w:color w:val="auto"/>
          <w:sz w:val="24"/>
          <w:szCs w:val="24"/>
          <w:highlight w:val="none"/>
        </w:rPr>
        <w:t>向甲方</w:t>
      </w:r>
      <w:r>
        <w:rPr>
          <w:rFonts w:ascii="仿宋" w:hAnsi="仿宋" w:eastAsia="仿宋" w:cs="Arial"/>
          <w:color w:val="auto"/>
          <w:sz w:val="24"/>
          <w:szCs w:val="24"/>
          <w:highlight w:val="none"/>
        </w:rPr>
        <w:t>所提供的服务内容</w:t>
      </w:r>
      <w:r>
        <w:rPr>
          <w:rFonts w:hint="eastAsia" w:ascii="仿宋" w:hAnsi="仿宋" w:eastAsia="仿宋" w:cs="Arial"/>
          <w:color w:val="auto"/>
          <w:sz w:val="24"/>
          <w:szCs w:val="24"/>
          <w:highlight w:val="none"/>
        </w:rPr>
        <w:t>及质量要求</w:t>
      </w:r>
      <w:r>
        <w:rPr>
          <w:rFonts w:ascii="仿宋" w:hAnsi="仿宋" w:eastAsia="仿宋" w:cs="Arial"/>
          <w:color w:val="auto"/>
          <w:sz w:val="24"/>
          <w:szCs w:val="24"/>
          <w:highlight w:val="none"/>
        </w:rPr>
        <w:t>应满足本合同所规定的</w:t>
      </w:r>
      <w:r>
        <w:rPr>
          <w:rFonts w:hint="eastAsia" w:ascii="仿宋" w:hAnsi="仿宋" w:eastAsia="仿宋" w:cs="Arial"/>
          <w:color w:val="auto"/>
          <w:sz w:val="24"/>
          <w:szCs w:val="24"/>
          <w:highlight w:val="none"/>
        </w:rPr>
        <w:t>规范、服务</w:t>
      </w:r>
      <w:r>
        <w:rPr>
          <w:rFonts w:ascii="仿宋" w:hAnsi="仿宋" w:eastAsia="仿宋" w:cs="Arial"/>
          <w:color w:val="auto"/>
          <w:sz w:val="24"/>
          <w:szCs w:val="24"/>
          <w:highlight w:val="none"/>
        </w:rPr>
        <w:t>要求及乙方对甲方的各项承诺。</w:t>
      </w:r>
      <w:r>
        <w:rPr>
          <w:rFonts w:hint="eastAsia" w:ascii="仿宋" w:hAnsi="仿宋" w:eastAsia="仿宋" w:cs="仿宋_GB2312"/>
          <w:bCs/>
          <w:color w:val="auto"/>
          <w:sz w:val="24"/>
          <w:szCs w:val="24"/>
          <w:highlight w:val="none"/>
        </w:rPr>
        <w:t>服务具体要求等详见附件</w:t>
      </w:r>
      <w:r>
        <w:rPr>
          <w:rFonts w:hint="eastAsia" w:ascii="仿宋" w:hAnsi="仿宋" w:eastAsia="仿宋" w:cs="仿宋_GB2312"/>
          <w:bCs/>
          <w:color w:val="auto"/>
          <w:sz w:val="24"/>
          <w:szCs w:val="24"/>
          <w:highlight w:val="none"/>
          <w:lang w:val="en-US" w:eastAsia="zh-CN"/>
        </w:rPr>
        <w:t>项目</w:t>
      </w:r>
      <w:r>
        <w:rPr>
          <w:rFonts w:hint="eastAsia" w:ascii="仿宋" w:hAnsi="仿宋" w:eastAsia="仿宋" w:cs="仿宋_GB2312"/>
          <w:bCs/>
          <w:color w:val="auto"/>
          <w:sz w:val="24"/>
          <w:szCs w:val="24"/>
          <w:highlight w:val="none"/>
        </w:rPr>
        <w:t>需求书，如</w:t>
      </w:r>
      <w:r>
        <w:rPr>
          <w:rFonts w:hint="eastAsia" w:ascii="仿宋" w:hAnsi="仿宋" w:eastAsia="仿宋" w:cs="仿宋_GB2312"/>
          <w:bCs/>
          <w:color w:val="auto"/>
          <w:sz w:val="24"/>
          <w:szCs w:val="24"/>
          <w:highlight w:val="none"/>
          <w:lang w:eastAsia="zh-Hans"/>
        </w:rPr>
        <w:t>乙方承诺</w:t>
      </w:r>
      <w:r>
        <w:rPr>
          <w:rFonts w:hint="eastAsia" w:ascii="仿宋" w:hAnsi="仿宋" w:eastAsia="仿宋" w:cs="仿宋_GB2312"/>
          <w:bCs/>
          <w:color w:val="auto"/>
          <w:sz w:val="24"/>
          <w:szCs w:val="24"/>
          <w:highlight w:val="none"/>
        </w:rPr>
        <w:t>提供更高标准的服务，</w:t>
      </w:r>
      <w:r>
        <w:rPr>
          <w:rFonts w:hint="eastAsia" w:ascii="仿宋" w:hAnsi="仿宋" w:eastAsia="仿宋" w:cs="仿宋_GB2312"/>
          <w:color w:val="auto"/>
          <w:sz w:val="24"/>
          <w:szCs w:val="24"/>
          <w:highlight w:val="none"/>
          <w:lang w:eastAsia="zh-Hans"/>
        </w:rPr>
        <w:t>则以乙方承诺</w:t>
      </w:r>
      <w:r>
        <w:rPr>
          <w:rFonts w:hint="eastAsia" w:ascii="仿宋" w:hAnsi="仿宋" w:eastAsia="仿宋" w:cs="仿宋_GB2312"/>
          <w:bCs/>
          <w:color w:val="auto"/>
          <w:sz w:val="24"/>
          <w:szCs w:val="24"/>
          <w:highlight w:val="none"/>
          <w:lang w:eastAsia="zh-Hans"/>
        </w:rPr>
        <w:t>为准。</w:t>
      </w:r>
    </w:p>
    <w:p w14:paraId="672BC320">
      <w:pPr>
        <w:tabs>
          <w:tab w:val="left" w:pos="42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 xml:space="preserve">2.1 </w:t>
      </w:r>
      <w:r>
        <w:rPr>
          <w:rFonts w:hint="eastAsia" w:ascii="仿宋" w:hAnsi="仿宋" w:eastAsia="仿宋" w:cs="仿宋_GB2312"/>
          <w:b/>
          <w:bCs/>
          <w:color w:val="auto"/>
          <w:sz w:val="24"/>
          <w:szCs w:val="24"/>
          <w:highlight w:val="none"/>
        </w:rPr>
        <w:t>服务期限</w:t>
      </w:r>
      <w:r>
        <w:rPr>
          <w:rFonts w:hint="eastAsia" w:ascii="仿宋" w:hAnsi="仿宋" w:eastAsia="仿宋" w:cs="仿宋_GB2312"/>
          <w:color w:val="auto"/>
          <w:sz w:val="24"/>
          <w:szCs w:val="24"/>
          <w:highlight w:val="none"/>
        </w:rPr>
        <w:t>：自</w:t>
      </w:r>
      <w:r>
        <w:rPr>
          <w:rFonts w:hint="eastAsia" w:ascii="仿宋" w:hAnsi="仿宋" w:eastAsia="仿宋" w:cs="仿宋_GB2312"/>
          <w:color w:val="auto"/>
          <w:sz w:val="24"/>
          <w:szCs w:val="24"/>
          <w:highlight w:val="none"/>
          <w:lang w:val="en-US" w:eastAsia="zh-CN"/>
        </w:rPr>
        <w:t>合同签订之</w:t>
      </w:r>
      <w:r>
        <w:rPr>
          <w:rFonts w:hint="eastAsia" w:ascii="仿宋" w:hAnsi="仿宋" w:eastAsia="仿宋" w:cs="仿宋_GB2312"/>
          <w:color w:val="auto"/>
          <w:sz w:val="24"/>
          <w:szCs w:val="24"/>
          <w:highlight w:val="none"/>
        </w:rPr>
        <w:t>日起至全部服务内容履行完成且验收合格时止。</w:t>
      </w:r>
    </w:p>
    <w:p w14:paraId="3AD34BB4">
      <w:pPr>
        <w:tabs>
          <w:tab w:val="left" w:pos="420"/>
          <w:tab w:val="left" w:pos="1440"/>
        </w:tabs>
        <w:spacing w:line="420" w:lineRule="exact"/>
        <w:ind w:firstLine="480" w:firstLineChars="200"/>
        <w:rPr>
          <w:rFonts w:hint="eastAsia" w:ascii="仿宋" w:hAnsi="仿宋" w:eastAsia="仿宋" w:cs="仿宋_GB2312"/>
          <w:color w:val="auto"/>
          <w:sz w:val="24"/>
          <w:szCs w:val="24"/>
          <w:highlight w:val="none"/>
          <w:lang w:val="en-US" w:eastAsia="zh-CN"/>
        </w:rPr>
      </w:pPr>
      <w:r>
        <w:rPr>
          <w:rFonts w:hint="eastAsia" w:ascii="仿宋" w:hAnsi="仿宋" w:eastAsia="仿宋" w:cs="仿宋_GB2312"/>
          <w:color w:val="auto"/>
          <w:sz w:val="24"/>
          <w:szCs w:val="24"/>
          <w:highlight w:val="none"/>
        </w:rPr>
        <w:t>2</w:t>
      </w:r>
      <w:r>
        <w:rPr>
          <w:rFonts w:ascii="仿宋" w:hAnsi="仿宋" w:eastAsia="仿宋" w:cs="仿宋_GB2312"/>
          <w:color w:val="auto"/>
          <w:sz w:val="24"/>
          <w:szCs w:val="24"/>
          <w:highlight w:val="none"/>
        </w:rPr>
        <w:t xml:space="preserve">.2 </w:t>
      </w:r>
      <w:r>
        <w:rPr>
          <w:rFonts w:hint="eastAsia" w:ascii="仿宋" w:hAnsi="仿宋" w:eastAsia="仿宋" w:cs="仿宋_GB2312"/>
          <w:b/>
          <w:bCs/>
          <w:color w:val="auto"/>
          <w:sz w:val="24"/>
          <w:szCs w:val="24"/>
          <w:highlight w:val="none"/>
        </w:rPr>
        <w:t>服务地点</w:t>
      </w:r>
      <w:r>
        <w:rPr>
          <w:rFonts w:hint="eastAsia" w:ascii="仿宋" w:hAnsi="仿宋" w:eastAsia="仿宋" w:cs="仿宋_GB2312"/>
          <w:color w:val="auto"/>
          <w:sz w:val="24"/>
          <w:szCs w:val="24"/>
          <w:highlight w:val="none"/>
        </w:rPr>
        <w:t>：</w:t>
      </w:r>
      <w:r>
        <w:rPr>
          <w:rFonts w:hint="eastAsia" w:ascii="仿宋" w:hAnsi="仿宋" w:eastAsia="仿宋" w:cs="仿宋_GB2312"/>
          <w:color w:val="auto"/>
          <w:sz w:val="24"/>
          <w:szCs w:val="24"/>
          <w:highlight w:val="none"/>
          <w:lang w:val="en-US" w:eastAsia="zh-CN"/>
        </w:rPr>
        <w:t>上海</w:t>
      </w:r>
    </w:p>
    <w:p w14:paraId="0965077E">
      <w:pPr>
        <w:tabs>
          <w:tab w:val="left" w:pos="420"/>
          <w:tab w:val="left" w:pos="1440"/>
        </w:tabs>
        <w:spacing w:after="156" w:afterLines="50"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 xml:space="preserve">2.3 </w:t>
      </w:r>
      <w:r>
        <w:rPr>
          <w:rFonts w:hint="eastAsia" w:ascii="仿宋" w:hAnsi="仿宋" w:eastAsia="仿宋" w:cs="仿宋_GB2312"/>
          <w:b/>
          <w:bCs/>
          <w:color w:val="auto"/>
          <w:sz w:val="24"/>
          <w:szCs w:val="24"/>
          <w:highlight w:val="none"/>
        </w:rPr>
        <w:t>本合同具体服务内容如下</w:t>
      </w:r>
      <w:r>
        <w:rPr>
          <w:rFonts w:hint="eastAsia" w:ascii="仿宋" w:hAnsi="仿宋" w:eastAsia="仿宋" w:cs="仿宋_GB2312"/>
          <w:color w:val="auto"/>
          <w:sz w:val="24"/>
          <w:szCs w:val="24"/>
          <w:highlight w:val="none"/>
        </w:rPr>
        <w:t>：</w:t>
      </w:r>
    </w:p>
    <w:tbl>
      <w:tblPr>
        <w:tblStyle w:val="25"/>
        <w:tblW w:w="95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2079"/>
        <w:gridCol w:w="1541"/>
        <w:gridCol w:w="1652"/>
        <w:gridCol w:w="1667"/>
        <w:gridCol w:w="1667"/>
      </w:tblGrid>
      <w:tr w14:paraId="00097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949" w:type="dxa"/>
            <w:vAlign w:val="center"/>
          </w:tcPr>
          <w:p w14:paraId="02461AE4">
            <w:pPr>
              <w:spacing w:line="440" w:lineRule="exact"/>
              <w:jc w:val="center"/>
              <w:rPr>
                <w:rFonts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序号</w:t>
            </w:r>
          </w:p>
        </w:tc>
        <w:tc>
          <w:tcPr>
            <w:tcW w:w="2079" w:type="dxa"/>
            <w:vAlign w:val="center"/>
          </w:tcPr>
          <w:p w14:paraId="583625A9">
            <w:pPr>
              <w:spacing w:line="440" w:lineRule="exact"/>
              <w:jc w:val="center"/>
              <w:rPr>
                <w:rFonts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服务内容</w:t>
            </w:r>
          </w:p>
        </w:tc>
        <w:tc>
          <w:tcPr>
            <w:tcW w:w="1541" w:type="dxa"/>
            <w:vAlign w:val="center"/>
          </w:tcPr>
          <w:p w14:paraId="3E2BBB4D">
            <w:pPr>
              <w:spacing w:line="440" w:lineRule="exact"/>
              <w:jc w:val="center"/>
              <w:rPr>
                <w:rFonts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单价（元）</w:t>
            </w:r>
          </w:p>
        </w:tc>
        <w:tc>
          <w:tcPr>
            <w:tcW w:w="1652" w:type="dxa"/>
            <w:vAlign w:val="center"/>
          </w:tcPr>
          <w:p w14:paraId="6E55B5B7">
            <w:pPr>
              <w:spacing w:line="440" w:lineRule="exact"/>
              <w:jc w:val="center"/>
              <w:rPr>
                <w:rFonts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数量（单位）</w:t>
            </w:r>
          </w:p>
        </w:tc>
        <w:tc>
          <w:tcPr>
            <w:tcW w:w="1667" w:type="dxa"/>
            <w:vAlign w:val="center"/>
          </w:tcPr>
          <w:p w14:paraId="13545573">
            <w:pPr>
              <w:spacing w:line="440" w:lineRule="exact"/>
              <w:jc w:val="center"/>
              <w:rPr>
                <w:rFonts w:hint="eastAsia" w:ascii="仿宋" w:hAnsi="仿宋" w:eastAsia="仿宋" w:cs="Times New Roman"/>
                <w:color w:val="auto"/>
                <w:sz w:val="24"/>
                <w:szCs w:val="24"/>
                <w:highlight w:val="none"/>
                <w:lang w:val="en-US" w:eastAsia="zh-CN"/>
              </w:rPr>
            </w:pPr>
            <w:r>
              <w:rPr>
                <w:rFonts w:hint="eastAsia" w:ascii="仿宋" w:hAnsi="仿宋" w:eastAsia="仿宋" w:cs="Times New Roman"/>
                <w:color w:val="auto"/>
                <w:sz w:val="24"/>
                <w:szCs w:val="24"/>
                <w:highlight w:val="none"/>
                <w:lang w:val="en-US" w:eastAsia="zh-CN"/>
              </w:rPr>
              <w:t>税率</w:t>
            </w:r>
          </w:p>
        </w:tc>
        <w:tc>
          <w:tcPr>
            <w:tcW w:w="1667" w:type="dxa"/>
            <w:vAlign w:val="center"/>
          </w:tcPr>
          <w:p w14:paraId="6BC7D57F">
            <w:pPr>
              <w:spacing w:line="440" w:lineRule="exact"/>
              <w:jc w:val="center"/>
              <w:rPr>
                <w:rFonts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小计（元）</w:t>
            </w:r>
          </w:p>
        </w:tc>
      </w:tr>
      <w:tr w14:paraId="66A7F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jc w:val="center"/>
        </w:trPr>
        <w:tc>
          <w:tcPr>
            <w:tcW w:w="949" w:type="dxa"/>
            <w:vAlign w:val="center"/>
          </w:tcPr>
          <w:p w14:paraId="7CC833AE">
            <w:pPr>
              <w:spacing w:line="440" w:lineRule="exact"/>
              <w:jc w:val="center"/>
              <w:rPr>
                <w:rFonts w:hint="eastAsia" w:ascii="仿宋" w:hAnsi="仿宋" w:eastAsia="仿宋" w:cs="Times New Roman"/>
                <w:color w:val="auto"/>
                <w:sz w:val="24"/>
                <w:szCs w:val="24"/>
                <w:highlight w:val="none"/>
                <w:lang w:val="en-US" w:eastAsia="zh-CN"/>
              </w:rPr>
            </w:pPr>
            <w:r>
              <w:rPr>
                <w:rFonts w:hint="eastAsia" w:ascii="仿宋" w:hAnsi="仿宋" w:eastAsia="仿宋" w:cs="Times New Roman"/>
                <w:color w:val="auto"/>
                <w:sz w:val="24"/>
                <w:szCs w:val="24"/>
                <w:highlight w:val="none"/>
                <w:lang w:val="en-US" w:eastAsia="zh-CN"/>
              </w:rPr>
              <w:t>1</w:t>
            </w:r>
          </w:p>
        </w:tc>
        <w:tc>
          <w:tcPr>
            <w:tcW w:w="2079" w:type="dxa"/>
            <w:vAlign w:val="center"/>
          </w:tcPr>
          <w:p w14:paraId="60D23F4B">
            <w:pPr>
              <w:spacing w:line="440" w:lineRule="exact"/>
              <w:jc w:val="center"/>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数据实时监测开发服务</w:t>
            </w:r>
          </w:p>
        </w:tc>
        <w:tc>
          <w:tcPr>
            <w:tcW w:w="1541" w:type="dxa"/>
            <w:vAlign w:val="center"/>
          </w:tcPr>
          <w:p w14:paraId="7E1ED3E8">
            <w:pPr>
              <w:spacing w:line="440" w:lineRule="exact"/>
              <w:jc w:val="center"/>
              <w:rPr>
                <w:rFonts w:ascii="仿宋" w:hAnsi="仿宋" w:eastAsia="仿宋" w:cs="宋体"/>
                <w:color w:val="auto"/>
                <w:sz w:val="24"/>
                <w:szCs w:val="24"/>
                <w:highlight w:val="none"/>
              </w:rPr>
            </w:pPr>
          </w:p>
        </w:tc>
        <w:tc>
          <w:tcPr>
            <w:tcW w:w="1652" w:type="dxa"/>
            <w:vAlign w:val="center"/>
          </w:tcPr>
          <w:p w14:paraId="5AF77902">
            <w:pPr>
              <w:spacing w:line="440" w:lineRule="exact"/>
              <w:jc w:val="center"/>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1项</w:t>
            </w:r>
          </w:p>
        </w:tc>
        <w:tc>
          <w:tcPr>
            <w:tcW w:w="1667" w:type="dxa"/>
            <w:shd w:val="clear" w:color="auto" w:fill="auto"/>
            <w:vAlign w:val="center"/>
          </w:tcPr>
          <w:p w14:paraId="0826A533">
            <w:pPr>
              <w:spacing w:line="440" w:lineRule="exact"/>
              <w:jc w:val="center"/>
              <w:rPr>
                <w:rFonts w:ascii="仿宋" w:hAnsi="仿宋" w:eastAsia="仿宋" w:cs="宋体"/>
                <w:color w:val="auto"/>
                <w:kern w:val="2"/>
                <w:sz w:val="24"/>
                <w:szCs w:val="24"/>
                <w:highlight w:val="none"/>
                <w:lang w:val="en-US" w:eastAsia="zh-CN" w:bidi="ar-SA"/>
              </w:rPr>
            </w:pPr>
          </w:p>
        </w:tc>
        <w:tc>
          <w:tcPr>
            <w:tcW w:w="1667" w:type="dxa"/>
            <w:shd w:val="clear" w:color="auto" w:fill="auto"/>
            <w:vAlign w:val="center"/>
          </w:tcPr>
          <w:p w14:paraId="1DC5F17E">
            <w:pPr>
              <w:spacing w:line="440" w:lineRule="exact"/>
              <w:jc w:val="center"/>
              <w:rPr>
                <w:rFonts w:ascii="仿宋" w:hAnsi="仿宋" w:eastAsia="仿宋" w:cs="宋体"/>
                <w:color w:val="auto"/>
                <w:kern w:val="2"/>
                <w:sz w:val="24"/>
                <w:szCs w:val="24"/>
                <w:highlight w:val="none"/>
                <w:lang w:val="en-US" w:eastAsia="zh-CN" w:bidi="ar-SA"/>
              </w:rPr>
            </w:pPr>
          </w:p>
        </w:tc>
      </w:tr>
      <w:tr w14:paraId="31AA2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49" w:type="dxa"/>
            <w:vAlign w:val="center"/>
          </w:tcPr>
          <w:p w14:paraId="40F8BC71">
            <w:pPr>
              <w:spacing w:line="440" w:lineRule="exact"/>
              <w:jc w:val="center"/>
              <w:rPr>
                <w:rFonts w:hint="eastAsia" w:ascii="仿宋" w:hAnsi="仿宋" w:eastAsia="仿宋" w:cs="Times New Roman"/>
                <w:color w:val="auto"/>
                <w:sz w:val="24"/>
                <w:szCs w:val="24"/>
                <w:highlight w:val="none"/>
                <w:lang w:val="en-US" w:eastAsia="zh-CN"/>
              </w:rPr>
            </w:pPr>
            <w:r>
              <w:rPr>
                <w:rFonts w:hint="eastAsia" w:ascii="仿宋" w:hAnsi="仿宋" w:eastAsia="仿宋" w:cs="Times New Roman"/>
                <w:color w:val="auto"/>
                <w:sz w:val="24"/>
                <w:szCs w:val="24"/>
                <w:highlight w:val="none"/>
                <w:lang w:val="en-US" w:eastAsia="zh-CN"/>
              </w:rPr>
              <w:t>2</w:t>
            </w:r>
          </w:p>
        </w:tc>
        <w:tc>
          <w:tcPr>
            <w:tcW w:w="2079" w:type="dxa"/>
            <w:vAlign w:val="center"/>
          </w:tcPr>
          <w:p w14:paraId="2977E952">
            <w:pPr>
              <w:spacing w:line="440" w:lineRule="exact"/>
              <w:jc w:val="center"/>
              <w:rPr>
                <w:rFonts w:hint="eastAsia"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数据同步软件</w:t>
            </w:r>
          </w:p>
        </w:tc>
        <w:tc>
          <w:tcPr>
            <w:tcW w:w="1541" w:type="dxa"/>
            <w:vAlign w:val="center"/>
          </w:tcPr>
          <w:p w14:paraId="4E118AD0">
            <w:pPr>
              <w:spacing w:line="440" w:lineRule="exact"/>
              <w:jc w:val="center"/>
              <w:rPr>
                <w:rFonts w:ascii="仿宋" w:hAnsi="仿宋" w:eastAsia="仿宋" w:cs="宋体"/>
                <w:color w:val="auto"/>
                <w:sz w:val="24"/>
                <w:szCs w:val="24"/>
                <w:highlight w:val="none"/>
              </w:rPr>
            </w:pPr>
          </w:p>
        </w:tc>
        <w:tc>
          <w:tcPr>
            <w:tcW w:w="1652" w:type="dxa"/>
            <w:vAlign w:val="center"/>
          </w:tcPr>
          <w:p w14:paraId="43992338">
            <w:pPr>
              <w:spacing w:line="440" w:lineRule="exact"/>
              <w:jc w:val="center"/>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1项</w:t>
            </w:r>
          </w:p>
        </w:tc>
        <w:tc>
          <w:tcPr>
            <w:tcW w:w="1667" w:type="dxa"/>
            <w:shd w:val="clear" w:color="auto" w:fill="auto"/>
            <w:vAlign w:val="center"/>
          </w:tcPr>
          <w:p w14:paraId="29DC0688">
            <w:pPr>
              <w:spacing w:line="440" w:lineRule="exact"/>
              <w:jc w:val="center"/>
              <w:rPr>
                <w:rFonts w:ascii="仿宋" w:hAnsi="仿宋" w:eastAsia="仿宋" w:cs="宋体"/>
                <w:color w:val="auto"/>
                <w:kern w:val="2"/>
                <w:sz w:val="24"/>
                <w:szCs w:val="24"/>
                <w:highlight w:val="none"/>
                <w:lang w:val="en-US" w:eastAsia="zh-CN" w:bidi="ar-SA"/>
              </w:rPr>
            </w:pPr>
          </w:p>
        </w:tc>
        <w:tc>
          <w:tcPr>
            <w:tcW w:w="1667" w:type="dxa"/>
            <w:shd w:val="clear" w:color="auto" w:fill="auto"/>
            <w:vAlign w:val="center"/>
          </w:tcPr>
          <w:p w14:paraId="2CDAA4E7">
            <w:pPr>
              <w:spacing w:line="440" w:lineRule="exact"/>
              <w:jc w:val="center"/>
              <w:rPr>
                <w:rFonts w:ascii="仿宋" w:hAnsi="仿宋" w:eastAsia="仿宋" w:cs="宋体"/>
                <w:color w:val="auto"/>
                <w:kern w:val="2"/>
                <w:sz w:val="24"/>
                <w:szCs w:val="24"/>
                <w:highlight w:val="none"/>
                <w:lang w:val="en-US" w:eastAsia="zh-CN" w:bidi="ar-SA"/>
              </w:rPr>
            </w:pPr>
          </w:p>
        </w:tc>
      </w:tr>
      <w:tr w14:paraId="4BA1E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49" w:type="dxa"/>
            <w:vAlign w:val="center"/>
          </w:tcPr>
          <w:p w14:paraId="46DBC4F5">
            <w:pPr>
              <w:spacing w:line="440" w:lineRule="exact"/>
              <w:jc w:val="center"/>
              <w:rPr>
                <w:rFonts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总价</w:t>
            </w:r>
          </w:p>
        </w:tc>
        <w:tc>
          <w:tcPr>
            <w:tcW w:w="8606" w:type="dxa"/>
            <w:gridSpan w:val="5"/>
            <w:vAlign w:val="center"/>
          </w:tcPr>
          <w:p w14:paraId="78C8AFAD">
            <w:pPr>
              <w:spacing w:line="440" w:lineRule="exact"/>
              <w:jc w:val="center"/>
              <w:rPr>
                <w:rFonts w:ascii="仿宋" w:hAnsi="仿宋" w:eastAsia="仿宋" w:cs="宋体"/>
                <w:color w:val="auto"/>
                <w:sz w:val="24"/>
                <w:szCs w:val="24"/>
                <w:highlight w:val="none"/>
              </w:rPr>
            </w:pPr>
            <w:r>
              <w:rPr>
                <w:rFonts w:hint="eastAsia" w:ascii="仿宋" w:hAnsi="仿宋" w:eastAsia="仿宋" w:cs="Arial"/>
                <w:color w:val="auto"/>
                <w:sz w:val="24"/>
                <w:szCs w:val="24"/>
                <w:highlight w:val="none"/>
                <w:u w:val="single"/>
              </w:rPr>
              <w:t xml:space="preserve"> </w:t>
            </w:r>
            <w:r>
              <w:rPr>
                <w:rFonts w:ascii="仿宋" w:hAnsi="仿宋" w:eastAsia="仿宋" w:cs="Arial"/>
                <w:color w:val="auto"/>
                <w:sz w:val="24"/>
                <w:szCs w:val="24"/>
                <w:highlight w:val="none"/>
                <w:u w:val="single"/>
              </w:rPr>
              <w:t xml:space="preserve">    </w:t>
            </w:r>
            <w:r>
              <w:rPr>
                <w:rFonts w:hint="eastAsia" w:ascii="仿宋" w:hAnsi="仿宋" w:eastAsia="仿宋" w:cs="Arial"/>
                <w:color w:val="auto"/>
                <w:sz w:val="24"/>
                <w:szCs w:val="24"/>
                <w:highlight w:val="none"/>
              </w:rPr>
              <w:t xml:space="preserve">元（含税），不含税金额        、税额        </w:t>
            </w:r>
          </w:p>
        </w:tc>
      </w:tr>
      <w:tr w14:paraId="45362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49" w:type="dxa"/>
            <w:vAlign w:val="center"/>
          </w:tcPr>
          <w:p w14:paraId="4BD1616D">
            <w:pPr>
              <w:spacing w:line="440" w:lineRule="exact"/>
              <w:jc w:val="center"/>
              <w:rPr>
                <w:rFonts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备注</w:t>
            </w:r>
          </w:p>
        </w:tc>
        <w:tc>
          <w:tcPr>
            <w:tcW w:w="8606" w:type="dxa"/>
            <w:gridSpan w:val="5"/>
            <w:vAlign w:val="center"/>
          </w:tcPr>
          <w:p w14:paraId="6F04D731">
            <w:pPr>
              <w:spacing w:line="440" w:lineRule="exact"/>
              <w:jc w:val="center"/>
              <w:rPr>
                <w:rFonts w:ascii="仿宋" w:hAnsi="仿宋" w:eastAsia="仿宋" w:cs="宋体"/>
                <w:color w:val="auto"/>
                <w:sz w:val="24"/>
                <w:szCs w:val="24"/>
                <w:highlight w:val="none"/>
              </w:rPr>
            </w:pPr>
          </w:p>
        </w:tc>
      </w:tr>
    </w:tbl>
    <w:p w14:paraId="63CE5D61">
      <w:pPr>
        <w:tabs>
          <w:tab w:val="left" w:pos="420"/>
          <w:tab w:val="left" w:pos="1440"/>
        </w:tabs>
        <w:spacing w:line="420" w:lineRule="exact"/>
        <w:ind w:firstLine="480" w:firstLineChars="200"/>
        <w:rPr>
          <w:rStyle w:val="30"/>
          <w:color w:val="auto"/>
          <w:highlight w:val="none"/>
        </w:rPr>
      </w:pPr>
      <w:bookmarkStart w:id="76" w:name="_Toc26187"/>
      <w:bookmarkStart w:id="77" w:name="_Toc119323242"/>
      <w:r>
        <w:rPr>
          <w:rFonts w:hint="eastAsia" w:ascii="仿宋" w:hAnsi="仿宋" w:eastAsia="仿宋" w:cs="Times New Roman"/>
          <w:bCs/>
          <w:color w:val="auto"/>
          <w:sz w:val="24"/>
          <w:szCs w:val="24"/>
          <w:highlight w:val="none"/>
        </w:rPr>
        <w:t xml:space="preserve">2.4 </w:t>
      </w:r>
      <w:r>
        <w:rPr>
          <w:rFonts w:hint="eastAsia" w:ascii="仿宋" w:hAnsi="仿宋" w:eastAsia="仿宋" w:cs="仿宋_GB2312"/>
          <w:b/>
          <w:bCs/>
          <w:color w:val="auto"/>
          <w:sz w:val="24"/>
          <w:szCs w:val="24"/>
          <w:highlight w:val="none"/>
        </w:rPr>
        <w:t>服务要求</w:t>
      </w:r>
      <w:r>
        <w:rPr>
          <w:rFonts w:hint="eastAsia" w:ascii="仿宋" w:hAnsi="仿宋" w:eastAsia="仿宋" w:cs="仿宋_GB2312"/>
          <w:color w:val="auto"/>
          <w:sz w:val="24"/>
          <w:szCs w:val="24"/>
          <w:highlight w:val="none"/>
        </w:rPr>
        <w:t>：</w:t>
      </w:r>
      <w:r>
        <w:rPr>
          <w:rFonts w:ascii="仿宋" w:hAnsi="仿宋" w:eastAsia="仿宋" w:cs="仿宋_GB2312"/>
          <w:color w:val="auto"/>
          <w:sz w:val="24"/>
          <w:szCs w:val="24"/>
          <w:highlight w:val="none"/>
        </w:rPr>
        <w:t xml:space="preserve"> </w:t>
      </w:r>
      <w:r>
        <w:rPr>
          <w:rFonts w:hint="eastAsia" w:ascii="仿宋" w:hAnsi="仿宋" w:eastAsia="仿宋" w:cs="仿宋_GB2312"/>
          <w:color w:val="auto"/>
          <w:sz w:val="24"/>
          <w:szCs w:val="24"/>
          <w:highlight w:val="none"/>
        </w:rPr>
        <w:t>完成数据平台系统债券、外汇、利率、大宗、信用等业务系统数据通过数据同步软件功能实现实时接入、实时监测、实时分析相关功能，具体内容详见附件三项目需求书。</w:t>
      </w:r>
    </w:p>
    <w:p w14:paraId="3932A2B5">
      <w:pPr>
        <w:tabs>
          <w:tab w:val="left" w:pos="420"/>
        </w:tabs>
        <w:spacing w:before="156" w:beforeLines="50" w:line="420" w:lineRule="exact"/>
        <w:ind w:firstLine="482" w:firstLineChars="200"/>
        <w:outlineLvl w:val="0"/>
        <w:rPr>
          <w:rFonts w:ascii="仿宋" w:hAnsi="仿宋" w:eastAsia="仿宋" w:cs="仿宋_GB2312"/>
          <w:b/>
          <w:color w:val="auto"/>
          <w:sz w:val="24"/>
          <w:szCs w:val="24"/>
          <w:highlight w:val="none"/>
        </w:rPr>
      </w:pPr>
      <w:r>
        <w:rPr>
          <w:rFonts w:hint="eastAsia" w:ascii="仿宋" w:hAnsi="仿宋" w:eastAsia="仿宋" w:cs="仿宋_GB2312"/>
          <w:b/>
          <w:color w:val="auto"/>
          <w:sz w:val="24"/>
          <w:szCs w:val="24"/>
          <w:highlight w:val="none"/>
        </w:rPr>
        <w:t>第三条 合同金额及付款方式</w:t>
      </w:r>
      <w:bookmarkEnd w:id="76"/>
      <w:bookmarkEnd w:id="77"/>
    </w:p>
    <w:p w14:paraId="61A342A6">
      <w:pPr>
        <w:widowControl/>
        <w:numPr>
          <w:ilvl w:val="1"/>
          <w:numId w:val="0"/>
        </w:numPr>
        <w:tabs>
          <w:tab w:val="left" w:pos="615"/>
        </w:tabs>
        <w:autoSpaceDE w:val="0"/>
        <w:autoSpaceDN w:val="0"/>
        <w:spacing w:line="420" w:lineRule="exact"/>
        <w:ind w:firstLine="480" w:firstLineChars="200"/>
        <w:textAlignment w:val="bottom"/>
        <w:rPr>
          <w:rFonts w:ascii="仿宋" w:hAnsi="仿宋" w:eastAsia="仿宋" w:cs="仿宋_GB2312"/>
          <w:color w:val="auto"/>
          <w:sz w:val="24"/>
          <w:szCs w:val="24"/>
          <w:highlight w:val="none"/>
        </w:rPr>
      </w:pPr>
      <w:r>
        <w:rPr>
          <w:rFonts w:hint="eastAsia" w:ascii="仿宋" w:hAnsi="仿宋" w:eastAsia="仿宋" w:cs="Times New Roman"/>
          <w:color w:val="auto"/>
          <w:sz w:val="24"/>
          <w:szCs w:val="24"/>
          <w:highlight w:val="none"/>
        </w:rPr>
        <w:t>3.1 本合同总金额为人民币</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元整</w:t>
      </w:r>
      <w:r>
        <w:rPr>
          <w:rFonts w:hint="eastAsia" w:ascii="仿宋" w:hAnsi="仿宋" w:eastAsia="仿宋" w:cs="Arial"/>
          <w:color w:val="auto"/>
          <w:sz w:val="24"/>
          <w:szCs w:val="24"/>
          <w:highlight w:val="none"/>
        </w:rPr>
        <w:t>（含税）</w:t>
      </w:r>
      <w:r>
        <w:rPr>
          <w:rFonts w:hint="eastAsia" w:ascii="仿宋" w:hAnsi="仿宋" w:eastAsia="仿宋" w:cs="仿宋_GB2312"/>
          <w:color w:val="auto"/>
          <w:sz w:val="24"/>
          <w:szCs w:val="24"/>
          <w:highlight w:val="none"/>
        </w:rPr>
        <w:t>，大写：人民币</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圆整（含税），不含税金额</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、税额</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税率</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w:t>
      </w:r>
    </w:p>
    <w:p w14:paraId="64388F79">
      <w:pPr>
        <w:widowControl/>
        <w:numPr>
          <w:ilvl w:val="1"/>
          <w:numId w:val="0"/>
        </w:numPr>
        <w:tabs>
          <w:tab w:val="left" w:pos="615"/>
        </w:tabs>
        <w:autoSpaceDE w:val="0"/>
        <w:autoSpaceDN w:val="0"/>
        <w:spacing w:line="420" w:lineRule="exact"/>
        <w:ind w:firstLine="480" w:firstLineChars="200"/>
        <w:textAlignment w:val="bottom"/>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合同总</w:t>
      </w:r>
      <w:r>
        <w:rPr>
          <w:rFonts w:hint="eastAsia" w:ascii="仿宋" w:hAnsi="仿宋" w:eastAsia="仿宋" w:cs="Times New Roman"/>
          <w:color w:val="auto"/>
          <w:sz w:val="24"/>
          <w:szCs w:val="24"/>
          <w:highlight w:val="none"/>
        </w:rPr>
        <w:t>金额</w:t>
      </w:r>
      <w:r>
        <w:rPr>
          <w:rFonts w:hint="eastAsia" w:ascii="仿宋" w:hAnsi="仿宋" w:eastAsia="仿宋" w:cs="仿宋_GB2312"/>
          <w:color w:val="auto"/>
          <w:sz w:val="24"/>
          <w:szCs w:val="24"/>
          <w:highlight w:val="none"/>
        </w:rPr>
        <w:t>为固定不变价，</w:t>
      </w:r>
      <w:r>
        <w:rPr>
          <w:rFonts w:hint="eastAsia" w:ascii="仿宋" w:hAnsi="仿宋" w:eastAsia="仿宋" w:cs="Times New Roman"/>
          <w:color w:val="auto"/>
          <w:sz w:val="24"/>
          <w:szCs w:val="24"/>
          <w:highlight w:val="none"/>
        </w:rPr>
        <w:t>包括但不限于税费、技术服务费、差旅费等与履行本合同义务有关的所有费用，</w:t>
      </w:r>
      <w:bookmarkStart w:id="78" w:name="_Hlk133090971"/>
      <w:r>
        <w:rPr>
          <w:rFonts w:hint="eastAsia" w:ascii="仿宋" w:hAnsi="仿宋" w:eastAsia="仿宋" w:cs="仿宋_GB2312"/>
          <w:color w:val="auto"/>
          <w:sz w:val="24"/>
          <w:szCs w:val="24"/>
          <w:highlight w:val="none"/>
        </w:rPr>
        <w:t>无论合同是否提及，合同总金额均包括了甲方依据本合同应向乙方支付的全部价款，甲方无须额外支付其他任何报酬或费用。</w:t>
      </w:r>
      <w:bookmarkEnd w:id="78"/>
    </w:p>
    <w:p w14:paraId="01E77EEE">
      <w:pPr>
        <w:widowControl/>
        <w:numPr>
          <w:ilvl w:val="1"/>
          <w:numId w:val="0"/>
        </w:numPr>
        <w:tabs>
          <w:tab w:val="left" w:pos="615"/>
        </w:tabs>
        <w:autoSpaceDE w:val="0"/>
        <w:autoSpaceDN w:val="0"/>
        <w:spacing w:line="420" w:lineRule="exact"/>
        <w:ind w:firstLine="480" w:firstLineChars="200"/>
        <w:textAlignment w:val="bottom"/>
        <w:rPr>
          <w:rFonts w:ascii="仿宋" w:hAnsi="仿宋" w:eastAsia="仿宋" w:cs="Times New Roman"/>
          <w:color w:val="auto"/>
          <w:sz w:val="24"/>
          <w:szCs w:val="24"/>
          <w:highlight w:val="none"/>
        </w:rPr>
      </w:pPr>
      <w:r>
        <w:rPr>
          <w:rFonts w:hint="eastAsia" w:ascii="仿宋" w:hAnsi="仿宋" w:eastAsia="仿宋" w:cs="Times New Roman"/>
          <w:bCs/>
          <w:color w:val="auto"/>
          <w:sz w:val="24"/>
          <w:szCs w:val="24"/>
          <w:highlight w:val="none"/>
        </w:rPr>
        <w:t xml:space="preserve">3.2 </w:t>
      </w:r>
      <w:r>
        <w:rPr>
          <w:rFonts w:hint="eastAsia" w:ascii="仿宋" w:hAnsi="仿宋" w:eastAsia="仿宋" w:cs="仿宋_GB2312"/>
          <w:color w:val="auto"/>
          <w:sz w:val="24"/>
          <w:szCs w:val="24"/>
          <w:highlight w:val="none"/>
        </w:rPr>
        <w:t>本合同按如下方式及比例支付</w:t>
      </w:r>
      <w:r>
        <w:rPr>
          <w:rFonts w:hint="eastAsia" w:ascii="仿宋" w:hAnsi="仿宋" w:eastAsia="仿宋" w:cs="Times New Roman"/>
          <w:color w:val="auto"/>
          <w:sz w:val="24"/>
          <w:szCs w:val="24"/>
          <w:highlight w:val="none"/>
        </w:rPr>
        <w:t>：</w:t>
      </w:r>
    </w:p>
    <w:p w14:paraId="5B5809CD">
      <w:pPr>
        <w:widowControl/>
        <w:autoSpaceDE w:val="0"/>
        <w:autoSpaceDN w:val="0"/>
        <w:spacing w:line="420" w:lineRule="exact"/>
        <w:ind w:firstLine="480" w:firstLineChars="200"/>
        <w:textAlignment w:val="bottom"/>
        <w:rPr>
          <w:rFonts w:hint="default" w:ascii="仿宋" w:hAnsi="仿宋" w:eastAsia="仿宋" w:cs="Times New Roman"/>
          <w:color w:val="auto"/>
          <w:sz w:val="24"/>
          <w:szCs w:val="24"/>
          <w:highlight w:val="none"/>
          <w:lang w:val="en-US" w:eastAsia="zh-CN"/>
        </w:rPr>
      </w:pPr>
      <w:r>
        <w:rPr>
          <w:rFonts w:hint="eastAsia" w:ascii="仿宋" w:hAnsi="仿宋" w:eastAsia="仿宋" w:cs="Times New Roman"/>
          <w:color w:val="auto"/>
          <w:sz w:val="24"/>
          <w:szCs w:val="24"/>
          <w:highlight w:val="none"/>
        </w:rPr>
        <w:t>3.2.1</w:t>
      </w:r>
      <w:r>
        <w:rPr>
          <w:rFonts w:hint="eastAsia" w:ascii="仿宋" w:hAnsi="仿宋" w:eastAsia="仿宋" w:cs="Times New Roman"/>
          <w:color w:val="auto"/>
          <w:sz w:val="24"/>
          <w:szCs w:val="24"/>
          <w:highlight w:val="none"/>
          <w:lang w:val="en-US" w:eastAsia="zh-CN"/>
        </w:rPr>
        <w:t xml:space="preserve"> 数据实时监测开发服务部分</w:t>
      </w:r>
    </w:p>
    <w:p w14:paraId="756E807B">
      <w:pPr>
        <w:widowControl/>
        <w:autoSpaceDE w:val="0"/>
        <w:autoSpaceDN w:val="0"/>
        <w:spacing w:line="420" w:lineRule="exact"/>
        <w:ind w:firstLine="480" w:firstLineChars="200"/>
        <w:textAlignment w:val="bottom"/>
        <w:rPr>
          <w:rFonts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3.2.1</w:t>
      </w:r>
      <w:r>
        <w:rPr>
          <w:rFonts w:hint="eastAsia" w:ascii="仿宋" w:hAnsi="仿宋" w:eastAsia="仿宋" w:cs="Times New Roman"/>
          <w:color w:val="auto"/>
          <w:sz w:val="24"/>
          <w:szCs w:val="24"/>
          <w:highlight w:val="none"/>
          <w:lang w:val="en-US" w:eastAsia="zh-CN"/>
        </w:rPr>
        <w:t>.1</w:t>
      </w:r>
      <w:r>
        <w:rPr>
          <w:rFonts w:hint="eastAsia" w:ascii="仿宋" w:hAnsi="仿宋" w:eastAsia="仿宋" w:cs="Times New Roman"/>
          <w:color w:val="auto"/>
          <w:sz w:val="24"/>
          <w:szCs w:val="24"/>
          <w:highlight w:val="none"/>
        </w:rPr>
        <w:t xml:space="preserve"> </w:t>
      </w:r>
      <w:r>
        <w:rPr>
          <w:rFonts w:hint="eastAsia" w:ascii="仿宋" w:hAnsi="仿宋" w:eastAsia="仿宋" w:cs="Times New Roman"/>
          <w:b/>
          <w:color w:val="auto"/>
          <w:sz w:val="24"/>
          <w:szCs w:val="24"/>
          <w:highlight w:val="none"/>
        </w:rPr>
        <w:t>第一笔付款</w:t>
      </w:r>
    </w:p>
    <w:p w14:paraId="2B4DEE83">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Times New Roman"/>
          <w:color w:val="auto"/>
          <w:sz w:val="24"/>
          <w:szCs w:val="24"/>
          <w:highlight w:val="none"/>
        </w:rPr>
        <w:t>项目启动（T日）且乙方项目组正式成立、提交项目全部采购内容的工作计划并经甲方认可，且甲方收到乙方提供的书面付款通知、与本阶段付款金额等值的增值税专用发票后1</w:t>
      </w:r>
      <w:r>
        <w:rPr>
          <w:rFonts w:ascii="仿宋" w:hAnsi="仿宋" w:eastAsia="仿宋" w:cs="Times New Roman"/>
          <w:color w:val="auto"/>
          <w:sz w:val="24"/>
          <w:szCs w:val="24"/>
          <w:highlight w:val="none"/>
        </w:rPr>
        <w:t>0个工作日内</w:t>
      </w:r>
      <w:r>
        <w:rPr>
          <w:rFonts w:hint="eastAsia" w:ascii="仿宋" w:hAnsi="仿宋" w:eastAsia="仿宋" w:cs="Times New Roman"/>
          <w:color w:val="auto"/>
          <w:sz w:val="24"/>
          <w:szCs w:val="24"/>
          <w:highlight w:val="none"/>
        </w:rPr>
        <w:t>，</w:t>
      </w:r>
      <w:r>
        <w:rPr>
          <w:rFonts w:ascii="仿宋" w:hAnsi="仿宋" w:eastAsia="仿宋" w:cs="Times New Roman"/>
          <w:color w:val="auto"/>
          <w:sz w:val="24"/>
          <w:szCs w:val="24"/>
          <w:highlight w:val="none"/>
        </w:rPr>
        <w:t>向乙方支付合同</w:t>
      </w:r>
      <w:r>
        <w:rPr>
          <w:rFonts w:hint="eastAsia" w:ascii="仿宋" w:hAnsi="仿宋" w:eastAsia="仿宋" w:cs="Times New Roman"/>
          <w:color w:val="auto"/>
          <w:sz w:val="24"/>
          <w:szCs w:val="24"/>
          <w:highlight w:val="none"/>
          <w:lang w:val="en-US" w:eastAsia="zh-CN"/>
        </w:rPr>
        <w:t>数据实时监测开发服务</w:t>
      </w:r>
      <w:r>
        <w:rPr>
          <w:rFonts w:ascii="仿宋" w:hAnsi="仿宋" w:eastAsia="仿宋" w:cs="Times New Roman"/>
          <w:color w:val="auto"/>
          <w:sz w:val="24"/>
          <w:szCs w:val="24"/>
          <w:highlight w:val="none"/>
        </w:rPr>
        <w:t>金额的</w:t>
      </w:r>
      <w:r>
        <w:rPr>
          <w:rFonts w:hint="eastAsia" w:ascii="仿宋" w:hAnsi="仿宋" w:eastAsia="仿宋" w:cs="Times New Roman"/>
          <w:color w:val="auto"/>
          <w:sz w:val="24"/>
          <w:szCs w:val="24"/>
          <w:highlight w:val="none"/>
          <w:u w:val="single"/>
        </w:rPr>
        <w:t xml:space="preserve"> </w:t>
      </w:r>
      <w:r>
        <w:rPr>
          <w:rFonts w:hint="default" w:ascii="仿宋" w:hAnsi="仿宋" w:eastAsia="仿宋" w:cs="Times New Roman"/>
          <w:color w:val="auto"/>
          <w:sz w:val="24"/>
          <w:szCs w:val="24"/>
          <w:highlight w:val="none"/>
          <w:u w:val="single"/>
          <w:lang w:val="en-US"/>
        </w:rPr>
        <w:t xml:space="preserve"> </w:t>
      </w:r>
      <w:r>
        <w:rPr>
          <w:rFonts w:hint="eastAsia" w:ascii="仿宋" w:hAnsi="仿宋" w:eastAsia="仿宋" w:cs="Times New Roman"/>
          <w:color w:val="auto"/>
          <w:sz w:val="24"/>
          <w:szCs w:val="24"/>
          <w:highlight w:val="none"/>
          <w:u w:val="single"/>
          <w:lang w:val="en-US" w:eastAsia="zh-CN"/>
        </w:rPr>
        <w:t>30</w:t>
      </w:r>
      <w:r>
        <w:rPr>
          <w:rFonts w:hint="default" w:ascii="仿宋" w:hAnsi="仿宋" w:eastAsia="仿宋" w:cs="Times New Roman"/>
          <w:color w:val="auto"/>
          <w:sz w:val="24"/>
          <w:szCs w:val="24"/>
          <w:highlight w:val="none"/>
          <w:u w:val="single"/>
          <w:lang w:val="en-US"/>
        </w:rPr>
        <w:t xml:space="preserve"> </w:t>
      </w:r>
      <w:r>
        <w:rPr>
          <w:rFonts w:hint="eastAsia" w:ascii="仿宋" w:hAnsi="仿宋" w:eastAsia="仿宋" w:cs="Times New Roman"/>
          <w:color w:val="auto"/>
          <w:sz w:val="24"/>
          <w:szCs w:val="24"/>
          <w:highlight w:val="none"/>
          <w:u w:val="single"/>
        </w:rPr>
        <w:t xml:space="preserve"> </w:t>
      </w:r>
      <w:r>
        <w:rPr>
          <w:rFonts w:ascii="仿宋" w:hAnsi="仿宋" w:eastAsia="仿宋" w:cs="Times New Roman"/>
          <w:color w:val="auto"/>
          <w:sz w:val="24"/>
          <w:szCs w:val="24"/>
          <w:highlight w:val="none"/>
        </w:rPr>
        <w:t>%，</w:t>
      </w:r>
      <w:r>
        <w:rPr>
          <w:rFonts w:hint="eastAsia" w:ascii="仿宋" w:hAnsi="仿宋" w:eastAsia="仿宋" w:cs="仿宋_GB2312"/>
          <w:color w:val="auto"/>
          <w:sz w:val="24"/>
          <w:szCs w:val="24"/>
          <w:highlight w:val="none"/>
        </w:rPr>
        <w:t>即人民币</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元整（大写：</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圆整）（含税），不含税金额</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、税额</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税率</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w:t>
      </w:r>
    </w:p>
    <w:p w14:paraId="25CF68B2">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3.2.</w:t>
      </w:r>
      <w:r>
        <w:rPr>
          <w:rFonts w:hint="eastAsia" w:ascii="仿宋" w:hAnsi="仿宋" w:eastAsia="仿宋" w:cs="仿宋_GB2312"/>
          <w:color w:val="auto"/>
          <w:sz w:val="24"/>
          <w:szCs w:val="24"/>
          <w:highlight w:val="none"/>
          <w:lang w:val="en-US" w:eastAsia="zh-CN"/>
        </w:rPr>
        <w:t>1.</w:t>
      </w:r>
      <w:r>
        <w:rPr>
          <w:rFonts w:hint="eastAsia" w:ascii="仿宋" w:hAnsi="仿宋" w:eastAsia="仿宋" w:cs="仿宋_GB2312"/>
          <w:color w:val="auto"/>
          <w:sz w:val="24"/>
          <w:szCs w:val="24"/>
          <w:highlight w:val="none"/>
        </w:rPr>
        <w:t xml:space="preserve">2 </w:t>
      </w:r>
      <w:r>
        <w:rPr>
          <w:rFonts w:hint="eastAsia" w:ascii="仿宋" w:hAnsi="仿宋" w:eastAsia="仿宋" w:cs="仿宋_GB2312"/>
          <w:b/>
          <w:bCs/>
          <w:color w:val="auto"/>
          <w:sz w:val="24"/>
          <w:szCs w:val="24"/>
          <w:highlight w:val="none"/>
        </w:rPr>
        <w:t>第二笔付款</w:t>
      </w:r>
    </w:p>
    <w:p w14:paraId="233AD651">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乙方项目组提交《项目系统测试报告》、源码、安装介质及安装部署手册，并经甲方技术验收测试通过，双方签署验收合格单，且甲方收到</w:t>
      </w:r>
      <w:r>
        <w:rPr>
          <w:rFonts w:hint="eastAsia" w:ascii="仿宋" w:hAnsi="仿宋" w:eastAsia="仿宋" w:cs="Times New Roman"/>
          <w:color w:val="auto"/>
          <w:sz w:val="24"/>
          <w:szCs w:val="24"/>
          <w:highlight w:val="none"/>
        </w:rPr>
        <w:t>乙方提供的书面付款通知、</w:t>
      </w:r>
      <w:r>
        <w:rPr>
          <w:rFonts w:hint="eastAsia" w:ascii="仿宋" w:hAnsi="仿宋" w:eastAsia="仿宋" w:cs="仿宋_GB2312"/>
          <w:color w:val="auto"/>
          <w:sz w:val="24"/>
          <w:szCs w:val="24"/>
          <w:highlight w:val="none"/>
        </w:rPr>
        <w:t>与本阶段付款金额等值的增值税专用发票后1</w:t>
      </w:r>
      <w:r>
        <w:rPr>
          <w:rFonts w:ascii="仿宋" w:hAnsi="仿宋" w:eastAsia="仿宋" w:cs="仿宋_GB2312"/>
          <w:color w:val="auto"/>
          <w:sz w:val="24"/>
          <w:szCs w:val="24"/>
          <w:highlight w:val="none"/>
        </w:rPr>
        <w:t>0</w:t>
      </w:r>
      <w:r>
        <w:rPr>
          <w:rFonts w:hint="eastAsia" w:ascii="仿宋" w:hAnsi="仿宋" w:eastAsia="仿宋" w:cs="仿宋_GB2312"/>
          <w:color w:val="auto"/>
          <w:sz w:val="24"/>
          <w:szCs w:val="24"/>
          <w:highlight w:val="none"/>
        </w:rPr>
        <w:t>个工作日内，向乙方支付合同</w:t>
      </w:r>
      <w:r>
        <w:rPr>
          <w:rFonts w:hint="eastAsia" w:ascii="仿宋" w:hAnsi="仿宋" w:eastAsia="仿宋" w:cs="Times New Roman"/>
          <w:color w:val="auto"/>
          <w:sz w:val="24"/>
          <w:szCs w:val="24"/>
          <w:highlight w:val="none"/>
          <w:lang w:val="en-US" w:eastAsia="zh-CN"/>
        </w:rPr>
        <w:t>数据实时监测开发服务</w:t>
      </w:r>
      <w:r>
        <w:rPr>
          <w:rFonts w:hint="eastAsia" w:ascii="仿宋" w:hAnsi="仿宋" w:eastAsia="仿宋" w:cs="仿宋_GB2312"/>
          <w:color w:val="auto"/>
          <w:sz w:val="24"/>
          <w:szCs w:val="24"/>
          <w:highlight w:val="none"/>
          <w:lang w:eastAsia="zh-Hans"/>
        </w:rPr>
        <w:t>金额</w:t>
      </w:r>
      <w:r>
        <w:rPr>
          <w:rFonts w:hint="eastAsia" w:ascii="仿宋" w:hAnsi="仿宋" w:eastAsia="仿宋" w:cs="仿宋_GB2312"/>
          <w:color w:val="auto"/>
          <w:sz w:val="24"/>
          <w:szCs w:val="24"/>
          <w:highlight w:val="none"/>
        </w:rPr>
        <w:t>的</w:t>
      </w:r>
      <w:r>
        <w:rPr>
          <w:rFonts w:hint="eastAsia" w:ascii="仿宋" w:hAnsi="仿宋" w:eastAsia="仿宋" w:cs="Times New Roman"/>
          <w:color w:val="auto"/>
          <w:sz w:val="24"/>
          <w:szCs w:val="24"/>
          <w:highlight w:val="none"/>
          <w:u w:val="single"/>
        </w:rPr>
        <w:t xml:space="preserve">  </w:t>
      </w:r>
      <w:r>
        <w:rPr>
          <w:rFonts w:hint="eastAsia" w:ascii="仿宋" w:hAnsi="仿宋" w:eastAsia="仿宋" w:cs="Times New Roman"/>
          <w:color w:val="auto"/>
          <w:sz w:val="24"/>
          <w:szCs w:val="24"/>
          <w:highlight w:val="none"/>
          <w:u w:val="single"/>
          <w:lang w:val="en-US" w:eastAsia="zh-CN"/>
        </w:rPr>
        <w:t>30</w:t>
      </w:r>
      <w:r>
        <w:rPr>
          <w:rFonts w:hint="eastAsia" w:ascii="仿宋" w:hAnsi="仿宋" w:eastAsia="仿宋" w:cs="Times New Roman"/>
          <w:color w:val="auto"/>
          <w:sz w:val="24"/>
          <w:szCs w:val="24"/>
          <w:highlight w:val="none"/>
          <w:u w:val="single"/>
        </w:rPr>
        <w:t xml:space="preserve">  </w:t>
      </w:r>
      <w:r>
        <w:rPr>
          <w:rFonts w:ascii="仿宋" w:hAnsi="仿宋" w:eastAsia="仿宋" w:cs="Times New Roman"/>
          <w:color w:val="auto"/>
          <w:sz w:val="24"/>
          <w:szCs w:val="24"/>
          <w:highlight w:val="none"/>
        </w:rPr>
        <w:t>%，</w:t>
      </w:r>
      <w:r>
        <w:rPr>
          <w:rFonts w:hint="eastAsia" w:ascii="仿宋" w:hAnsi="仿宋" w:eastAsia="仿宋" w:cs="仿宋_GB2312"/>
          <w:color w:val="auto"/>
          <w:sz w:val="24"/>
          <w:szCs w:val="24"/>
          <w:highlight w:val="none"/>
        </w:rPr>
        <w:t>即人民币</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元整（大写：</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圆整）（含税），不含税金额</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、税额</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税率</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w:t>
      </w:r>
    </w:p>
    <w:p w14:paraId="605EB104">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3.2.</w:t>
      </w:r>
      <w:r>
        <w:rPr>
          <w:rFonts w:hint="eastAsia" w:ascii="仿宋" w:hAnsi="仿宋" w:eastAsia="仿宋" w:cs="仿宋_GB2312"/>
          <w:color w:val="auto"/>
          <w:sz w:val="24"/>
          <w:szCs w:val="24"/>
          <w:highlight w:val="none"/>
          <w:lang w:val="en-US" w:eastAsia="zh-CN"/>
        </w:rPr>
        <w:t>1.</w:t>
      </w:r>
      <w:r>
        <w:rPr>
          <w:rFonts w:hint="eastAsia" w:ascii="仿宋" w:hAnsi="仿宋" w:eastAsia="仿宋" w:cs="仿宋_GB2312"/>
          <w:color w:val="auto"/>
          <w:sz w:val="24"/>
          <w:szCs w:val="24"/>
          <w:highlight w:val="none"/>
        </w:rPr>
        <w:t xml:space="preserve">3 </w:t>
      </w:r>
      <w:r>
        <w:rPr>
          <w:rFonts w:hint="eastAsia" w:ascii="仿宋" w:hAnsi="仿宋" w:eastAsia="仿宋" w:cs="仿宋_GB2312"/>
          <w:b/>
          <w:bCs/>
          <w:color w:val="auto"/>
          <w:sz w:val="24"/>
          <w:szCs w:val="24"/>
          <w:highlight w:val="none"/>
        </w:rPr>
        <w:t>第三笔付款</w:t>
      </w:r>
    </w:p>
    <w:p w14:paraId="0085769C">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u w:val="single"/>
        </w:rPr>
      </w:pPr>
      <w:r>
        <w:rPr>
          <w:rFonts w:hint="eastAsia" w:ascii="仿宋" w:hAnsi="仿宋" w:eastAsia="仿宋" w:cs="仿宋_GB2312"/>
          <w:color w:val="auto"/>
          <w:sz w:val="24"/>
          <w:szCs w:val="24"/>
          <w:highlight w:val="none"/>
        </w:rPr>
        <w:t>乙方项目组提交相关技术文档和源程序代码等全部交付物，并对甲方人员进行应用系统培训，且项目上线稳定运行满90个日历日后通过甲方初验，双方签署验收合格单，且甲方收到</w:t>
      </w:r>
      <w:r>
        <w:rPr>
          <w:rFonts w:hint="eastAsia" w:ascii="仿宋" w:hAnsi="仿宋" w:eastAsia="仿宋" w:cs="Times New Roman"/>
          <w:color w:val="auto"/>
          <w:sz w:val="24"/>
          <w:szCs w:val="24"/>
          <w:highlight w:val="none"/>
        </w:rPr>
        <w:t>乙方提供的书面付款通知、</w:t>
      </w:r>
      <w:r>
        <w:rPr>
          <w:rFonts w:hint="eastAsia" w:ascii="仿宋" w:hAnsi="仿宋" w:eastAsia="仿宋" w:cs="仿宋_GB2312"/>
          <w:color w:val="auto"/>
          <w:sz w:val="24"/>
          <w:szCs w:val="24"/>
          <w:highlight w:val="none"/>
        </w:rPr>
        <w:t>与本阶段付款金额等值的增值税专用发票后1</w:t>
      </w:r>
      <w:r>
        <w:rPr>
          <w:rFonts w:ascii="仿宋" w:hAnsi="仿宋" w:eastAsia="仿宋" w:cs="仿宋_GB2312"/>
          <w:color w:val="auto"/>
          <w:sz w:val="24"/>
          <w:szCs w:val="24"/>
          <w:highlight w:val="none"/>
        </w:rPr>
        <w:t>0</w:t>
      </w:r>
      <w:r>
        <w:rPr>
          <w:rFonts w:hint="eastAsia" w:ascii="仿宋" w:hAnsi="仿宋" w:eastAsia="仿宋" w:cs="仿宋_GB2312"/>
          <w:color w:val="auto"/>
          <w:sz w:val="24"/>
          <w:szCs w:val="24"/>
          <w:highlight w:val="none"/>
        </w:rPr>
        <w:t>个工作日内，向乙方支付合同</w:t>
      </w:r>
      <w:r>
        <w:rPr>
          <w:rFonts w:hint="eastAsia" w:ascii="仿宋" w:hAnsi="仿宋" w:eastAsia="仿宋" w:cs="Times New Roman"/>
          <w:color w:val="auto"/>
          <w:sz w:val="24"/>
          <w:szCs w:val="24"/>
          <w:highlight w:val="none"/>
          <w:lang w:val="en-US" w:eastAsia="zh-CN"/>
        </w:rPr>
        <w:t>数据实时监测开发服务</w:t>
      </w:r>
      <w:r>
        <w:rPr>
          <w:rFonts w:hint="eastAsia" w:ascii="仿宋" w:hAnsi="仿宋" w:eastAsia="仿宋" w:cs="仿宋_GB2312"/>
          <w:color w:val="auto"/>
          <w:sz w:val="24"/>
          <w:szCs w:val="24"/>
          <w:highlight w:val="none"/>
          <w:lang w:eastAsia="zh-Hans"/>
        </w:rPr>
        <w:t>金额</w:t>
      </w:r>
      <w:r>
        <w:rPr>
          <w:rFonts w:hint="eastAsia" w:ascii="仿宋" w:hAnsi="仿宋" w:eastAsia="仿宋" w:cs="仿宋_GB2312"/>
          <w:color w:val="auto"/>
          <w:sz w:val="24"/>
          <w:szCs w:val="24"/>
          <w:highlight w:val="none"/>
        </w:rPr>
        <w:t>的</w:t>
      </w:r>
      <w:r>
        <w:rPr>
          <w:rFonts w:hint="eastAsia" w:ascii="仿宋" w:hAnsi="仿宋" w:eastAsia="仿宋" w:cs="Times New Roman"/>
          <w:color w:val="auto"/>
          <w:sz w:val="24"/>
          <w:szCs w:val="24"/>
          <w:highlight w:val="none"/>
          <w:u w:val="single"/>
        </w:rPr>
        <w:t xml:space="preserve"> </w:t>
      </w:r>
      <w:r>
        <w:rPr>
          <w:rFonts w:hint="default" w:ascii="仿宋" w:hAnsi="仿宋" w:eastAsia="仿宋" w:cs="Times New Roman"/>
          <w:color w:val="auto"/>
          <w:sz w:val="24"/>
          <w:szCs w:val="24"/>
          <w:highlight w:val="none"/>
          <w:u w:val="single"/>
          <w:lang w:val="en-US"/>
        </w:rPr>
        <w:t xml:space="preserve"> </w:t>
      </w:r>
      <w:r>
        <w:rPr>
          <w:rFonts w:hint="eastAsia" w:ascii="仿宋" w:hAnsi="仿宋" w:eastAsia="仿宋" w:cs="Times New Roman"/>
          <w:color w:val="auto"/>
          <w:sz w:val="24"/>
          <w:szCs w:val="24"/>
          <w:highlight w:val="none"/>
          <w:u w:val="single"/>
          <w:lang w:val="en-US" w:eastAsia="zh-CN"/>
        </w:rPr>
        <w:t>30</w:t>
      </w:r>
      <w:r>
        <w:rPr>
          <w:rFonts w:hint="default" w:ascii="仿宋" w:hAnsi="仿宋" w:eastAsia="仿宋" w:cs="Times New Roman"/>
          <w:color w:val="auto"/>
          <w:sz w:val="24"/>
          <w:szCs w:val="24"/>
          <w:highlight w:val="none"/>
          <w:u w:val="single"/>
          <w:lang w:val="en-US"/>
        </w:rPr>
        <w:t xml:space="preserve"> </w:t>
      </w:r>
      <w:r>
        <w:rPr>
          <w:rFonts w:hint="eastAsia" w:ascii="仿宋" w:hAnsi="仿宋" w:eastAsia="仿宋" w:cs="Times New Roman"/>
          <w:color w:val="auto"/>
          <w:sz w:val="24"/>
          <w:szCs w:val="24"/>
          <w:highlight w:val="none"/>
          <w:u w:val="single"/>
        </w:rPr>
        <w:t xml:space="preserve"> </w:t>
      </w:r>
      <w:r>
        <w:rPr>
          <w:rFonts w:ascii="仿宋" w:hAnsi="仿宋" w:eastAsia="仿宋" w:cs="Times New Roman"/>
          <w:color w:val="auto"/>
          <w:sz w:val="24"/>
          <w:szCs w:val="24"/>
          <w:highlight w:val="none"/>
        </w:rPr>
        <w:t>%，</w:t>
      </w:r>
      <w:r>
        <w:rPr>
          <w:rFonts w:hint="eastAsia" w:ascii="仿宋" w:hAnsi="仿宋" w:eastAsia="仿宋" w:cs="仿宋_GB2312"/>
          <w:color w:val="auto"/>
          <w:sz w:val="24"/>
          <w:szCs w:val="24"/>
          <w:highlight w:val="none"/>
        </w:rPr>
        <w:t>即人民币</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元整（大写：</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圆整）（含税），不含税金额</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、税额</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税率</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w:t>
      </w:r>
    </w:p>
    <w:p w14:paraId="3BB7AA7C">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3.2.</w:t>
      </w:r>
      <w:r>
        <w:rPr>
          <w:rFonts w:hint="eastAsia" w:ascii="仿宋" w:hAnsi="仿宋" w:eastAsia="仿宋" w:cs="仿宋_GB2312"/>
          <w:color w:val="auto"/>
          <w:sz w:val="24"/>
          <w:szCs w:val="24"/>
          <w:highlight w:val="none"/>
          <w:lang w:val="en-US" w:eastAsia="zh-CN"/>
        </w:rPr>
        <w:t>1.</w:t>
      </w:r>
      <w:r>
        <w:rPr>
          <w:rFonts w:hint="eastAsia" w:ascii="仿宋" w:hAnsi="仿宋" w:eastAsia="仿宋" w:cs="仿宋_GB2312"/>
          <w:color w:val="auto"/>
          <w:sz w:val="24"/>
          <w:szCs w:val="24"/>
          <w:highlight w:val="none"/>
        </w:rPr>
        <w:t xml:space="preserve">3 </w:t>
      </w:r>
      <w:r>
        <w:rPr>
          <w:rFonts w:hint="eastAsia" w:ascii="仿宋" w:hAnsi="仿宋" w:eastAsia="仿宋" w:cs="仿宋_GB2312"/>
          <w:b/>
          <w:bCs/>
          <w:color w:val="auto"/>
          <w:sz w:val="24"/>
          <w:szCs w:val="24"/>
          <w:highlight w:val="none"/>
        </w:rPr>
        <w:t>第四笔付款</w:t>
      </w:r>
    </w:p>
    <w:p w14:paraId="5B501669">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初验验收通过后进入免费维保期，通过甲方验收后，双方签署《期满验收合格单》，且甲方收到乙方提供的</w:t>
      </w:r>
      <w:r>
        <w:rPr>
          <w:rFonts w:hint="eastAsia" w:ascii="仿宋" w:hAnsi="仿宋" w:eastAsia="仿宋" w:cs="Times New Roman"/>
          <w:color w:val="auto"/>
          <w:sz w:val="24"/>
          <w:szCs w:val="24"/>
          <w:highlight w:val="none"/>
        </w:rPr>
        <w:t>书面付款通知、</w:t>
      </w:r>
      <w:r>
        <w:rPr>
          <w:rFonts w:hint="eastAsia" w:ascii="仿宋" w:hAnsi="仿宋" w:eastAsia="仿宋" w:cs="仿宋_GB2312"/>
          <w:color w:val="auto"/>
          <w:sz w:val="24"/>
          <w:szCs w:val="24"/>
          <w:highlight w:val="none"/>
        </w:rPr>
        <w:t>与本阶段付款金额等值的增值税专用发票后1</w:t>
      </w:r>
      <w:r>
        <w:rPr>
          <w:rFonts w:ascii="仿宋" w:hAnsi="仿宋" w:eastAsia="仿宋" w:cs="仿宋_GB2312"/>
          <w:color w:val="auto"/>
          <w:sz w:val="24"/>
          <w:szCs w:val="24"/>
          <w:highlight w:val="none"/>
        </w:rPr>
        <w:t>0</w:t>
      </w:r>
      <w:r>
        <w:rPr>
          <w:rFonts w:hint="eastAsia" w:ascii="仿宋" w:hAnsi="仿宋" w:eastAsia="仿宋" w:cs="仿宋_GB2312"/>
          <w:color w:val="auto"/>
          <w:sz w:val="24"/>
          <w:szCs w:val="24"/>
          <w:highlight w:val="none"/>
        </w:rPr>
        <w:t>个工作日内，向乙方支付合同</w:t>
      </w:r>
      <w:r>
        <w:rPr>
          <w:rFonts w:hint="eastAsia" w:ascii="仿宋" w:hAnsi="仿宋" w:eastAsia="仿宋" w:cs="Times New Roman"/>
          <w:color w:val="auto"/>
          <w:sz w:val="24"/>
          <w:szCs w:val="24"/>
          <w:highlight w:val="none"/>
          <w:lang w:val="en-US" w:eastAsia="zh-CN"/>
        </w:rPr>
        <w:t>数据实时监测开发服务</w:t>
      </w:r>
      <w:r>
        <w:rPr>
          <w:rFonts w:hint="eastAsia" w:ascii="仿宋" w:hAnsi="仿宋" w:eastAsia="仿宋" w:cs="仿宋_GB2312"/>
          <w:color w:val="auto"/>
          <w:sz w:val="24"/>
          <w:szCs w:val="24"/>
          <w:highlight w:val="none"/>
          <w:lang w:eastAsia="zh-Hans"/>
        </w:rPr>
        <w:t>金额</w:t>
      </w:r>
      <w:r>
        <w:rPr>
          <w:rFonts w:hint="eastAsia" w:ascii="仿宋" w:hAnsi="仿宋" w:eastAsia="仿宋" w:cs="仿宋_GB2312"/>
          <w:color w:val="auto"/>
          <w:sz w:val="24"/>
          <w:szCs w:val="24"/>
          <w:highlight w:val="none"/>
        </w:rPr>
        <w:t>的</w:t>
      </w:r>
      <w:r>
        <w:rPr>
          <w:rFonts w:hint="eastAsia" w:ascii="仿宋" w:hAnsi="仿宋" w:eastAsia="仿宋" w:cs="Times New Roman"/>
          <w:color w:val="auto"/>
          <w:sz w:val="24"/>
          <w:szCs w:val="24"/>
          <w:highlight w:val="none"/>
          <w:u w:val="single"/>
        </w:rPr>
        <w:t xml:space="preserve"> </w:t>
      </w:r>
      <w:r>
        <w:rPr>
          <w:rFonts w:hint="default" w:ascii="仿宋" w:hAnsi="仿宋" w:eastAsia="仿宋" w:cs="Times New Roman"/>
          <w:color w:val="auto"/>
          <w:sz w:val="24"/>
          <w:szCs w:val="24"/>
          <w:highlight w:val="none"/>
          <w:u w:val="single"/>
          <w:lang w:val="en-US"/>
        </w:rPr>
        <w:t xml:space="preserve"> </w:t>
      </w:r>
      <w:r>
        <w:rPr>
          <w:rFonts w:hint="eastAsia" w:ascii="仿宋" w:hAnsi="仿宋" w:eastAsia="仿宋" w:cs="Times New Roman"/>
          <w:color w:val="auto"/>
          <w:sz w:val="24"/>
          <w:szCs w:val="24"/>
          <w:highlight w:val="none"/>
          <w:u w:val="single"/>
          <w:lang w:val="en-US" w:eastAsia="zh-CN"/>
        </w:rPr>
        <w:t>10</w:t>
      </w:r>
      <w:r>
        <w:rPr>
          <w:rFonts w:hint="default" w:ascii="仿宋" w:hAnsi="仿宋" w:eastAsia="仿宋" w:cs="Times New Roman"/>
          <w:color w:val="auto"/>
          <w:sz w:val="24"/>
          <w:szCs w:val="24"/>
          <w:highlight w:val="none"/>
          <w:u w:val="single"/>
          <w:lang w:val="en-US"/>
        </w:rPr>
        <w:t xml:space="preserve"> </w:t>
      </w:r>
      <w:r>
        <w:rPr>
          <w:rFonts w:hint="eastAsia" w:ascii="仿宋" w:hAnsi="仿宋" w:eastAsia="仿宋" w:cs="Times New Roman"/>
          <w:color w:val="auto"/>
          <w:sz w:val="24"/>
          <w:szCs w:val="24"/>
          <w:highlight w:val="none"/>
          <w:u w:val="single"/>
        </w:rPr>
        <w:t xml:space="preserve"> </w:t>
      </w:r>
      <w:r>
        <w:rPr>
          <w:rFonts w:ascii="仿宋" w:hAnsi="仿宋" w:eastAsia="仿宋" w:cs="Times New Roman"/>
          <w:color w:val="auto"/>
          <w:sz w:val="24"/>
          <w:szCs w:val="24"/>
          <w:highlight w:val="none"/>
        </w:rPr>
        <w:t>%，</w:t>
      </w:r>
      <w:r>
        <w:rPr>
          <w:rFonts w:hint="eastAsia" w:ascii="仿宋" w:hAnsi="仿宋" w:eastAsia="仿宋" w:cs="仿宋_GB2312"/>
          <w:color w:val="auto"/>
          <w:sz w:val="24"/>
          <w:szCs w:val="24"/>
          <w:highlight w:val="none"/>
        </w:rPr>
        <w:t>即人民币</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元整（大写：</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圆整）（含税），不含税金额</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、税额</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税率</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w:t>
      </w:r>
    </w:p>
    <w:p w14:paraId="7DE4E383">
      <w:pPr>
        <w:widowControl/>
        <w:autoSpaceDE w:val="0"/>
        <w:autoSpaceDN w:val="0"/>
        <w:spacing w:line="420" w:lineRule="exact"/>
        <w:ind w:firstLine="480" w:firstLineChars="200"/>
        <w:textAlignment w:val="bottom"/>
        <w:rPr>
          <w:rFonts w:hint="default" w:ascii="仿宋" w:hAnsi="仿宋" w:eastAsia="仿宋" w:cs="Times New Roman"/>
          <w:color w:val="auto"/>
          <w:sz w:val="24"/>
          <w:szCs w:val="24"/>
          <w:highlight w:val="none"/>
          <w:lang w:val="en-US" w:eastAsia="zh-CN"/>
        </w:rPr>
      </w:pPr>
      <w:r>
        <w:rPr>
          <w:rFonts w:hint="eastAsia" w:ascii="仿宋" w:hAnsi="仿宋" w:eastAsia="仿宋" w:cs="Times New Roman"/>
          <w:color w:val="auto"/>
          <w:sz w:val="24"/>
          <w:szCs w:val="24"/>
          <w:highlight w:val="none"/>
        </w:rPr>
        <w:t>3.2.</w:t>
      </w:r>
      <w:r>
        <w:rPr>
          <w:rFonts w:hint="eastAsia" w:ascii="仿宋" w:hAnsi="仿宋" w:eastAsia="仿宋" w:cs="Times New Roman"/>
          <w:color w:val="auto"/>
          <w:sz w:val="24"/>
          <w:szCs w:val="24"/>
          <w:highlight w:val="none"/>
          <w:lang w:val="en-US" w:eastAsia="zh-CN"/>
        </w:rPr>
        <w:t xml:space="preserve">2 </w:t>
      </w:r>
      <w:r>
        <w:rPr>
          <w:rFonts w:hint="eastAsia" w:ascii="仿宋" w:hAnsi="仿宋" w:eastAsia="仿宋" w:cs="Times New Roman"/>
          <w:color w:val="auto"/>
          <w:sz w:val="24"/>
          <w:szCs w:val="24"/>
          <w:highlight w:val="none"/>
        </w:rPr>
        <w:t>数据同步软件</w:t>
      </w:r>
      <w:r>
        <w:rPr>
          <w:rFonts w:hint="eastAsia" w:ascii="仿宋" w:hAnsi="仿宋" w:eastAsia="仿宋" w:cs="Times New Roman"/>
          <w:color w:val="auto"/>
          <w:sz w:val="24"/>
          <w:szCs w:val="24"/>
          <w:highlight w:val="none"/>
          <w:lang w:val="en-US" w:eastAsia="zh-CN"/>
        </w:rPr>
        <w:t>部分</w:t>
      </w:r>
    </w:p>
    <w:p w14:paraId="2ACD5104">
      <w:pPr>
        <w:widowControl/>
        <w:autoSpaceDE w:val="0"/>
        <w:autoSpaceDN w:val="0"/>
        <w:spacing w:line="420" w:lineRule="exact"/>
        <w:ind w:firstLine="480" w:firstLineChars="200"/>
        <w:textAlignment w:val="bottom"/>
        <w:rPr>
          <w:rFonts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3.2.</w:t>
      </w:r>
      <w:r>
        <w:rPr>
          <w:rFonts w:hint="eastAsia" w:ascii="仿宋" w:hAnsi="仿宋" w:eastAsia="仿宋" w:cs="Times New Roman"/>
          <w:color w:val="auto"/>
          <w:sz w:val="24"/>
          <w:szCs w:val="24"/>
          <w:highlight w:val="none"/>
          <w:lang w:val="en-US" w:eastAsia="zh-CN"/>
        </w:rPr>
        <w:t>2.1</w:t>
      </w:r>
      <w:r>
        <w:rPr>
          <w:rFonts w:hint="eastAsia" w:ascii="仿宋" w:hAnsi="仿宋" w:eastAsia="仿宋" w:cs="Times New Roman"/>
          <w:color w:val="auto"/>
          <w:sz w:val="24"/>
          <w:szCs w:val="24"/>
          <w:highlight w:val="none"/>
        </w:rPr>
        <w:t xml:space="preserve"> </w:t>
      </w:r>
      <w:r>
        <w:rPr>
          <w:rFonts w:hint="eastAsia" w:ascii="仿宋" w:hAnsi="仿宋" w:eastAsia="仿宋" w:cs="Times New Roman"/>
          <w:b/>
          <w:color w:val="auto"/>
          <w:sz w:val="24"/>
          <w:szCs w:val="24"/>
          <w:highlight w:val="none"/>
        </w:rPr>
        <w:t>第一笔付款</w:t>
      </w:r>
    </w:p>
    <w:p w14:paraId="761343E0">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Times New Roman"/>
          <w:color w:val="auto"/>
          <w:sz w:val="24"/>
          <w:szCs w:val="24"/>
          <w:highlight w:val="none"/>
        </w:rPr>
        <w:t>合同签订后，乙方出具原厂商开具的《软件授权使用函》，且甲方收到乙方提供的书面付款通知、与本阶段付款金额等值的增值税专用发票后1</w:t>
      </w:r>
      <w:r>
        <w:rPr>
          <w:rFonts w:ascii="仿宋" w:hAnsi="仿宋" w:eastAsia="仿宋" w:cs="Times New Roman"/>
          <w:color w:val="auto"/>
          <w:sz w:val="24"/>
          <w:szCs w:val="24"/>
          <w:highlight w:val="none"/>
        </w:rPr>
        <w:t>0个工作日内</w:t>
      </w:r>
      <w:r>
        <w:rPr>
          <w:rFonts w:hint="eastAsia" w:ascii="仿宋" w:hAnsi="仿宋" w:eastAsia="仿宋" w:cs="Times New Roman"/>
          <w:color w:val="auto"/>
          <w:sz w:val="24"/>
          <w:szCs w:val="24"/>
          <w:highlight w:val="none"/>
        </w:rPr>
        <w:t>，</w:t>
      </w:r>
      <w:r>
        <w:rPr>
          <w:rFonts w:ascii="仿宋" w:hAnsi="仿宋" w:eastAsia="仿宋" w:cs="Times New Roman"/>
          <w:color w:val="auto"/>
          <w:sz w:val="24"/>
          <w:szCs w:val="24"/>
          <w:highlight w:val="none"/>
        </w:rPr>
        <w:t>向乙方支付合同</w:t>
      </w:r>
      <w:r>
        <w:rPr>
          <w:rFonts w:hint="eastAsia" w:ascii="仿宋" w:hAnsi="仿宋" w:eastAsia="仿宋" w:cs="Times New Roman"/>
          <w:color w:val="auto"/>
          <w:sz w:val="24"/>
          <w:szCs w:val="24"/>
          <w:highlight w:val="none"/>
        </w:rPr>
        <w:t>数据同步软件</w:t>
      </w:r>
      <w:r>
        <w:rPr>
          <w:rFonts w:ascii="仿宋" w:hAnsi="仿宋" w:eastAsia="仿宋" w:cs="Times New Roman"/>
          <w:color w:val="auto"/>
          <w:sz w:val="24"/>
          <w:szCs w:val="24"/>
          <w:highlight w:val="none"/>
        </w:rPr>
        <w:t>金额的</w:t>
      </w:r>
      <w:r>
        <w:rPr>
          <w:rFonts w:hint="eastAsia" w:ascii="仿宋" w:hAnsi="仿宋" w:eastAsia="仿宋" w:cs="Times New Roman"/>
          <w:color w:val="auto"/>
          <w:sz w:val="24"/>
          <w:szCs w:val="24"/>
          <w:highlight w:val="none"/>
          <w:u w:val="single"/>
        </w:rPr>
        <w:t xml:space="preserve"> </w:t>
      </w:r>
      <w:r>
        <w:rPr>
          <w:rFonts w:hint="default" w:ascii="仿宋" w:hAnsi="仿宋" w:eastAsia="仿宋" w:cs="Times New Roman"/>
          <w:color w:val="auto"/>
          <w:sz w:val="24"/>
          <w:szCs w:val="24"/>
          <w:highlight w:val="none"/>
          <w:u w:val="single"/>
          <w:lang w:val="en-US"/>
        </w:rPr>
        <w:t xml:space="preserve"> </w:t>
      </w:r>
      <w:r>
        <w:rPr>
          <w:rFonts w:hint="eastAsia" w:ascii="仿宋" w:hAnsi="仿宋" w:eastAsia="仿宋" w:cs="Times New Roman"/>
          <w:color w:val="auto"/>
          <w:sz w:val="24"/>
          <w:szCs w:val="24"/>
          <w:highlight w:val="none"/>
          <w:u w:val="single"/>
          <w:lang w:val="en-US" w:eastAsia="zh-CN"/>
        </w:rPr>
        <w:t>60</w:t>
      </w:r>
      <w:r>
        <w:rPr>
          <w:rFonts w:hint="default" w:ascii="仿宋" w:hAnsi="仿宋" w:eastAsia="仿宋" w:cs="Times New Roman"/>
          <w:color w:val="auto"/>
          <w:sz w:val="24"/>
          <w:szCs w:val="24"/>
          <w:highlight w:val="none"/>
          <w:u w:val="single"/>
          <w:lang w:val="en-US"/>
        </w:rPr>
        <w:t xml:space="preserve"> </w:t>
      </w:r>
      <w:r>
        <w:rPr>
          <w:rFonts w:hint="eastAsia" w:ascii="仿宋" w:hAnsi="仿宋" w:eastAsia="仿宋" w:cs="Times New Roman"/>
          <w:color w:val="auto"/>
          <w:sz w:val="24"/>
          <w:szCs w:val="24"/>
          <w:highlight w:val="none"/>
          <w:u w:val="single"/>
        </w:rPr>
        <w:t xml:space="preserve"> </w:t>
      </w:r>
      <w:r>
        <w:rPr>
          <w:rFonts w:ascii="仿宋" w:hAnsi="仿宋" w:eastAsia="仿宋" w:cs="Times New Roman"/>
          <w:color w:val="auto"/>
          <w:sz w:val="24"/>
          <w:szCs w:val="24"/>
          <w:highlight w:val="none"/>
        </w:rPr>
        <w:t>%，</w:t>
      </w:r>
      <w:r>
        <w:rPr>
          <w:rFonts w:hint="eastAsia" w:ascii="仿宋" w:hAnsi="仿宋" w:eastAsia="仿宋" w:cs="仿宋_GB2312"/>
          <w:color w:val="auto"/>
          <w:sz w:val="24"/>
          <w:szCs w:val="24"/>
          <w:highlight w:val="none"/>
        </w:rPr>
        <w:t>即人民币</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元整（大写：</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圆整）（含税），不含税金额</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、税额</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税率</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w:t>
      </w:r>
    </w:p>
    <w:p w14:paraId="62022C47">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3.2.</w:t>
      </w:r>
      <w:r>
        <w:rPr>
          <w:rFonts w:hint="eastAsia" w:ascii="仿宋" w:hAnsi="仿宋" w:eastAsia="仿宋" w:cs="仿宋_GB2312"/>
          <w:color w:val="auto"/>
          <w:sz w:val="24"/>
          <w:szCs w:val="24"/>
          <w:highlight w:val="none"/>
          <w:lang w:val="en-US" w:eastAsia="zh-CN"/>
        </w:rPr>
        <w:t>2.</w:t>
      </w:r>
      <w:r>
        <w:rPr>
          <w:rFonts w:hint="eastAsia" w:ascii="仿宋" w:hAnsi="仿宋" w:eastAsia="仿宋" w:cs="仿宋_GB2312"/>
          <w:color w:val="auto"/>
          <w:sz w:val="24"/>
          <w:szCs w:val="24"/>
          <w:highlight w:val="none"/>
        </w:rPr>
        <w:t xml:space="preserve">2 </w:t>
      </w:r>
      <w:r>
        <w:rPr>
          <w:rFonts w:hint="eastAsia" w:ascii="仿宋" w:hAnsi="仿宋" w:eastAsia="仿宋" w:cs="仿宋_GB2312"/>
          <w:b/>
          <w:bCs/>
          <w:color w:val="auto"/>
          <w:sz w:val="24"/>
          <w:szCs w:val="24"/>
          <w:highlight w:val="none"/>
        </w:rPr>
        <w:t>第二笔付款</w:t>
      </w:r>
    </w:p>
    <w:p w14:paraId="17A72E72">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系统按照部署完成后，乙方项目组提交运维操作手册，甲方验收通过，双方签署验收合格单，且甲方收到</w:t>
      </w:r>
      <w:r>
        <w:rPr>
          <w:rFonts w:hint="eastAsia" w:ascii="仿宋" w:hAnsi="仿宋" w:eastAsia="仿宋" w:cs="Times New Roman"/>
          <w:color w:val="auto"/>
          <w:sz w:val="24"/>
          <w:szCs w:val="24"/>
          <w:highlight w:val="none"/>
        </w:rPr>
        <w:t>乙方提供的书面付款通知、</w:t>
      </w:r>
      <w:r>
        <w:rPr>
          <w:rFonts w:hint="eastAsia" w:ascii="仿宋" w:hAnsi="仿宋" w:eastAsia="仿宋" w:cs="仿宋_GB2312"/>
          <w:color w:val="auto"/>
          <w:sz w:val="24"/>
          <w:szCs w:val="24"/>
          <w:highlight w:val="none"/>
        </w:rPr>
        <w:t>与本阶段付款金额等值的增值税专用发票后1</w:t>
      </w:r>
      <w:r>
        <w:rPr>
          <w:rFonts w:ascii="仿宋" w:hAnsi="仿宋" w:eastAsia="仿宋" w:cs="仿宋_GB2312"/>
          <w:color w:val="auto"/>
          <w:sz w:val="24"/>
          <w:szCs w:val="24"/>
          <w:highlight w:val="none"/>
        </w:rPr>
        <w:t>0</w:t>
      </w:r>
      <w:r>
        <w:rPr>
          <w:rFonts w:hint="eastAsia" w:ascii="仿宋" w:hAnsi="仿宋" w:eastAsia="仿宋" w:cs="仿宋_GB2312"/>
          <w:color w:val="auto"/>
          <w:sz w:val="24"/>
          <w:szCs w:val="24"/>
          <w:highlight w:val="none"/>
        </w:rPr>
        <w:t>个工作日内，向乙方支付合同</w:t>
      </w:r>
      <w:r>
        <w:rPr>
          <w:rFonts w:hint="eastAsia" w:ascii="仿宋" w:hAnsi="仿宋" w:eastAsia="仿宋" w:cs="Times New Roman"/>
          <w:color w:val="auto"/>
          <w:sz w:val="24"/>
          <w:szCs w:val="24"/>
          <w:highlight w:val="none"/>
        </w:rPr>
        <w:t>数据同步软件</w:t>
      </w:r>
      <w:r>
        <w:rPr>
          <w:rFonts w:hint="eastAsia" w:ascii="仿宋" w:hAnsi="仿宋" w:eastAsia="仿宋" w:cs="仿宋_GB2312"/>
          <w:color w:val="auto"/>
          <w:sz w:val="24"/>
          <w:szCs w:val="24"/>
          <w:highlight w:val="none"/>
          <w:lang w:eastAsia="zh-Hans"/>
        </w:rPr>
        <w:t>金额</w:t>
      </w:r>
      <w:r>
        <w:rPr>
          <w:rFonts w:hint="eastAsia" w:ascii="仿宋" w:hAnsi="仿宋" w:eastAsia="仿宋" w:cs="仿宋_GB2312"/>
          <w:color w:val="auto"/>
          <w:sz w:val="24"/>
          <w:szCs w:val="24"/>
          <w:highlight w:val="none"/>
        </w:rPr>
        <w:t>的</w:t>
      </w:r>
      <w:r>
        <w:rPr>
          <w:rFonts w:hint="eastAsia" w:ascii="仿宋" w:hAnsi="仿宋" w:eastAsia="仿宋" w:cs="Times New Roman"/>
          <w:color w:val="auto"/>
          <w:sz w:val="24"/>
          <w:szCs w:val="24"/>
          <w:highlight w:val="none"/>
          <w:u w:val="single"/>
        </w:rPr>
        <w:t xml:space="preserve">  </w:t>
      </w:r>
      <w:r>
        <w:rPr>
          <w:rFonts w:hint="eastAsia" w:ascii="仿宋" w:hAnsi="仿宋" w:eastAsia="仿宋" w:cs="Times New Roman"/>
          <w:color w:val="auto"/>
          <w:sz w:val="24"/>
          <w:szCs w:val="24"/>
          <w:highlight w:val="none"/>
          <w:u w:val="single"/>
          <w:lang w:val="en-US" w:eastAsia="zh-CN"/>
        </w:rPr>
        <w:t>30</w:t>
      </w:r>
      <w:r>
        <w:rPr>
          <w:rFonts w:hint="eastAsia" w:ascii="仿宋" w:hAnsi="仿宋" w:eastAsia="仿宋" w:cs="Times New Roman"/>
          <w:color w:val="auto"/>
          <w:sz w:val="24"/>
          <w:szCs w:val="24"/>
          <w:highlight w:val="none"/>
          <w:u w:val="single"/>
        </w:rPr>
        <w:t xml:space="preserve">  </w:t>
      </w:r>
      <w:r>
        <w:rPr>
          <w:rFonts w:ascii="仿宋" w:hAnsi="仿宋" w:eastAsia="仿宋" w:cs="Times New Roman"/>
          <w:color w:val="auto"/>
          <w:sz w:val="24"/>
          <w:szCs w:val="24"/>
          <w:highlight w:val="none"/>
        </w:rPr>
        <w:t>%，</w:t>
      </w:r>
      <w:r>
        <w:rPr>
          <w:rFonts w:hint="eastAsia" w:ascii="仿宋" w:hAnsi="仿宋" w:eastAsia="仿宋" w:cs="仿宋_GB2312"/>
          <w:color w:val="auto"/>
          <w:sz w:val="24"/>
          <w:szCs w:val="24"/>
          <w:highlight w:val="none"/>
        </w:rPr>
        <w:t>即人民币</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元整（大写：</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圆整）（含税），不含税金额</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、税额</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税率</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w:t>
      </w:r>
    </w:p>
    <w:p w14:paraId="678A4C64">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3.2.</w:t>
      </w:r>
      <w:r>
        <w:rPr>
          <w:rFonts w:hint="eastAsia" w:ascii="仿宋" w:hAnsi="仿宋" w:eastAsia="仿宋" w:cs="仿宋_GB2312"/>
          <w:color w:val="auto"/>
          <w:sz w:val="24"/>
          <w:szCs w:val="24"/>
          <w:highlight w:val="none"/>
          <w:lang w:val="en-US" w:eastAsia="zh-CN"/>
        </w:rPr>
        <w:t>2.</w:t>
      </w:r>
      <w:r>
        <w:rPr>
          <w:rFonts w:hint="eastAsia" w:ascii="仿宋" w:hAnsi="仿宋" w:eastAsia="仿宋" w:cs="仿宋_GB2312"/>
          <w:color w:val="auto"/>
          <w:sz w:val="24"/>
          <w:szCs w:val="24"/>
          <w:highlight w:val="none"/>
        </w:rPr>
        <w:t xml:space="preserve">3 </w:t>
      </w:r>
      <w:r>
        <w:rPr>
          <w:rFonts w:hint="eastAsia" w:ascii="仿宋" w:hAnsi="仿宋" w:eastAsia="仿宋" w:cs="仿宋_GB2312"/>
          <w:b/>
          <w:bCs/>
          <w:color w:val="auto"/>
          <w:sz w:val="24"/>
          <w:szCs w:val="24"/>
          <w:highlight w:val="none"/>
        </w:rPr>
        <w:t>第三笔付款</w:t>
      </w:r>
    </w:p>
    <w:p w14:paraId="241C1166">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u w:val="single"/>
        </w:rPr>
      </w:pPr>
      <w:r>
        <w:rPr>
          <w:rFonts w:hint="eastAsia" w:ascii="仿宋" w:hAnsi="仿宋" w:eastAsia="仿宋" w:cs="仿宋_GB2312"/>
          <w:color w:val="auto"/>
          <w:sz w:val="24"/>
          <w:szCs w:val="24"/>
          <w:highlight w:val="none"/>
        </w:rPr>
        <w:t>系统自验收之日起1年维保期满，且甲方收到</w:t>
      </w:r>
      <w:r>
        <w:rPr>
          <w:rFonts w:hint="eastAsia" w:ascii="仿宋" w:hAnsi="仿宋" w:eastAsia="仿宋" w:cs="Times New Roman"/>
          <w:color w:val="auto"/>
          <w:sz w:val="24"/>
          <w:szCs w:val="24"/>
          <w:highlight w:val="none"/>
        </w:rPr>
        <w:t>乙方提供的书面付款通知、</w:t>
      </w:r>
      <w:r>
        <w:rPr>
          <w:rFonts w:hint="eastAsia" w:ascii="仿宋" w:hAnsi="仿宋" w:eastAsia="仿宋" w:cs="仿宋_GB2312"/>
          <w:color w:val="auto"/>
          <w:sz w:val="24"/>
          <w:szCs w:val="24"/>
          <w:highlight w:val="none"/>
        </w:rPr>
        <w:t>与本阶段付款金额等值的增值税专用发票后1</w:t>
      </w:r>
      <w:r>
        <w:rPr>
          <w:rFonts w:ascii="仿宋" w:hAnsi="仿宋" w:eastAsia="仿宋" w:cs="仿宋_GB2312"/>
          <w:color w:val="auto"/>
          <w:sz w:val="24"/>
          <w:szCs w:val="24"/>
          <w:highlight w:val="none"/>
        </w:rPr>
        <w:t>0</w:t>
      </w:r>
      <w:r>
        <w:rPr>
          <w:rFonts w:hint="eastAsia" w:ascii="仿宋" w:hAnsi="仿宋" w:eastAsia="仿宋" w:cs="仿宋_GB2312"/>
          <w:color w:val="auto"/>
          <w:sz w:val="24"/>
          <w:szCs w:val="24"/>
          <w:highlight w:val="none"/>
        </w:rPr>
        <w:t>个工作日内，向乙方支付合同</w:t>
      </w:r>
      <w:r>
        <w:rPr>
          <w:rFonts w:hint="eastAsia" w:ascii="仿宋" w:hAnsi="仿宋" w:eastAsia="仿宋" w:cs="Times New Roman"/>
          <w:color w:val="auto"/>
          <w:sz w:val="24"/>
          <w:szCs w:val="24"/>
          <w:highlight w:val="none"/>
        </w:rPr>
        <w:t>数据同步软件</w:t>
      </w:r>
      <w:r>
        <w:rPr>
          <w:rFonts w:hint="eastAsia" w:ascii="仿宋" w:hAnsi="仿宋" w:eastAsia="仿宋" w:cs="仿宋_GB2312"/>
          <w:color w:val="auto"/>
          <w:sz w:val="24"/>
          <w:szCs w:val="24"/>
          <w:highlight w:val="none"/>
          <w:lang w:eastAsia="zh-Hans"/>
        </w:rPr>
        <w:t>金额</w:t>
      </w:r>
      <w:r>
        <w:rPr>
          <w:rFonts w:hint="eastAsia" w:ascii="仿宋" w:hAnsi="仿宋" w:eastAsia="仿宋" w:cs="仿宋_GB2312"/>
          <w:color w:val="auto"/>
          <w:sz w:val="24"/>
          <w:szCs w:val="24"/>
          <w:highlight w:val="none"/>
        </w:rPr>
        <w:t>的</w:t>
      </w:r>
      <w:r>
        <w:rPr>
          <w:rFonts w:hint="eastAsia" w:ascii="仿宋" w:hAnsi="仿宋" w:eastAsia="仿宋" w:cs="Times New Roman"/>
          <w:color w:val="auto"/>
          <w:sz w:val="24"/>
          <w:szCs w:val="24"/>
          <w:highlight w:val="none"/>
          <w:u w:val="single"/>
        </w:rPr>
        <w:t xml:space="preserve"> </w:t>
      </w:r>
      <w:r>
        <w:rPr>
          <w:rFonts w:hint="default" w:ascii="仿宋" w:hAnsi="仿宋" w:eastAsia="仿宋" w:cs="Times New Roman"/>
          <w:color w:val="auto"/>
          <w:sz w:val="24"/>
          <w:szCs w:val="24"/>
          <w:highlight w:val="none"/>
          <w:u w:val="single"/>
          <w:lang w:val="en-US"/>
        </w:rPr>
        <w:t xml:space="preserve"> </w:t>
      </w:r>
      <w:r>
        <w:rPr>
          <w:rFonts w:hint="eastAsia" w:ascii="仿宋" w:hAnsi="仿宋" w:eastAsia="仿宋" w:cs="Times New Roman"/>
          <w:color w:val="auto"/>
          <w:sz w:val="24"/>
          <w:szCs w:val="24"/>
          <w:highlight w:val="none"/>
          <w:u w:val="single"/>
          <w:lang w:val="en-US" w:eastAsia="zh-CN"/>
        </w:rPr>
        <w:t>10</w:t>
      </w:r>
      <w:r>
        <w:rPr>
          <w:rFonts w:hint="default" w:ascii="仿宋" w:hAnsi="仿宋" w:eastAsia="仿宋" w:cs="Times New Roman"/>
          <w:color w:val="auto"/>
          <w:sz w:val="24"/>
          <w:szCs w:val="24"/>
          <w:highlight w:val="none"/>
          <w:u w:val="single"/>
          <w:lang w:val="en-US"/>
        </w:rPr>
        <w:t xml:space="preserve"> </w:t>
      </w:r>
      <w:r>
        <w:rPr>
          <w:rFonts w:hint="eastAsia" w:ascii="仿宋" w:hAnsi="仿宋" w:eastAsia="仿宋" w:cs="Times New Roman"/>
          <w:color w:val="auto"/>
          <w:sz w:val="24"/>
          <w:szCs w:val="24"/>
          <w:highlight w:val="none"/>
          <w:u w:val="single"/>
        </w:rPr>
        <w:t xml:space="preserve"> </w:t>
      </w:r>
      <w:r>
        <w:rPr>
          <w:rFonts w:ascii="仿宋" w:hAnsi="仿宋" w:eastAsia="仿宋" w:cs="Times New Roman"/>
          <w:color w:val="auto"/>
          <w:sz w:val="24"/>
          <w:szCs w:val="24"/>
          <w:highlight w:val="none"/>
        </w:rPr>
        <w:t>%，</w:t>
      </w:r>
      <w:r>
        <w:rPr>
          <w:rFonts w:hint="eastAsia" w:ascii="仿宋" w:hAnsi="仿宋" w:eastAsia="仿宋" w:cs="仿宋_GB2312"/>
          <w:color w:val="auto"/>
          <w:sz w:val="24"/>
          <w:szCs w:val="24"/>
          <w:highlight w:val="none"/>
        </w:rPr>
        <w:t>即人民币</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元整（大写：</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圆整）（含税），不含税金额</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、税额</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税率</w:t>
      </w:r>
      <w:bookmarkStart w:id="145" w:name="_GoBack"/>
      <w:r>
        <w:rPr>
          <w:rFonts w:hint="eastAsia" w:ascii="仿宋" w:hAnsi="仿宋" w:eastAsia="仿宋" w:cs="仿宋_GB2312"/>
          <w:color w:val="auto"/>
          <w:sz w:val="24"/>
          <w:szCs w:val="24"/>
          <w:highlight w:val="none"/>
          <w:u w:val="single"/>
        </w:rPr>
        <w:t xml:space="preserve">       </w:t>
      </w:r>
      <w:bookmarkEnd w:id="145"/>
      <w:r>
        <w:rPr>
          <w:rFonts w:hint="eastAsia" w:ascii="仿宋" w:hAnsi="仿宋" w:eastAsia="仿宋" w:cs="仿宋_GB2312"/>
          <w:color w:val="auto"/>
          <w:sz w:val="24"/>
          <w:szCs w:val="24"/>
          <w:highlight w:val="none"/>
        </w:rPr>
        <w:t>。</w:t>
      </w:r>
    </w:p>
    <w:p w14:paraId="26134F06">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3.3 双方的银行账户等信息以本合同信息页提供的为准。任何一方如需改变上述信息，应提前10日书面通知另一方并得到对方确认。如乙方未按本合同规定通知甲方或未获得甲方确认而未收到付款，甲方不再承担付款义务或任何责任。</w:t>
      </w:r>
    </w:p>
    <w:p w14:paraId="30ABB0C5">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3.4 如乙方根据本合同约定有责任向甲方支付违约金、赔偿金时，甲方有权直接从上述付款中扣除该等款项并于事后通知乙方，该情形下应当视为甲方已经依约履行了合同约定的付款义务，而所扣乙方的款项金额未达到乙方依照其责任所应当向甲方支付的金额时，乙方仍应向甲方补足。同时，若乙方对甲方的扣款有异议而不能协商解决时，乙方应依照本合同关于解决争议的约定方式解决。但在存在或解决相关争议的期间，乙方不得停滞或减缓其合同的履行，否则因乙方停滞或减缓合同的履行所造成的任何损失均应当向甲方全部赔偿。</w:t>
      </w:r>
    </w:p>
    <w:p w14:paraId="0754689E">
      <w:pPr>
        <w:tabs>
          <w:tab w:val="left" w:pos="567"/>
          <w:tab w:val="left" w:pos="840"/>
          <w:tab w:val="left" w:pos="1440"/>
        </w:tabs>
        <w:spacing w:before="156" w:beforeLines="50" w:line="420" w:lineRule="exact"/>
        <w:ind w:firstLine="482" w:firstLineChars="200"/>
        <w:outlineLvl w:val="0"/>
        <w:rPr>
          <w:rFonts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lang w:eastAsia="zh-Hans"/>
        </w:rPr>
        <w:t>第四条</w:t>
      </w:r>
      <w:r>
        <w:rPr>
          <w:rFonts w:ascii="仿宋" w:hAnsi="仿宋" w:eastAsia="仿宋" w:cs="仿宋_GB2312"/>
          <w:b/>
          <w:bCs/>
          <w:color w:val="auto"/>
          <w:sz w:val="24"/>
          <w:szCs w:val="24"/>
          <w:highlight w:val="none"/>
          <w:lang w:eastAsia="zh-Hans"/>
        </w:rPr>
        <w:t xml:space="preserve"> </w:t>
      </w:r>
      <w:r>
        <w:rPr>
          <w:rFonts w:hint="eastAsia" w:ascii="仿宋" w:hAnsi="仿宋" w:eastAsia="仿宋" w:cs="仿宋_GB2312"/>
          <w:b/>
          <w:bCs/>
          <w:color w:val="auto"/>
          <w:sz w:val="24"/>
          <w:szCs w:val="24"/>
          <w:highlight w:val="none"/>
        </w:rPr>
        <w:t>配套技术服务</w:t>
      </w:r>
    </w:p>
    <w:p w14:paraId="3657DB98">
      <w:pPr>
        <w:tabs>
          <w:tab w:val="left" w:pos="567"/>
          <w:tab w:val="left" w:pos="840"/>
          <w:tab w:val="left" w:pos="1440"/>
        </w:tabs>
        <w:spacing w:line="420" w:lineRule="exact"/>
        <w:ind w:firstLine="482" w:firstLineChars="200"/>
        <w:rPr>
          <w:rFonts w:ascii="仿宋" w:hAnsi="仿宋" w:eastAsia="仿宋" w:cs="仿宋_GB2312"/>
          <w:b/>
          <w:color w:val="auto"/>
          <w:sz w:val="24"/>
          <w:szCs w:val="24"/>
          <w:highlight w:val="none"/>
        </w:rPr>
      </w:pPr>
      <w:r>
        <w:rPr>
          <w:rFonts w:ascii="仿宋" w:hAnsi="仿宋" w:eastAsia="仿宋" w:cs="仿宋_GB2312"/>
          <w:b/>
          <w:color w:val="auto"/>
          <w:sz w:val="24"/>
          <w:szCs w:val="24"/>
          <w:highlight w:val="none"/>
        </w:rPr>
        <w:t>4</w:t>
      </w:r>
      <w:r>
        <w:rPr>
          <w:rFonts w:hint="eastAsia" w:ascii="仿宋" w:hAnsi="仿宋" w:eastAsia="仿宋" w:cs="仿宋_GB2312"/>
          <w:b/>
          <w:color w:val="auto"/>
          <w:sz w:val="24"/>
          <w:szCs w:val="24"/>
          <w:highlight w:val="none"/>
          <w:lang w:eastAsia="zh-Hans"/>
        </w:rPr>
        <w:t>.</w:t>
      </w:r>
      <w:r>
        <w:rPr>
          <w:rFonts w:ascii="仿宋" w:hAnsi="仿宋" w:eastAsia="仿宋" w:cs="仿宋_GB2312"/>
          <w:b/>
          <w:color w:val="auto"/>
          <w:sz w:val="24"/>
          <w:szCs w:val="24"/>
          <w:highlight w:val="none"/>
          <w:lang w:eastAsia="zh-Hans"/>
        </w:rPr>
        <w:t xml:space="preserve">1 </w:t>
      </w:r>
      <w:r>
        <w:rPr>
          <w:rFonts w:hint="eastAsia" w:ascii="仿宋" w:hAnsi="仿宋" w:eastAsia="仿宋" w:cs="仿宋_GB2312"/>
          <w:b/>
          <w:color w:val="auto"/>
          <w:sz w:val="24"/>
          <w:szCs w:val="24"/>
          <w:highlight w:val="none"/>
        </w:rPr>
        <w:t>知识产权</w:t>
      </w:r>
    </w:p>
    <w:p w14:paraId="5FFD8466">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4</w:t>
      </w:r>
      <w:r>
        <w:rPr>
          <w:rFonts w:ascii="仿宋" w:hAnsi="仿宋" w:eastAsia="仿宋" w:cs="仿宋_GB2312"/>
          <w:color w:val="auto"/>
          <w:sz w:val="24"/>
          <w:szCs w:val="24"/>
          <w:highlight w:val="none"/>
        </w:rPr>
        <w:t>.1.1</w:t>
      </w:r>
      <w:r>
        <w:rPr>
          <w:rFonts w:hint="eastAsia" w:ascii="仿宋" w:hAnsi="仿宋" w:eastAsia="仿宋" w:cs="仿宋_GB2312"/>
          <w:color w:val="auto"/>
          <w:sz w:val="24"/>
          <w:szCs w:val="24"/>
          <w:highlight w:val="none"/>
        </w:rPr>
        <w:t>因本合同产生的开发成果（包括源代码、系统技术文档、软件、数据等）由甲方享有知识产权。未经甲方书面许可，乙方不得许可第三方阅读、使用或复制。</w:t>
      </w:r>
    </w:p>
    <w:p w14:paraId="669E77BD">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4</w:t>
      </w:r>
      <w:r>
        <w:rPr>
          <w:rFonts w:ascii="仿宋" w:hAnsi="仿宋" w:eastAsia="仿宋" w:cs="仿宋_GB2312"/>
          <w:color w:val="auto"/>
          <w:sz w:val="24"/>
          <w:szCs w:val="24"/>
          <w:highlight w:val="none"/>
        </w:rPr>
        <w:t>.1.2</w:t>
      </w:r>
      <w:r>
        <w:rPr>
          <w:rFonts w:hint="eastAsia" w:ascii="仿宋" w:hAnsi="仿宋" w:eastAsia="仿宋" w:cs="仿宋_GB2312"/>
          <w:color w:val="auto"/>
          <w:sz w:val="24"/>
          <w:szCs w:val="24"/>
          <w:highlight w:val="none"/>
        </w:rPr>
        <w:t>乙方保证其开发成果及其开发过程不侵犯第三方的知识产权，如第三方以该产品侵犯知识产权为由提起诉讼，乙方将以自己的费用解决问题，并赔偿因此给甲方造成的损失。</w:t>
      </w:r>
    </w:p>
    <w:p w14:paraId="4E2874D2">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lang w:eastAsia="zh-Hans"/>
        </w:rPr>
      </w:pPr>
      <w:r>
        <w:rPr>
          <w:rFonts w:hint="eastAsia" w:ascii="仿宋" w:hAnsi="仿宋" w:eastAsia="仿宋" w:cs="仿宋_GB2312"/>
          <w:color w:val="auto"/>
          <w:sz w:val="24"/>
          <w:szCs w:val="24"/>
          <w:highlight w:val="none"/>
        </w:rPr>
        <w:t>4</w:t>
      </w:r>
      <w:r>
        <w:rPr>
          <w:rFonts w:ascii="仿宋" w:hAnsi="仿宋" w:eastAsia="仿宋" w:cs="仿宋_GB2312"/>
          <w:color w:val="auto"/>
          <w:sz w:val="24"/>
          <w:szCs w:val="24"/>
          <w:highlight w:val="none"/>
        </w:rPr>
        <w:t>.1.3</w:t>
      </w:r>
      <w:r>
        <w:rPr>
          <w:rFonts w:hint="eastAsia" w:ascii="仿宋" w:hAnsi="仿宋" w:eastAsia="仿宋" w:cs="仿宋_GB2312"/>
          <w:color w:val="auto"/>
          <w:sz w:val="24"/>
          <w:szCs w:val="24"/>
          <w:highlight w:val="none"/>
          <w:lang w:eastAsia="zh-Hans"/>
        </w:rPr>
        <w:t>乙方应承诺结合本项目业务需求定制化开发所形成的包括但不限于软件开发成果</w:t>
      </w:r>
      <w:r>
        <w:rPr>
          <w:rFonts w:hint="eastAsia" w:ascii="仿宋" w:hAnsi="仿宋" w:eastAsia="仿宋" w:cs="仿宋_GB2312"/>
          <w:color w:val="auto"/>
          <w:sz w:val="24"/>
          <w:szCs w:val="24"/>
          <w:highlight w:val="none"/>
        </w:rPr>
        <w:t>、</w:t>
      </w:r>
      <w:r>
        <w:rPr>
          <w:rFonts w:hint="eastAsia" w:ascii="仿宋" w:hAnsi="仿宋" w:eastAsia="仿宋" w:cs="仿宋_GB2312"/>
          <w:color w:val="auto"/>
          <w:sz w:val="24"/>
          <w:szCs w:val="24"/>
          <w:highlight w:val="none"/>
          <w:lang w:eastAsia="zh-Hans"/>
        </w:rPr>
        <w:t>相关知识产权、著作权等归</w:t>
      </w:r>
      <w:r>
        <w:rPr>
          <w:rFonts w:hint="eastAsia" w:ascii="仿宋" w:hAnsi="仿宋" w:eastAsia="仿宋" w:cs="仿宋_GB2312"/>
          <w:color w:val="auto"/>
          <w:sz w:val="24"/>
          <w:szCs w:val="24"/>
          <w:highlight w:val="none"/>
        </w:rPr>
        <w:t>甲方</w:t>
      </w:r>
      <w:r>
        <w:rPr>
          <w:rFonts w:hint="eastAsia" w:ascii="仿宋" w:hAnsi="仿宋" w:eastAsia="仿宋" w:cs="仿宋_GB2312"/>
          <w:color w:val="auto"/>
          <w:sz w:val="24"/>
          <w:szCs w:val="24"/>
          <w:highlight w:val="none"/>
          <w:lang w:eastAsia="zh-Hans"/>
        </w:rPr>
        <w:t>所有。具体要求如下：</w:t>
      </w:r>
    </w:p>
    <w:p w14:paraId="01167E13">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lang w:eastAsia="zh-Hans"/>
        </w:rPr>
      </w:pPr>
      <w:r>
        <w:rPr>
          <w:rFonts w:hint="eastAsia" w:ascii="仿宋" w:hAnsi="仿宋" w:eastAsia="仿宋" w:cs="仿宋_GB2312"/>
          <w:color w:val="auto"/>
          <w:sz w:val="24"/>
          <w:szCs w:val="24"/>
          <w:highlight w:val="none"/>
          <w:lang w:eastAsia="zh-Hans"/>
        </w:rPr>
        <w:t>（</w:t>
      </w:r>
      <w:r>
        <w:rPr>
          <w:rFonts w:ascii="仿宋" w:hAnsi="仿宋" w:eastAsia="仿宋" w:cs="仿宋_GB2312"/>
          <w:color w:val="auto"/>
          <w:sz w:val="24"/>
          <w:szCs w:val="24"/>
          <w:highlight w:val="none"/>
          <w:lang w:eastAsia="zh-Hans"/>
        </w:rPr>
        <w:t>1）</w:t>
      </w:r>
      <w:r>
        <w:rPr>
          <w:rFonts w:hint="eastAsia" w:ascii="仿宋" w:hAnsi="仿宋" w:eastAsia="仿宋" w:cs="仿宋_GB2312"/>
          <w:color w:val="auto"/>
          <w:sz w:val="24"/>
          <w:szCs w:val="24"/>
          <w:highlight w:val="none"/>
          <w:lang w:eastAsia="zh-Hans"/>
        </w:rPr>
        <w:t>乙方</w:t>
      </w:r>
      <w:r>
        <w:rPr>
          <w:rFonts w:ascii="仿宋" w:hAnsi="仿宋" w:eastAsia="仿宋" w:cs="仿宋_GB2312"/>
          <w:color w:val="auto"/>
          <w:sz w:val="24"/>
          <w:szCs w:val="24"/>
          <w:highlight w:val="none"/>
          <w:lang w:eastAsia="zh-Hans"/>
        </w:rPr>
        <w:t>保证</w:t>
      </w:r>
      <w:r>
        <w:rPr>
          <w:rFonts w:hint="eastAsia" w:ascii="仿宋" w:hAnsi="仿宋" w:eastAsia="仿宋" w:cs="仿宋_GB2312"/>
          <w:color w:val="auto"/>
          <w:sz w:val="24"/>
          <w:szCs w:val="24"/>
          <w:highlight w:val="none"/>
        </w:rPr>
        <w:t>甲方</w:t>
      </w:r>
      <w:r>
        <w:rPr>
          <w:rFonts w:ascii="仿宋" w:hAnsi="仿宋" w:eastAsia="仿宋" w:cs="仿宋_GB2312"/>
          <w:color w:val="auto"/>
          <w:sz w:val="24"/>
          <w:szCs w:val="24"/>
          <w:highlight w:val="none"/>
          <w:lang w:eastAsia="zh-Hans"/>
        </w:rPr>
        <w:t>在使用合同中的产品</w:t>
      </w:r>
      <w:r>
        <w:rPr>
          <w:rFonts w:hint="eastAsia" w:ascii="仿宋" w:hAnsi="仿宋" w:eastAsia="仿宋" w:cs="仿宋_GB2312"/>
          <w:color w:val="auto"/>
          <w:sz w:val="24"/>
          <w:szCs w:val="24"/>
          <w:highlight w:val="none"/>
        </w:rPr>
        <w:t>、其他成果</w:t>
      </w:r>
      <w:r>
        <w:rPr>
          <w:rFonts w:ascii="仿宋" w:hAnsi="仿宋" w:eastAsia="仿宋" w:cs="仿宋_GB2312"/>
          <w:color w:val="auto"/>
          <w:sz w:val="24"/>
          <w:szCs w:val="24"/>
          <w:highlight w:val="none"/>
          <w:lang w:eastAsia="zh-Hans"/>
        </w:rPr>
        <w:t>或其中任何一部分时，不受第三方提出的侵犯其专利权，商标权、工业设计权和其它受保护的权利的索赔和起诉，如因</w:t>
      </w:r>
      <w:r>
        <w:rPr>
          <w:rFonts w:hint="eastAsia" w:ascii="仿宋" w:hAnsi="仿宋" w:eastAsia="仿宋" w:cs="仿宋_GB2312"/>
          <w:color w:val="auto"/>
          <w:sz w:val="24"/>
          <w:szCs w:val="24"/>
          <w:highlight w:val="none"/>
          <w:lang w:eastAsia="zh-Hans"/>
        </w:rPr>
        <w:t>乙方</w:t>
      </w:r>
      <w:r>
        <w:rPr>
          <w:rFonts w:ascii="仿宋" w:hAnsi="仿宋" w:eastAsia="仿宋" w:cs="仿宋_GB2312"/>
          <w:color w:val="auto"/>
          <w:sz w:val="24"/>
          <w:szCs w:val="24"/>
          <w:highlight w:val="none"/>
          <w:lang w:eastAsia="zh-Hans"/>
        </w:rPr>
        <w:t>提供的产品或软件导致版权纠纷或其他争议，</w:t>
      </w:r>
      <w:r>
        <w:rPr>
          <w:rFonts w:hint="eastAsia" w:ascii="仿宋" w:hAnsi="仿宋" w:eastAsia="仿宋" w:cs="仿宋_GB2312"/>
          <w:color w:val="auto"/>
          <w:sz w:val="24"/>
          <w:szCs w:val="24"/>
          <w:highlight w:val="none"/>
          <w:lang w:eastAsia="zh-Hans"/>
        </w:rPr>
        <w:t>乙方</w:t>
      </w:r>
      <w:r>
        <w:rPr>
          <w:rFonts w:ascii="仿宋" w:hAnsi="仿宋" w:eastAsia="仿宋" w:cs="仿宋_GB2312"/>
          <w:color w:val="auto"/>
          <w:sz w:val="24"/>
          <w:szCs w:val="24"/>
          <w:highlight w:val="none"/>
          <w:lang w:eastAsia="zh-Hans"/>
        </w:rPr>
        <w:t>应尽最大努力维护</w:t>
      </w:r>
      <w:r>
        <w:rPr>
          <w:rFonts w:hint="eastAsia" w:ascii="仿宋" w:hAnsi="仿宋" w:eastAsia="仿宋" w:cs="仿宋_GB2312"/>
          <w:color w:val="auto"/>
          <w:sz w:val="24"/>
          <w:szCs w:val="24"/>
          <w:highlight w:val="none"/>
        </w:rPr>
        <w:t>甲方</w:t>
      </w:r>
      <w:r>
        <w:rPr>
          <w:rFonts w:ascii="仿宋" w:hAnsi="仿宋" w:eastAsia="仿宋" w:cs="仿宋_GB2312"/>
          <w:color w:val="auto"/>
          <w:sz w:val="24"/>
          <w:szCs w:val="24"/>
          <w:highlight w:val="none"/>
          <w:lang w:eastAsia="zh-Hans"/>
        </w:rPr>
        <w:t>的合法权益，并承担由此给</w:t>
      </w:r>
      <w:r>
        <w:rPr>
          <w:rFonts w:hint="eastAsia" w:ascii="仿宋" w:hAnsi="仿宋" w:eastAsia="仿宋" w:cs="仿宋_GB2312"/>
          <w:color w:val="auto"/>
          <w:sz w:val="24"/>
          <w:szCs w:val="24"/>
          <w:highlight w:val="none"/>
        </w:rPr>
        <w:t>甲方</w:t>
      </w:r>
      <w:r>
        <w:rPr>
          <w:rFonts w:ascii="仿宋" w:hAnsi="仿宋" w:eastAsia="仿宋" w:cs="仿宋_GB2312"/>
          <w:color w:val="auto"/>
          <w:sz w:val="24"/>
          <w:szCs w:val="24"/>
          <w:highlight w:val="none"/>
          <w:lang w:eastAsia="zh-Hans"/>
        </w:rPr>
        <w:t>带来得任何损失。</w:t>
      </w:r>
    </w:p>
    <w:p w14:paraId="56EF53F3">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lang w:eastAsia="zh-Hans"/>
        </w:rPr>
      </w:pPr>
      <w:r>
        <w:rPr>
          <w:rFonts w:hint="eastAsia" w:ascii="仿宋" w:hAnsi="仿宋" w:eastAsia="仿宋" w:cs="仿宋_GB2312"/>
          <w:color w:val="auto"/>
          <w:sz w:val="24"/>
          <w:szCs w:val="24"/>
          <w:highlight w:val="none"/>
          <w:lang w:eastAsia="zh-Hans"/>
        </w:rPr>
        <w:t>（</w:t>
      </w:r>
      <w:r>
        <w:rPr>
          <w:rFonts w:ascii="仿宋" w:hAnsi="仿宋" w:eastAsia="仿宋" w:cs="仿宋_GB2312"/>
          <w:color w:val="auto"/>
          <w:sz w:val="24"/>
          <w:szCs w:val="24"/>
          <w:highlight w:val="none"/>
          <w:lang w:eastAsia="zh-Hans"/>
        </w:rPr>
        <w:t>2）结合本项目业务需求定制化开发所形成的包括但不限于软件开发成果，相关知识产权、著作权等归</w:t>
      </w:r>
      <w:r>
        <w:rPr>
          <w:rFonts w:hint="eastAsia" w:ascii="仿宋" w:hAnsi="仿宋" w:eastAsia="仿宋" w:cs="仿宋_GB2312"/>
          <w:color w:val="auto"/>
          <w:sz w:val="24"/>
          <w:szCs w:val="24"/>
          <w:highlight w:val="none"/>
        </w:rPr>
        <w:t>甲方</w:t>
      </w:r>
      <w:r>
        <w:rPr>
          <w:rFonts w:ascii="仿宋" w:hAnsi="仿宋" w:eastAsia="仿宋" w:cs="仿宋_GB2312"/>
          <w:color w:val="auto"/>
          <w:sz w:val="24"/>
          <w:szCs w:val="24"/>
          <w:highlight w:val="none"/>
          <w:lang w:eastAsia="zh-Hans"/>
        </w:rPr>
        <w:t>所有。</w:t>
      </w:r>
      <w:r>
        <w:rPr>
          <w:rFonts w:hint="eastAsia" w:ascii="仿宋" w:hAnsi="仿宋" w:eastAsia="仿宋" w:cs="仿宋_GB2312"/>
          <w:color w:val="auto"/>
          <w:sz w:val="24"/>
          <w:szCs w:val="24"/>
          <w:highlight w:val="none"/>
          <w:lang w:eastAsia="zh-Hans"/>
        </w:rPr>
        <w:t>乙方</w:t>
      </w:r>
      <w:r>
        <w:rPr>
          <w:rFonts w:ascii="仿宋" w:hAnsi="仿宋" w:eastAsia="仿宋" w:cs="仿宋_GB2312"/>
          <w:color w:val="auto"/>
          <w:sz w:val="24"/>
          <w:szCs w:val="24"/>
          <w:highlight w:val="none"/>
          <w:lang w:eastAsia="zh-Hans"/>
        </w:rPr>
        <w:t>或甲乙双方针对本项目需求开发或组织开发的软件、软件模块或其他代码等需在项目正式验收前向</w:t>
      </w:r>
      <w:r>
        <w:rPr>
          <w:rFonts w:hint="eastAsia" w:ascii="仿宋" w:hAnsi="仿宋" w:eastAsia="仿宋" w:cs="仿宋_GB2312"/>
          <w:color w:val="auto"/>
          <w:sz w:val="24"/>
          <w:szCs w:val="24"/>
          <w:highlight w:val="none"/>
        </w:rPr>
        <w:t>甲方</w:t>
      </w:r>
      <w:r>
        <w:rPr>
          <w:rFonts w:ascii="仿宋" w:hAnsi="仿宋" w:eastAsia="仿宋" w:cs="仿宋_GB2312"/>
          <w:color w:val="auto"/>
          <w:sz w:val="24"/>
          <w:szCs w:val="24"/>
          <w:highlight w:val="none"/>
          <w:lang w:eastAsia="zh-Hans"/>
        </w:rPr>
        <w:t>提交源代码。未经</w:t>
      </w:r>
      <w:r>
        <w:rPr>
          <w:rFonts w:hint="eastAsia" w:ascii="仿宋" w:hAnsi="仿宋" w:eastAsia="仿宋" w:cs="仿宋_GB2312"/>
          <w:color w:val="auto"/>
          <w:sz w:val="24"/>
          <w:szCs w:val="24"/>
          <w:highlight w:val="none"/>
        </w:rPr>
        <w:t>甲方</w:t>
      </w:r>
      <w:r>
        <w:rPr>
          <w:rFonts w:ascii="仿宋" w:hAnsi="仿宋" w:eastAsia="仿宋" w:cs="仿宋_GB2312"/>
          <w:color w:val="auto"/>
          <w:sz w:val="24"/>
          <w:szCs w:val="24"/>
          <w:highlight w:val="none"/>
          <w:lang w:eastAsia="zh-Hans"/>
        </w:rPr>
        <w:t>事先书面许可，</w:t>
      </w:r>
      <w:r>
        <w:rPr>
          <w:rFonts w:hint="eastAsia" w:ascii="仿宋" w:hAnsi="仿宋" w:eastAsia="仿宋" w:cs="仿宋_GB2312"/>
          <w:color w:val="auto"/>
          <w:sz w:val="24"/>
          <w:szCs w:val="24"/>
          <w:highlight w:val="none"/>
          <w:lang w:eastAsia="zh-Hans"/>
        </w:rPr>
        <w:t>乙方</w:t>
      </w:r>
      <w:r>
        <w:rPr>
          <w:rFonts w:ascii="仿宋" w:hAnsi="仿宋" w:eastAsia="仿宋" w:cs="仿宋_GB2312"/>
          <w:color w:val="auto"/>
          <w:sz w:val="24"/>
          <w:szCs w:val="24"/>
          <w:highlight w:val="none"/>
          <w:lang w:eastAsia="zh-Hans"/>
        </w:rPr>
        <w:t>不得将之用于商业用途或以任何方式复制发行、传播、许可、转让、出租或交换给任何第三方，否则承担相应的经济和法律责任。</w:t>
      </w:r>
    </w:p>
    <w:p w14:paraId="2EB39334">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lang w:eastAsia="zh-Hans"/>
        </w:rPr>
      </w:pPr>
      <w:r>
        <w:rPr>
          <w:rFonts w:hint="eastAsia" w:ascii="仿宋" w:hAnsi="仿宋" w:eastAsia="仿宋" w:cs="仿宋_GB2312"/>
          <w:color w:val="auto"/>
          <w:sz w:val="24"/>
          <w:szCs w:val="24"/>
          <w:highlight w:val="none"/>
          <w:lang w:eastAsia="zh-Hans"/>
        </w:rPr>
        <w:t>（</w:t>
      </w:r>
      <w:r>
        <w:rPr>
          <w:rFonts w:hint="eastAsia" w:ascii="仿宋" w:hAnsi="仿宋" w:eastAsia="仿宋" w:cs="仿宋_GB2312"/>
          <w:color w:val="auto"/>
          <w:sz w:val="24"/>
          <w:szCs w:val="24"/>
          <w:highlight w:val="none"/>
          <w:lang w:val="en-US" w:eastAsia="zh-CN"/>
        </w:rPr>
        <w:t>3</w:t>
      </w:r>
      <w:r>
        <w:rPr>
          <w:rFonts w:ascii="仿宋" w:hAnsi="仿宋" w:eastAsia="仿宋" w:cs="仿宋_GB2312"/>
          <w:color w:val="auto"/>
          <w:sz w:val="24"/>
          <w:szCs w:val="24"/>
          <w:highlight w:val="none"/>
          <w:lang w:eastAsia="zh-Hans"/>
        </w:rPr>
        <w:t>）在本合同生效前已存在的原有产品及其功能模块的著作权及其他知识产权并不因本合同的签署和履行而转移，但</w:t>
      </w:r>
      <w:r>
        <w:rPr>
          <w:rFonts w:hint="eastAsia" w:ascii="仿宋" w:hAnsi="仿宋" w:eastAsia="仿宋" w:cs="仿宋_GB2312"/>
          <w:color w:val="auto"/>
          <w:sz w:val="24"/>
          <w:szCs w:val="24"/>
          <w:highlight w:val="none"/>
          <w:lang w:eastAsia="zh-Hans"/>
        </w:rPr>
        <w:t>乙方</w:t>
      </w:r>
      <w:r>
        <w:rPr>
          <w:rFonts w:ascii="仿宋" w:hAnsi="仿宋" w:eastAsia="仿宋" w:cs="仿宋_GB2312"/>
          <w:color w:val="auto"/>
          <w:sz w:val="24"/>
          <w:szCs w:val="24"/>
          <w:highlight w:val="none"/>
          <w:lang w:eastAsia="zh-Hans"/>
        </w:rPr>
        <w:t>应确保</w:t>
      </w:r>
      <w:r>
        <w:rPr>
          <w:rFonts w:hint="eastAsia" w:ascii="仿宋" w:hAnsi="仿宋" w:eastAsia="仿宋" w:cs="仿宋_GB2312"/>
          <w:color w:val="auto"/>
          <w:sz w:val="24"/>
          <w:szCs w:val="24"/>
          <w:highlight w:val="none"/>
        </w:rPr>
        <w:t>甲方</w:t>
      </w:r>
      <w:r>
        <w:rPr>
          <w:rFonts w:ascii="仿宋" w:hAnsi="仿宋" w:eastAsia="仿宋" w:cs="仿宋_GB2312"/>
          <w:color w:val="auto"/>
          <w:sz w:val="24"/>
          <w:szCs w:val="24"/>
          <w:highlight w:val="none"/>
          <w:lang w:eastAsia="zh-Hans"/>
        </w:rPr>
        <w:t>在使用过程中的合法性并应提供相关产品的技术白皮书、帮助手册、应用接口文档等。包括：</w:t>
      </w:r>
      <w:r>
        <w:rPr>
          <w:rFonts w:hint="eastAsia" w:ascii="仿宋" w:hAnsi="仿宋" w:eastAsia="仿宋" w:cs="仿宋_GB2312"/>
          <w:color w:val="auto"/>
          <w:sz w:val="24"/>
          <w:szCs w:val="24"/>
          <w:highlight w:val="none"/>
          <w:lang w:eastAsia="zh-Hans"/>
        </w:rPr>
        <w:t>乙方</w:t>
      </w:r>
      <w:r>
        <w:rPr>
          <w:rFonts w:ascii="仿宋" w:hAnsi="仿宋" w:eastAsia="仿宋" w:cs="仿宋_GB2312"/>
          <w:color w:val="auto"/>
          <w:sz w:val="24"/>
          <w:szCs w:val="24"/>
          <w:highlight w:val="none"/>
          <w:lang w:eastAsia="zh-Hans"/>
        </w:rPr>
        <w:t>保证在本项目中所有预装和为本项目安装的系统软件、数据库软件等成品软件是在中国境内具有合法版权的正版软件；若</w:t>
      </w:r>
      <w:r>
        <w:rPr>
          <w:rFonts w:hint="eastAsia" w:ascii="仿宋" w:hAnsi="仿宋" w:eastAsia="仿宋" w:cs="仿宋_GB2312"/>
          <w:color w:val="auto"/>
          <w:sz w:val="24"/>
          <w:szCs w:val="24"/>
          <w:highlight w:val="none"/>
          <w:lang w:eastAsia="zh-Hans"/>
        </w:rPr>
        <w:t>乙方</w:t>
      </w:r>
      <w:r>
        <w:rPr>
          <w:rFonts w:ascii="仿宋" w:hAnsi="仿宋" w:eastAsia="仿宋" w:cs="仿宋_GB2312"/>
          <w:color w:val="auto"/>
          <w:sz w:val="24"/>
          <w:szCs w:val="24"/>
          <w:highlight w:val="none"/>
          <w:lang w:eastAsia="zh-Hans"/>
        </w:rPr>
        <w:t>在本项目实施过程中使用</w:t>
      </w:r>
      <w:r>
        <w:rPr>
          <w:rFonts w:hint="eastAsia" w:ascii="仿宋" w:hAnsi="仿宋" w:eastAsia="仿宋" w:cs="仿宋_GB2312"/>
          <w:color w:val="auto"/>
          <w:sz w:val="24"/>
          <w:szCs w:val="24"/>
          <w:highlight w:val="none"/>
          <w:lang w:eastAsia="zh-Hans"/>
        </w:rPr>
        <w:t>乙方</w:t>
      </w:r>
      <w:r>
        <w:rPr>
          <w:rFonts w:ascii="仿宋" w:hAnsi="仿宋" w:eastAsia="仿宋" w:cs="仿宋_GB2312"/>
          <w:color w:val="auto"/>
          <w:sz w:val="24"/>
          <w:szCs w:val="24"/>
          <w:highlight w:val="none"/>
          <w:lang w:eastAsia="zh-Hans"/>
        </w:rPr>
        <w:t>自有的软件产品或功能模块，应向</w:t>
      </w:r>
      <w:r>
        <w:rPr>
          <w:rFonts w:hint="eastAsia" w:ascii="仿宋" w:hAnsi="仿宋" w:eastAsia="仿宋" w:cs="仿宋_GB2312"/>
          <w:color w:val="auto"/>
          <w:sz w:val="24"/>
          <w:szCs w:val="24"/>
          <w:highlight w:val="none"/>
        </w:rPr>
        <w:t>甲方</w:t>
      </w:r>
      <w:r>
        <w:rPr>
          <w:rFonts w:ascii="仿宋" w:hAnsi="仿宋" w:eastAsia="仿宋" w:cs="仿宋_GB2312"/>
          <w:color w:val="auto"/>
          <w:sz w:val="24"/>
          <w:szCs w:val="24"/>
          <w:highlight w:val="none"/>
          <w:lang w:eastAsia="zh-Hans"/>
        </w:rPr>
        <w:t>开放源代码，</w:t>
      </w:r>
      <w:r>
        <w:rPr>
          <w:rFonts w:hint="eastAsia" w:ascii="仿宋" w:hAnsi="仿宋" w:eastAsia="仿宋" w:cs="仿宋_GB2312"/>
          <w:color w:val="auto"/>
          <w:sz w:val="24"/>
          <w:szCs w:val="24"/>
          <w:highlight w:val="none"/>
        </w:rPr>
        <w:t>甲方</w:t>
      </w:r>
      <w:r>
        <w:rPr>
          <w:rFonts w:ascii="仿宋" w:hAnsi="仿宋" w:eastAsia="仿宋" w:cs="仿宋_GB2312"/>
          <w:color w:val="auto"/>
          <w:sz w:val="24"/>
          <w:szCs w:val="24"/>
          <w:highlight w:val="none"/>
          <w:lang w:eastAsia="zh-Hans"/>
        </w:rPr>
        <w:t>有权不限期限地进行二次开发；若</w:t>
      </w:r>
      <w:r>
        <w:rPr>
          <w:rFonts w:hint="eastAsia" w:ascii="仿宋" w:hAnsi="仿宋" w:eastAsia="仿宋" w:cs="仿宋_GB2312"/>
          <w:color w:val="auto"/>
          <w:sz w:val="24"/>
          <w:szCs w:val="24"/>
          <w:highlight w:val="none"/>
          <w:lang w:eastAsia="zh-Hans"/>
        </w:rPr>
        <w:t>乙方</w:t>
      </w:r>
      <w:r>
        <w:rPr>
          <w:rFonts w:ascii="仿宋" w:hAnsi="仿宋" w:eastAsia="仿宋" w:cs="仿宋_GB2312"/>
          <w:color w:val="auto"/>
          <w:sz w:val="24"/>
          <w:szCs w:val="24"/>
          <w:highlight w:val="none"/>
          <w:lang w:eastAsia="zh-Hans"/>
        </w:rPr>
        <w:t>在本项目中采用第三方软件或产品，</w:t>
      </w:r>
      <w:r>
        <w:rPr>
          <w:rFonts w:hint="eastAsia" w:ascii="仿宋" w:hAnsi="仿宋" w:eastAsia="仿宋" w:cs="仿宋_GB2312"/>
          <w:color w:val="auto"/>
          <w:sz w:val="24"/>
          <w:szCs w:val="24"/>
          <w:highlight w:val="none"/>
          <w:lang w:eastAsia="zh-Hans"/>
        </w:rPr>
        <w:t>乙方</w:t>
      </w:r>
      <w:r>
        <w:rPr>
          <w:rFonts w:ascii="仿宋" w:hAnsi="仿宋" w:eastAsia="仿宋" w:cs="仿宋_GB2312"/>
          <w:color w:val="auto"/>
          <w:sz w:val="24"/>
          <w:szCs w:val="24"/>
          <w:highlight w:val="none"/>
          <w:lang w:eastAsia="zh-Hans"/>
        </w:rPr>
        <w:t>应保证其均是在中国境内具有合法版</w:t>
      </w:r>
      <w:r>
        <w:rPr>
          <w:rFonts w:hint="eastAsia" w:ascii="仿宋" w:hAnsi="仿宋" w:eastAsia="仿宋" w:cs="仿宋_GB2312"/>
          <w:color w:val="auto"/>
          <w:sz w:val="24"/>
          <w:szCs w:val="24"/>
          <w:highlight w:val="none"/>
          <w:lang w:eastAsia="zh-Hans"/>
        </w:rPr>
        <w:t>权的正版软件。</w:t>
      </w:r>
    </w:p>
    <w:p w14:paraId="40E6D52D">
      <w:pPr>
        <w:tabs>
          <w:tab w:val="left" w:pos="567"/>
          <w:tab w:val="left" w:pos="840"/>
          <w:tab w:val="left" w:pos="1440"/>
        </w:tabs>
        <w:spacing w:line="420" w:lineRule="exact"/>
        <w:ind w:firstLine="482" w:firstLineChars="200"/>
        <w:rPr>
          <w:rFonts w:ascii="仿宋" w:hAnsi="仿宋" w:eastAsia="仿宋" w:cs="仿宋_GB2312"/>
          <w:b/>
          <w:color w:val="auto"/>
          <w:sz w:val="24"/>
          <w:szCs w:val="24"/>
          <w:highlight w:val="none"/>
        </w:rPr>
      </w:pPr>
      <w:r>
        <w:rPr>
          <w:rFonts w:ascii="仿宋" w:hAnsi="仿宋" w:eastAsia="仿宋" w:cs="仿宋_GB2312"/>
          <w:b/>
          <w:color w:val="auto"/>
          <w:sz w:val="24"/>
          <w:szCs w:val="24"/>
          <w:highlight w:val="none"/>
        </w:rPr>
        <w:t xml:space="preserve">4.2 </w:t>
      </w:r>
      <w:r>
        <w:rPr>
          <w:rFonts w:hint="eastAsia" w:ascii="仿宋" w:hAnsi="仿宋" w:eastAsia="仿宋" w:cs="仿宋_GB2312"/>
          <w:b/>
          <w:color w:val="auto"/>
          <w:sz w:val="24"/>
          <w:szCs w:val="24"/>
          <w:highlight w:val="none"/>
        </w:rPr>
        <w:t>技术培训</w:t>
      </w:r>
    </w:p>
    <w:p w14:paraId="31D32C39">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本项目</w:t>
      </w:r>
      <w:r>
        <w:rPr>
          <w:rFonts w:hint="eastAsia" w:ascii="仿宋" w:hAnsi="仿宋" w:eastAsia="仿宋" w:cs="仿宋_GB2312"/>
          <w:color w:val="auto"/>
          <w:sz w:val="24"/>
          <w:szCs w:val="24"/>
          <w:highlight w:val="none"/>
          <w:lang w:val="en-US" w:eastAsia="zh-CN"/>
        </w:rPr>
        <w:t>履约期内</w:t>
      </w:r>
      <w:r>
        <w:rPr>
          <w:rFonts w:hint="eastAsia" w:ascii="仿宋" w:hAnsi="仿宋" w:eastAsia="仿宋" w:cs="仿宋_GB2312"/>
          <w:color w:val="auto"/>
          <w:sz w:val="24"/>
          <w:szCs w:val="24"/>
          <w:highlight w:val="none"/>
        </w:rPr>
        <w:t>，乙方应根据甲方的请求，指派技术人员向甲方相关人员进行培训，以传授开发软件/成果的操作和使用方法。</w:t>
      </w:r>
    </w:p>
    <w:p w14:paraId="2DE8634C">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（1）培训要求：</w:t>
      </w:r>
      <w:r>
        <w:rPr>
          <w:rFonts w:ascii="Calibri" w:hAnsi="Calibri" w:eastAsia="仿宋" w:cs="Calibri"/>
          <w:color w:val="auto"/>
          <w:sz w:val="24"/>
          <w:szCs w:val="24"/>
          <w:highlight w:val="none"/>
        </w:rPr>
        <w:t> </w:t>
      </w:r>
      <w:r>
        <w:rPr>
          <w:rFonts w:hint="eastAsia" w:ascii="Calibri" w:hAnsi="Calibri" w:eastAsia="仿宋" w:cs="Calibri"/>
          <w:color w:val="auto"/>
          <w:sz w:val="24"/>
          <w:szCs w:val="24"/>
          <w:highlight w:val="none"/>
        </w:rPr>
        <w:t>乙方根据甲方要求，在应用系统验收后在甲方所在地为甲方选定的业务人员提供现场业务培训。</w:t>
      </w:r>
    </w:p>
    <w:p w14:paraId="04C1619C">
      <w:pPr>
        <w:tabs>
          <w:tab w:val="left" w:pos="567"/>
          <w:tab w:val="left" w:pos="840"/>
          <w:tab w:val="left" w:pos="1440"/>
        </w:tabs>
        <w:spacing w:line="420" w:lineRule="exact"/>
        <w:ind w:firstLine="480" w:firstLineChars="200"/>
        <w:rPr>
          <w:rFonts w:hint="eastAsia" w:ascii="仿宋" w:hAnsi="仿宋" w:eastAsia="仿宋" w:cs="仿宋_GB2312"/>
          <w:color w:val="auto"/>
          <w:sz w:val="24"/>
          <w:szCs w:val="24"/>
          <w:highlight w:val="none"/>
          <w:lang w:eastAsia="zh-CN"/>
        </w:rPr>
      </w:pPr>
      <w:r>
        <w:rPr>
          <w:rFonts w:hint="eastAsia" w:ascii="仿宋" w:hAnsi="仿宋" w:eastAsia="仿宋" w:cs="仿宋_GB2312"/>
          <w:color w:val="auto"/>
          <w:sz w:val="24"/>
          <w:szCs w:val="24"/>
          <w:highlight w:val="none"/>
        </w:rPr>
        <w:t>（2）培训目标：使甲方业务操作人员熟悉应用系统的业务流程及业务处理情况。</w:t>
      </w:r>
    </w:p>
    <w:p w14:paraId="3FEC21FD">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lang w:eastAsia="zh-Hans"/>
        </w:rPr>
      </w:pPr>
      <w:r>
        <w:rPr>
          <w:rFonts w:hint="eastAsia" w:ascii="仿宋" w:hAnsi="仿宋" w:eastAsia="仿宋" w:cs="仿宋_GB2312"/>
          <w:color w:val="auto"/>
          <w:sz w:val="24"/>
          <w:szCs w:val="24"/>
          <w:highlight w:val="none"/>
        </w:rPr>
        <w:t>（3）培训地点：甲方</w:t>
      </w:r>
      <w:r>
        <w:rPr>
          <w:rFonts w:hint="eastAsia" w:ascii="仿宋" w:hAnsi="仿宋" w:eastAsia="仿宋" w:cs="仿宋_GB2312"/>
          <w:color w:val="auto"/>
          <w:sz w:val="24"/>
          <w:szCs w:val="24"/>
          <w:highlight w:val="none"/>
          <w:lang w:eastAsia="zh-Hans"/>
        </w:rPr>
        <w:t>指定地点</w:t>
      </w:r>
      <w:r>
        <w:rPr>
          <w:rFonts w:hint="eastAsia" w:ascii="仿宋" w:hAnsi="仿宋" w:eastAsia="仿宋" w:cs="仿宋_GB2312"/>
          <w:color w:val="auto"/>
          <w:sz w:val="24"/>
          <w:szCs w:val="24"/>
          <w:highlight w:val="none"/>
        </w:rPr>
        <w:t>。</w:t>
      </w:r>
    </w:p>
    <w:p w14:paraId="5D8BC60B">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（4）培训次数：不少于</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u w:val="single"/>
          <w:lang w:val="en-US" w:eastAsia="zh-CN"/>
        </w:rPr>
        <w:t>2</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次，每次不少于</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u w:val="single"/>
          <w:lang w:val="en-US" w:eastAsia="zh-CN"/>
        </w:rPr>
        <w:t>1</w:t>
      </w:r>
      <w:r>
        <w:rPr>
          <w:rFonts w:hint="eastAsia" w:ascii="仿宋" w:hAnsi="仿宋" w:eastAsia="仿宋" w:cs="仿宋_GB2312"/>
          <w:color w:val="auto"/>
          <w:sz w:val="24"/>
          <w:szCs w:val="24"/>
          <w:highlight w:val="none"/>
          <w:u w:val="single"/>
        </w:rPr>
        <w:t xml:space="preserve"> </w:t>
      </w:r>
      <w:r>
        <w:rPr>
          <w:rFonts w:hint="eastAsia" w:ascii="仿宋" w:hAnsi="仿宋" w:eastAsia="仿宋" w:cs="仿宋_GB2312"/>
          <w:color w:val="auto"/>
          <w:sz w:val="24"/>
          <w:szCs w:val="24"/>
          <w:highlight w:val="none"/>
        </w:rPr>
        <w:t>小时。</w:t>
      </w:r>
    </w:p>
    <w:p w14:paraId="41DB8046">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（5）乙方人员提供技术培训而产生的</w:t>
      </w:r>
      <w:r>
        <w:rPr>
          <w:rFonts w:hint="eastAsia" w:ascii="仿宋" w:hAnsi="仿宋" w:eastAsia="仿宋" w:cs="仿宋_GB2312"/>
          <w:color w:val="auto"/>
          <w:sz w:val="24"/>
          <w:szCs w:val="24"/>
          <w:highlight w:val="none"/>
          <w:lang w:eastAsia="zh-Hans"/>
        </w:rPr>
        <w:t>各项费用由乙</w:t>
      </w:r>
      <w:r>
        <w:rPr>
          <w:rFonts w:hint="eastAsia" w:ascii="仿宋" w:hAnsi="仿宋" w:eastAsia="仿宋" w:cs="仿宋_GB2312"/>
          <w:color w:val="auto"/>
          <w:sz w:val="24"/>
          <w:szCs w:val="24"/>
          <w:highlight w:val="none"/>
        </w:rPr>
        <w:t>方</w:t>
      </w:r>
      <w:r>
        <w:rPr>
          <w:rFonts w:hint="eastAsia" w:ascii="仿宋" w:hAnsi="仿宋" w:eastAsia="仿宋" w:cs="仿宋_GB2312"/>
          <w:color w:val="auto"/>
          <w:sz w:val="24"/>
          <w:szCs w:val="24"/>
          <w:highlight w:val="none"/>
          <w:lang w:eastAsia="zh-Hans"/>
        </w:rPr>
        <w:t>自行</w:t>
      </w:r>
      <w:r>
        <w:rPr>
          <w:rFonts w:hint="eastAsia" w:ascii="仿宋" w:hAnsi="仿宋" w:eastAsia="仿宋" w:cs="仿宋_GB2312"/>
          <w:color w:val="auto"/>
          <w:sz w:val="24"/>
          <w:szCs w:val="24"/>
          <w:highlight w:val="none"/>
        </w:rPr>
        <w:t>负责。</w:t>
      </w:r>
    </w:p>
    <w:p w14:paraId="122BBE7B">
      <w:pPr>
        <w:tabs>
          <w:tab w:val="left" w:pos="567"/>
          <w:tab w:val="left" w:pos="840"/>
          <w:tab w:val="left" w:pos="1440"/>
        </w:tabs>
        <w:spacing w:line="420" w:lineRule="exact"/>
        <w:ind w:firstLine="480" w:firstLineChars="200"/>
        <w:rPr>
          <w:rFonts w:hint="eastAsia" w:ascii="仿宋" w:hAnsi="仿宋" w:eastAsia="仿宋" w:cs="仿宋_GB2312"/>
          <w:color w:val="auto"/>
          <w:sz w:val="24"/>
          <w:szCs w:val="24"/>
          <w:highlight w:val="none"/>
          <w:u w:val="single"/>
          <w:lang w:eastAsia="zh-CN"/>
        </w:rPr>
      </w:pPr>
      <w:r>
        <w:rPr>
          <w:rFonts w:hint="eastAsia" w:ascii="仿宋" w:hAnsi="仿宋" w:eastAsia="仿宋" w:cs="仿宋_GB2312"/>
          <w:color w:val="auto"/>
          <w:sz w:val="24"/>
          <w:szCs w:val="24"/>
          <w:highlight w:val="none"/>
        </w:rPr>
        <w:t>（6）其他要求：</w:t>
      </w:r>
      <w:r>
        <w:rPr>
          <w:rFonts w:hint="eastAsia" w:ascii="仿宋" w:hAnsi="仿宋" w:eastAsia="仿宋" w:cs="仿宋_GB2312"/>
          <w:color w:val="auto"/>
          <w:sz w:val="24"/>
          <w:szCs w:val="24"/>
          <w:highlight w:val="none"/>
          <w:u w:val="single"/>
          <w:lang w:val="en-US" w:eastAsia="zh-CN"/>
        </w:rPr>
        <w:t>无。</w:t>
      </w:r>
    </w:p>
    <w:p w14:paraId="7B989776">
      <w:pPr>
        <w:tabs>
          <w:tab w:val="left" w:pos="567"/>
          <w:tab w:val="left" w:pos="840"/>
          <w:tab w:val="left" w:pos="1440"/>
        </w:tabs>
        <w:spacing w:line="420" w:lineRule="exact"/>
        <w:ind w:firstLine="482" w:firstLineChars="200"/>
        <w:rPr>
          <w:rFonts w:ascii="仿宋" w:hAnsi="仿宋" w:eastAsia="仿宋" w:cs="仿宋_GB2312"/>
          <w:b/>
          <w:color w:val="auto"/>
          <w:sz w:val="24"/>
          <w:szCs w:val="24"/>
          <w:highlight w:val="none"/>
          <w:lang w:eastAsia="zh-Hans"/>
        </w:rPr>
      </w:pPr>
      <w:r>
        <w:rPr>
          <w:rFonts w:ascii="仿宋" w:hAnsi="仿宋" w:eastAsia="仿宋" w:cs="仿宋_GB2312"/>
          <w:b/>
          <w:color w:val="auto"/>
          <w:sz w:val="24"/>
          <w:szCs w:val="24"/>
          <w:highlight w:val="none"/>
          <w:lang w:eastAsia="zh-Hans"/>
        </w:rPr>
        <w:t xml:space="preserve">4.3 </w:t>
      </w:r>
      <w:r>
        <w:rPr>
          <w:rFonts w:hint="eastAsia" w:ascii="仿宋" w:hAnsi="仿宋" w:eastAsia="仿宋" w:cs="仿宋_GB2312"/>
          <w:b/>
          <w:color w:val="auto"/>
          <w:sz w:val="24"/>
          <w:szCs w:val="24"/>
          <w:highlight w:val="none"/>
          <w:lang w:eastAsia="zh-Hans"/>
        </w:rPr>
        <w:t>成果</w:t>
      </w:r>
      <w:r>
        <w:rPr>
          <w:rFonts w:hint="eastAsia" w:ascii="仿宋" w:hAnsi="仿宋" w:eastAsia="仿宋" w:cs="仿宋_GB2312"/>
          <w:b/>
          <w:color w:val="auto"/>
          <w:sz w:val="24"/>
          <w:szCs w:val="24"/>
          <w:highlight w:val="none"/>
        </w:rPr>
        <w:t>维护和问题解决</w:t>
      </w:r>
    </w:p>
    <w:p w14:paraId="668B76CC">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lang w:eastAsia="zh-Hans"/>
        </w:rPr>
      </w:pPr>
      <w:r>
        <w:rPr>
          <w:rFonts w:hint="eastAsia" w:ascii="仿宋" w:hAnsi="仿宋" w:eastAsia="仿宋" w:cs="仿宋_GB2312"/>
          <w:color w:val="auto"/>
          <w:sz w:val="24"/>
          <w:szCs w:val="24"/>
          <w:highlight w:val="none"/>
          <w:lang w:eastAsia="zh-Hans"/>
        </w:rPr>
        <w:t>（</w:t>
      </w:r>
      <w:r>
        <w:rPr>
          <w:rFonts w:hint="eastAsia" w:ascii="仿宋" w:hAnsi="仿宋" w:eastAsia="仿宋" w:cs="仿宋_GB2312"/>
          <w:color w:val="auto"/>
          <w:sz w:val="24"/>
          <w:szCs w:val="24"/>
          <w:highlight w:val="none"/>
        </w:rPr>
        <w:t>1</w:t>
      </w:r>
      <w:r>
        <w:rPr>
          <w:rFonts w:hint="eastAsia" w:ascii="仿宋" w:hAnsi="仿宋" w:eastAsia="仿宋" w:cs="仿宋_GB2312"/>
          <w:color w:val="auto"/>
          <w:sz w:val="24"/>
          <w:szCs w:val="24"/>
          <w:highlight w:val="none"/>
          <w:lang w:eastAsia="zh-Hans"/>
        </w:rPr>
        <w:t>）定义：（</w:t>
      </w:r>
      <w:r>
        <w:rPr>
          <w:rFonts w:hint="eastAsia" w:ascii="仿宋" w:hAnsi="仿宋" w:eastAsia="仿宋" w:cs="仿宋_GB2312"/>
          <w:color w:val="auto"/>
          <w:sz w:val="24"/>
          <w:szCs w:val="24"/>
          <w:highlight w:val="none"/>
        </w:rPr>
        <w:t>a</w:t>
      </w:r>
      <w:r>
        <w:rPr>
          <w:rFonts w:hint="eastAsia" w:ascii="仿宋" w:hAnsi="仿宋" w:eastAsia="仿宋" w:cs="仿宋_GB2312"/>
          <w:color w:val="auto"/>
          <w:sz w:val="24"/>
          <w:szCs w:val="24"/>
          <w:highlight w:val="none"/>
          <w:lang w:eastAsia="zh-Hans"/>
        </w:rPr>
        <w:t>）</w:t>
      </w:r>
      <w:r>
        <w:rPr>
          <w:rFonts w:hint="eastAsia" w:ascii="仿宋" w:hAnsi="仿宋" w:eastAsia="仿宋" w:cs="仿宋_GB2312"/>
          <w:color w:val="auto"/>
          <w:sz w:val="24"/>
          <w:szCs w:val="24"/>
          <w:highlight w:val="none"/>
        </w:rPr>
        <w:t>致命问题：造成系统崩溃、死机、并且不能通过其它方法恢复，进而导致数据丢失、主要功能完全丧失等。 （b）严重问题：导致</w:t>
      </w:r>
      <w:r>
        <w:rPr>
          <w:rFonts w:hint="eastAsia" w:ascii="仿宋" w:hAnsi="仿宋" w:eastAsia="仿宋" w:cs="仿宋_GB2312"/>
          <w:color w:val="auto"/>
          <w:sz w:val="24"/>
          <w:szCs w:val="24"/>
          <w:highlight w:val="none"/>
          <w:lang w:eastAsia="zh-Hans"/>
        </w:rPr>
        <w:t>交付成果</w:t>
      </w:r>
      <w:r>
        <w:rPr>
          <w:rFonts w:hint="eastAsia" w:ascii="仿宋" w:hAnsi="仿宋" w:eastAsia="仿宋" w:cs="仿宋_GB2312"/>
          <w:color w:val="auto"/>
          <w:sz w:val="24"/>
          <w:szCs w:val="24"/>
          <w:highlight w:val="none"/>
        </w:rPr>
        <w:t>无法运行或使软件的使用可能导致数据丢失、损坏或泄露的错误、故障或失灵。（c）一般问题：任何导致</w:t>
      </w:r>
      <w:r>
        <w:rPr>
          <w:rFonts w:hint="eastAsia" w:ascii="仿宋" w:hAnsi="仿宋" w:eastAsia="仿宋" w:cs="仿宋_GB2312"/>
          <w:color w:val="auto"/>
          <w:sz w:val="24"/>
          <w:szCs w:val="24"/>
          <w:highlight w:val="none"/>
          <w:lang w:eastAsia="zh-Hans"/>
        </w:rPr>
        <w:t>交付成果</w:t>
      </w:r>
      <w:r>
        <w:rPr>
          <w:rFonts w:hint="eastAsia" w:ascii="仿宋" w:hAnsi="仿宋" w:eastAsia="仿宋" w:cs="仿宋_GB2312"/>
          <w:color w:val="auto"/>
          <w:sz w:val="24"/>
          <w:szCs w:val="24"/>
          <w:highlight w:val="none"/>
        </w:rPr>
        <w:t>不能正常发挥功能的错误、故障或失灵。（d）改善请求：甲方要求在软件中增加新的功能或特征，或改进现有的功能或特征。</w:t>
      </w:r>
    </w:p>
    <w:p w14:paraId="634CFC4B">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（2）乙方将尽合理商业努力，按如下响应时间表提供应急/修复方案。</w:t>
      </w:r>
    </w:p>
    <w:p w14:paraId="2B3BE710">
      <w:pPr>
        <w:tabs>
          <w:tab w:val="left" w:pos="567"/>
          <w:tab w:val="left" w:pos="840"/>
          <w:tab w:val="left" w:pos="1440"/>
        </w:tabs>
        <w:spacing w:line="420" w:lineRule="exact"/>
        <w:ind w:firstLine="480" w:firstLineChars="200"/>
        <w:rPr>
          <w:rFonts w:hint="eastAsia" w:ascii="仿宋" w:hAnsi="仿宋" w:eastAsia="仿宋" w:cs="仿宋_GB2312"/>
          <w:color w:val="auto"/>
          <w:sz w:val="24"/>
          <w:szCs w:val="24"/>
          <w:highlight w:val="none"/>
          <w:u w:val="none"/>
        </w:rPr>
      </w:pPr>
      <w:r>
        <w:rPr>
          <w:rFonts w:hint="eastAsia" w:ascii="仿宋" w:hAnsi="仿宋" w:eastAsia="仿宋" w:cs="仿宋_GB2312"/>
          <w:color w:val="auto"/>
          <w:sz w:val="24"/>
          <w:szCs w:val="24"/>
          <w:highlight w:val="none"/>
          <w:u w:val="none"/>
        </w:rPr>
        <w:t>0.5小时内提出严重问题的应急/修复方案，并在 1 小时内完成维护和支持；</w:t>
      </w:r>
    </w:p>
    <w:p w14:paraId="66358DA1">
      <w:pPr>
        <w:tabs>
          <w:tab w:val="left" w:pos="567"/>
          <w:tab w:val="left" w:pos="840"/>
          <w:tab w:val="left" w:pos="1440"/>
        </w:tabs>
        <w:spacing w:line="420" w:lineRule="exact"/>
        <w:ind w:firstLine="480" w:firstLineChars="200"/>
        <w:rPr>
          <w:rFonts w:hint="eastAsia" w:ascii="仿宋" w:hAnsi="仿宋" w:eastAsia="仿宋" w:cs="仿宋_GB2312"/>
          <w:color w:val="auto"/>
          <w:sz w:val="24"/>
          <w:szCs w:val="24"/>
          <w:highlight w:val="none"/>
          <w:u w:val="none"/>
        </w:rPr>
      </w:pPr>
      <w:r>
        <w:rPr>
          <w:rFonts w:hint="eastAsia" w:ascii="仿宋" w:hAnsi="仿宋" w:eastAsia="仿宋" w:cs="仿宋_GB2312"/>
          <w:color w:val="auto"/>
          <w:sz w:val="24"/>
          <w:szCs w:val="24"/>
          <w:highlight w:val="none"/>
          <w:u w:val="none"/>
        </w:rPr>
        <w:t>4小时内提出一般问题的应急/修复方案，并在 1 天内完成维护和支持；</w:t>
      </w:r>
    </w:p>
    <w:p w14:paraId="5ABD7D7E">
      <w:pPr>
        <w:tabs>
          <w:tab w:val="left" w:pos="567"/>
          <w:tab w:val="left" w:pos="840"/>
          <w:tab w:val="left" w:pos="1440"/>
        </w:tabs>
        <w:spacing w:line="420" w:lineRule="exact"/>
        <w:ind w:firstLine="480" w:firstLineChars="200"/>
        <w:rPr>
          <w:rFonts w:hint="eastAsia" w:ascii="仿宋" w:hAnsi="仿宋" w:eastAsia="仿宋" w:cs="仿宋_GB2312"/>
          <w:color w:val="auto"/>
          <w:sz w:val="24"/>
          <w:szCs w:val="24"/>
          <w:highlight w:val="none"/>
          <w:u w:val="none"/>
        </w:rPr>
      </w:pPr>
      <w:r>
        <w:rPr>
          <w:rFonts w:hint="eastAsia" w:ascii="仿宋" w:hAnsi="仿宋" w:eastAsia="仿宋" w:cs="仿宋_GB2312"/>
          <w:color w:val="auto"/>
          <w:sz w:val="24"/>
          <w:szCs w:val="24"/>
          <w:highlight w:val="none"/>
          <w:u w:val="none"/>
        </w:rPr>
        <w:t>5天内提出改善请求的应急/修复方案，并在 15 天内完成维护和支持。</w:t>
      </w:r>
    </w:p>
    <w:p w14:paraId="74B292B6">
      <w:pPr>
        <w:tabs>
          <w:tab w:val="left" w:pos="567"/>
          <w:tab w:val="left" w:pos="840"/>
          <w:tab w:val="left" w:pos="1440"/>
        </w:tabs>
        <w:spacing w:line="420" w:lineRule="exact"/>
        <w:ind w:firstLine="482" w:firstLineChars="200"/>
        <w:rPr>
          <w:rFonts w:ascii="仿宋" w:hAnsi="仿宋" w:eastAsia="仿宋" w:cs="仿宋_GB2312"/>
          <w:b/>
          <w:color w:val="auto"/>
          <w:sz w:val="24"/>
          <w:szCs w:val="24"/>
          <w:highlight w:val="none"/>
          <w:lang w:eastAsia="zh-Hans"/>
        </w:rPr>
      </w:pPr>
      <w:r>
        <w:rPr>
          <w:rFonts w:ascii="仿宋" w:hAnsi="仿宋" w:eastAsia="仿宋" w:cs="仿宋_GB2312"/>
          <w:b/>
          <w:color w:val="auto"/>
          <w:sz w:val="24"/>
          <w:szCs w:val="24"/>
          <w:highlight w:val="none"/>
          <w:lang w:eastAsia="zh-Hans"/>
        </w:rPr>
        <w:t>4.</w:t>
      </w:r>
      <w:r>
        <w:rPr>
          <w:rFonts w:hint="eastAsia" w:ascii="仿宋" w:hAnsi="仿宋" w:eastAsia="仿宋" w:cs="仿宋_GB2312"/>
          <w:b/>
          <w:color w:val="auto"/>
          <w:sz w:val="24"/>
          <w:szCs w:val="24"/>
          <w:highlight w:val="none"/>
          <w:lang w:val="en-US" w:eastAsia="zh-CN"/>
        </w:rPr>
        <w:t>4</w:t>
      </w:r>
      <w:r>
        <w:rPr>
          <w:rFonts w:ascii="仿宋" w:hAnsi="仿宋" w:eastAsia="仿宋" w:cs="仿宋_GB2312"/>
          <w:b/>
          <w:color w:val="auto"/>
          <w:sz w:val="24"/>
          <w:szCs w:val="24"/>
          <w:highlight w:val="none"/>
          <w:lang w:eastAsia="zh-Hans"/>
        </w:rPr>
        <w:t xml:space="preserve"> </w:t>
      </w:r>
      <w:r>
        <w:rPr>
          <w:rFonts w:hint="eastAsia" w:ascii="仿宋" w:hAnsi="仿宋" w:eastAsia="仿宋" w:cs="仿宋_GB2312"/>
          <w:b/>
          <w:color w:val="auto"/>
          <w:sz w:val="24"/>
          <w:szCs w:val="24"/>
          <w:highlight w:val="none"/>
          <w:lang w:eastAsia="zh-Hans"/>
        </w:rPr>
        <w:t>质量保证</w:t>
      </w:r>
    </w:p>
    <w:p w14:paraId="76AD20E6">
      <w:pPr>
        <w:numPr>
          <w:ilvl w:val="-1"/>
          <w:numId w:val="0"/>
        </w:numPr>
        <w:tabs>
          <w:tab w:val="left" w:pos="567"/>
          <w:tab w:val="left" w:pos="840"/>
          <w:tab w:val="left" w:pos="1440"/>
        </w:tabs>
        <w:spacing w:line="420" w:lineRule="exact"/>
        <w:ind w:firstLine="480" w:firstLineChars="200"/>
        <w:jc w:val="left"/>
        <w:rPr>
          <w:rFonts w:hint="eastAsia" w:ascii="仿宋" w:hAnsi="仿宋" w:eastAsia="仿宋" w:cs="仿宋_GB2312"/>
          <w:color w:val="auto"/>
          <w:sz w:val="24"/>
          <w:szCs w:val="24"/>
          <w:highlight w:val="none"/>
          <w:u w:val="none"/>
        </w:rPr>
      </w:pPr>
      <w:r>
        <w:rPr>
          <w:rFonts w:hint="eastAsia" w:ascii="仿宋" w:hAnsi="仿宋" w:eastAsia="仿宋" w:cs="仿宋_GB2312"/>
          <w:color w:val="auto"/>
          <w:sz w:val="24"/>
          <w:szCs w:val="24"/>
          <w:highlight w:val="none"/>
          <w:u w:val="none"/>
        </w:rPr>
        <w:t>（1）供应商保证其所提供的技术资料是完整的、清晰和准确的，且符合本合同及附件的有关规定。</w:t>
      </w:r>
    </w:p>
    <w:p w14:paraId="57F17087">
      <w:pPr>
        <w:numPr>
          <w:ilvl w:val="-1"/>
          <w:numId w:val="0"/>
        </w:numPr>
        <w:tabs>
          <w:tab w:val="left" w:pos="567"/>
          <w:tab w:val="left" w:pos="840"/>
          <w:tab w:val="left" w:pos="1440"/>
        </w:tabs>
        <w:spacing w:line="420" w:lineRule="exact"/>
        <w:ind w:firstLine="480" w:firstLineChars="200"/>
        <w:jc w:val="left"/>
        <w:rPr>
          <w:rFonts w:hint="eastAsia" w:ascii="仿宋" w:hAnsi="仿宋" w:eastAsia="仿宋" w:cs="仿宋_GB2312"/>
          <w:color w:val="auto"/>
          <w:sz w:val="24"/>
          <w:szCs w:val="24"/>
          <w:highlight w:val="none"/>
          <w:u w:val="none"/>
        </w:rPr>
      </w:pPr>
      <w:r>
        <w:rPr>
          <w:rFonts w:hint="eastAsia" w:ascii="仿宋" w:hAnsi="仿宋" w:eastAsia="仿宋" w:cs="仿宋_GB2312"/>
          <w:color w:val="auto"/>
          <w:sz w:val="24"/>
          <w:szCs w:val="24"/>
          <w:highlight w:val="none"/>
          <w:u w:val="none"/>
        </w:rPr>
        <w:t>（2）供应商保证提供的货物符合中华人民共和国国家相关标准、相关行业标准、合同技术规范以及原厂商质量标准，并在出厂前通过原厂商质量测试和检验。</w:t>
      </w:r>
    </w:p>
    <w:p w14:paraId="3A2A3083">
      <w:pPr>
        <w:numPr>
          <w:ilvl w:val="-1"/>
          <w:numId w:val="0"/>
        </w:numPr>
        <w:tabs>
          <w:tab w:val="left" w:pos="567"/>
          <w:tab w:val="left" w:pos="840"/>
          <w:tab w:val="left" w:pos="1440"/>
        </w:tabs>
        <w:spacing w:line="420" w:lineRule="exact"/>
        <w:ind w:firstLine="480" w:firstLineChars="200"/>
        <w:jc w:val="left"/>
        <w:rPr>
          <w:rFonts w:hint="eastAsia" w:ascii="仿宋" w:hAnsi="仿宋" w:eastAsia="仿宋" w:cs="仿宋_GB2312"/>
          <w:color w:val="auto"/>
          <w:sz w:val="24"/>
          <w:szCs w:val="24"/>
          <w:highlight w:val="none"/>
          <w:u w:val="none"/>
          <w:lang w:eastAsia="zh-CN"/>
        </w:rPr>
      </w:pPr>
      <w:r>
        <w:rPr>
          <w:rFonts w:hint="eastAsia" w:ascii="仿宋" w:hAnsi="仿宋" w:eastAsia="仿宋" w:cs="仿宋_GB2312"/>
          <w:color w:val="auto"/>
          <w:sz w:val="24"/>
          <w:szCs w:val="24"/>
          <w:highlight w:val="none"/>
          <w:u w:val="none"/>
        </w:rPr>
        <w:t>（</w:t>
      </w:r>
      <w:r>
        <w:rPr>
          <w:rFonts w:hint="eastAsia" w:ascii="仿宋" w:hAnsi="仿宋" w:eastAsia="仿宋" w:cs="仿宋_GB2312"/>
          <w:color w:val="auto"/>
          <w:sz w:val="24"/>
          <w:szCs w:val="24"/>
          <w:highlight w:val="none"/>
          <w:u w:val="none"/>
          <w:lang w:val="en-US" w:eastAsia="zh-CN"/>
        </w:rPr>
        <w:t>3</w:t>
      </w:r>
      <w:r>
        <w:rPr>
          <w:rFonts w:hint="eastAsia" w:ascii="仿宋" w:hAnsi="仿宋" w:eastAsia="仿宋" w:cs="仿宋_GB2312"/>
          <w:color w:val="auto"/>
          <w:sz w:val="24"/>
          <w:szCs w:val="24"/>
          <w:highlight w:val="none"/>
          <w:u w:val="none"/>
        </w:rPr>
        <w:t>）供应商保证按照采购人要求及时派出合格的技术人员提供准确、充足的技术服务及必要的技术培训，以满足本合同规定的安装、试运行、性能测试、运转及维护的要求</w:t>
      </w:r>
      <w:r>
        <w:rPr>
          <w:rFonts w:hint="eastAsia" w:ascii="仿宋" w:hAnsi="仿宋" w:eastAsia="仿宋" w:cs="仿宋_GB2312"/>
          <w:color w:val="auto"/>
          <w:sz w:val="24"/>
          <w:szCs w:val="24"/>
          <w:highlight w:val="none"/>
          <w:u w:val="none"/>
          <w:lang w:eastAsia="zh-CN"/>
        </w:rPr>
        <w:t>。</w:t>
      </w:r>
    </w:p>
    <w:p w14:paraId="5BC8D548">
      <w:pPr>
        <w:numPr>
          <w:ilvl w:val="0"/>
          <w:numId w:val="0"/>
        </w:numPr>
        <w:tabs>
          <w:tab w:val="left" w:pos="567"/>
          <w:tab w:val="left" w:pos="840"/>
          <w:tab w:val="left" w:pos="1440"/>
        </w:tabs>
        <w:spacing w:line="420" w:lineRule="exact"/>
        <w:ind w:firstLine="480" w:firstLineChars="200"/>
        <w:jc w:val="left"/>
        <w:rPr>
          <w:rFonts w:hint="eastAsia" w:ascii="仿宋" w:hAnsi="仿宋" w:eastAsia="仿宋" w:cs="仿宋_GB2312"/>
          <w:color w:val="auto"/>
          <w:sz w:val="24"/>
          <w:szCs w:val="24"/>
          <w:highlight w:val="none"/>
          <w:u w:val="none"/>
        </w:rPr>
      </w:pPr>
      <w:r>
        <w:rPr>
          <w:rFonts w:hint="eastAsia" w:ascii="仿宋" w:hAnsi="仿宋" w:eastAsia="仿宋" w:cs="仿宋_GB2312"/>
          <w:color w:val="auto"/>
          <w:sz w:val="24"/>
          <w:szCs w:val="24"/>
          <w:highlight w:val="none"/>
          <w:u w:val="none"/>
        </w:rPr>
        <w:t>（</w:t>
      </w:r>
      <w:r>
        <w:rPr>
          <w:rFonts w:hint="eastAsia" w:ascii="仿宋" w:hAnsi="仿宋" w:eastAsia="仿宋" w:cs="仿宋_GB2312"/>
          <w:color w:val="auto"/>
          <w:sz w:val="24"/>
          <w:szCs w:val="24"/>
          <w:highlight w:val="none"/>
          <w:u w:val="none"/>
          <w:lang w:val="en-US" w:eastAsia="zh-CN"/>
        </w:rPr>
        <w:t>4</w:t>
      </w:r>
      <w:r>
        <w:rPr>
          <w:rFonts w:hint="eastAsia" w:ascii="仿宋" w:hAnsi="仿宋" w:eastAsia="仿宋" w:cs="仿宋_GB2312"/>
          <w:color w:val="auto"/>
          <w:sz w:val="24"/>
          <w:szCs w:val="24"/>
          <w:highlight w:val="none"/>
          <w:u w:val="none"/>
        </w:rPr>
        <w:t>）供应商保证货物不存在任何质量瑕疵和权利瑕疵。</w:t>
      </w:r>
    </w:p>
    <w:p w14:paraId="11E59CFF">
      <w:pPr>
        <w:tabs>
          <w:tab w:val="left" w:pos="567"/>
          <w:tab w:val="left" w:pos="840"/>
          <w:tab w:val="left" w:pos="1440"/>
        </w:tabs>
        <w:spacing w:before="156" w:beforeLines="50" w:line="420" w:lineRule="exact"/>
        <w:ind w:firstLine="482" w:firstLineChars="200"/>
        <w:outlineLvl w:val="0"/>
        <w:rPr>
          <w:rFonts w:ascii="仿宋" w:hAnsi="仿宋" w:eastAsia="仿宋" w:cs="仿宋_GB2312"/>
          <w:b/>
          <w:bCs/>
          <w:color w:val="auto"/>
          <w:sz w:val="24"/>
          <w:szCs w:val="24"/>
          <w:highlight w:val="none"/>
        </w:rPr>
      </w:pPr>
      <w:bookmarkStart w:id="79" w:name="_Toc11251679"/>
      <w:bookmarkStart w:id="80" w:name="_Toc30709"/>
      <w:bookmarkStart w:id="81" w:name="_Toc119323243"/>
      <w:r>
        <w:rPr>
          <w:rFonts w:hint="eastAsia" w:ascii="仿宋" w:hAnsi="仿宋" w:eastAsia="仿宋" w:cs="仿宋_GB2312"/>
          <w:b/>
          <w:bCs/>
          <w:color w:val="auto"/>
          <w:sz w:val="24"/>
          <w:szCs w:val="24"/>
          <w:highlight w:val="none"/>
        </w:rPr>
        <w:t xml:space="preserve">第五条 </w:t>
      </w:r>
      <w:bookmarkEnd w:id="79"/>
      <w:r>
        <w:rPr>
          <w:rFonts w:hint="eastAsia" w:ascii="仿宋" w:hAnsi="仿宋" w:eastAsia="仿宋" w:cs="仿宋_GB2312"/>
          <w:b/>
          <w:bCs/>
          <w:color w:val="auto"/>
          <w:sz w:val="24"/>
          <w:szCs w:val="24"/>
          <w:highlight w:val="none"/>
        </w:rPr>
        <w:t>违约责任</w:t>
      </w:r>
      <w:bookmarkEnd w:id="80"/>
      <w:bookmarkEnd w:id="81"/>
    </w:p>
    <w:p w14:paraId="43DECBAB">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.1 乙方提供的服务不满足附件三重要性为“★”项或出具承诺函的“#”项的任何技术要求的，每项按合同总金额5%的比例向甲方支付违约金，并赔偿给甲方造成的损失，同时甲方有权解除合同，且无需承担任何责任。</w:t>
      </w:r>
    </w:p>
    <w:p w14:paraId="6D42F7B2">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.2 如因乙方原因不能完全履约提供服务的（即乙方不能提供服务），乙方应在接到甲方书面通知20个工作日内退还甲方已经支付的全部费用，按合同总额的5%向甲方支付违约金，并承担由此给甲方造成的一切损失。</w:t>
      </w:r>
    </w:p>
    <w:p w14:paraId="30C4EB76">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.3 乙方逾期交付服务成果的（如未能满足业务部门上线要求、未按里程碑要求交付或交付内容无法满足里程碑要求导致里程碑延迟等），每逾期1日，按照合同总金额1.5‰的比例向甲方支付违约金，并赔偿给甲方造成的损失。逾期超过10日，视为乙方根本违约，甲方有权解除合同，并要求乙方按照合同总金额的30%向甲方支付违约金，乙方还应赔偿给甲方造成的损失。</w:t>
      </w:r>
    </w:p>
    <w:p w14:paraId="1DF2E86C">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w:t>
      </w:r>
      <w:r>
        <w:rPr>
          <w:rFonts w:ascii="仿宋" w:hAnsi="仿宋" w:eastAsia="仿宋" w:cs="仿宋_GB2312"/>
          <w:color w:val="auto"/>
          <w:sz w:val="24"/>
          <w:szCs w:val="24"/>
          <w:highlight w:val="none"/>
        </w:rPr>
        <w:t>4</w:t>
      </w:r>
      <w:r>
        <w:rPr>
          <w:rFonts w:hint="eastAsia" w:ascii="仿宋" w:hAnsi="仿宋" w:eastAsia="仿宋" w:cs="仿宋_GB2312"/>
          <w:color w:val="auto"/>
          <w:sz w:val="24"/>
          <w:szCs w:val="24"/>
          <w:highlight w:val="none"/>
        </w:rPr>
        <w:t xml:space="preserve"> 乙方未按照约定时间响应甲方服务需求的，每逾期响应或延期到场1日，按照合同总金额的1.5‰承担违约责任，累计超过10日，视为乙方根本违约，甲方有权解除合同。</w:t>
      </w:r>
    </w:p>
    <w:p w14:paraId="62F38D8A">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w:t>
      </w: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 xml:space="preserve"> 乙方违反其维护、培训及合同其他义务的，除本合同另行约定违约责任外，应按合同总金额1%的比例向甲方支付违约金，并赔偿给甲方造成的损失。</w:t>
      </w:r>
    </w:p>
    <w:p w14:paraId="2B0E0BFF">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w:t>
      </w:r>
      <w:r>
        <w:rPr>
          <w:rFonts w:ascii="仿宋" w:hAnsi="仿宋" w:eastAsia="仿宋" w:cs="仿宋_GB2312"/>
          <w:color w:val="auto"/>
          <w:sz w:val="24"/>
          <w:szCs w:val="24"/>
          <w:highlight w:val="none"/>
        </w:rPr>
        <w:t>6</w:t>
      </w:r>
      <w:r>
        <w:rPr>
          <w:rFonts w:hint="eastAsia" w:ascii="仿宋" w:hAnsi="仿宋" w:eastAsia="仿宋" w:cs="仿宋_GB2312"/>
          <w:color w:val="auto"/>
          <w:sz w:val="24"/>
          <w:szCs w:val="24"/>
          <w:highlight w:val="none"/>
        </w:rPr>
        <w:t xml:space="preserve"> 乙方需按照本项目要求指定1名</w:t>
      </w:r>
      <w:r>
        <w:rPr>
          <w:rFonts w:hint="eastAsia" w:ascii="仿宋" w:hAnsi="仿宋" w:eastAsia="仿宋" w:cs="Times New Roman"/>
          <w:color w:val="auto"/>
          <w:sz w:val="24"/>
          <w:szCs w:val="24"/>
          <w:highlight w:val="none"/>
        </w:rPr>
        <w:t>团队负责人，</w:t>
      </w:r>
      <w:r>
        <w:rPr>
          <w:rFonts w:hint="eastAsia" w:ascii="仿宋" w:hAnsi="仿宋" w:eastAsia="仿宋" w:cs="仿宋_GB2312"/>
          <w:color w:val="auto"/>
          <w:sz w:val="24"/>
          <w:szCs w:val="24"/>
          <w:highlight w:val="none"/>
        </w:rPr>
        <w:t>在服务周期内全程组织参与相关工作。如更换</w:t>
      </w:r>
      <w:r>
        <w:rPr>
          <w:rFonts w:hint="eastAsia" w:ascii="仿宋" w:hAnsi="仿宋" w:eastAsia="仿宋" w:cs="Times New Roman"/>
          <w:color w:val="auto"/>
          <w:sz w:val="24"/>
          <w:szCs w:val="24"/>
          <w:highlight w:val="none"/>
        </w:rPr>
        <w:t>团队负责人</w:t>
      </w:r>
      <w:r>
        <w:rPr>
          <w:rFonts w:hint="eastAsia" w:ascii="仿宋" w:hAnsi="仿宋" w:eastAsia="仿宋" w:cs="仿宋_GB2312"/>
          <w:color w:val="auto"/>
          <w:sz w:val="24"/>
          <w:szCs w:val="24"/>
          <w:highlight w:val="none"/>
        </w:rPr>
        <w:t>，须提前一个月向甲方书面申请并征得甲方书面同意，否则扣除合同总金额的5%作为违约金。服务周期内</w:t>
      </w:r>
      <w:r>
        <w:rPr>
          <w:rFonts w:hint="eastAsia" w:ascii="仿宋" w:hAnsi="仿宋" w:eastAsia="仿宋" w:cs="Times New Roman"/>
          <w:color w:val="auto"/>
          <w:sz w:val="24"/>
          <w:szCs w:val="24"/>
          <w:highlight w:val="none"/>
        </w:rPr>
        <w:t>团队负责人</w:t>
      </w:r>
      <w:r>
        <w:rPr>
          <w:rFonts w:hint="eastAsia" w:ascii="仿宋" w:hAnsi="仿宋" w:eastAsia="仿宋" w:cs="仿宋_GB2312"/>
          <w:color w:val="auto"/>
          <w:sz w:val="24"/>
          <w:szCs w:val="24"/>
          <w:highlight w:val="none"/>
        </w:rPr>
        <w:t>更换2次（不含）以上，每再更换1次将扣除合同总金额的5%作为违约金，即自第3次（含）更换，每更换一次扣除合同总金额5%/次作为违约金。</w:t>
      </w:r>
    </w:p>
    <w:p w14:paraId="4EC15F77">
      <w:pPr>
        <w:tabs>
          <w:tab w:val="left" w:pos="567"/>
          <w:tab w:val="left" w:pos="840"/>
          <w:tab w:val="left" w:pos="1440"/>
        </w:tabs>
        <w:spacing w:line="420" w:lineRule="exact"/>
        <w:ind w:firstLine="480" w:firstLineChars="200"/>
        <w:rPr>
          <w:color w:val="auto"/>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.7 乙方技术团队在服务周期内应保持稳定，如有变更，须确保与承诺的技术人员能力情况保持一致。服务周期内服务人员流失率（流失率指服务人员减少人数/未经甲方同意更换的人数占服务人员总人数的比例）达到40%后，流失率每增长10%将扣除合同总金额的1%作为违约金，不足1</w:t>
      </w:r>
      <w:r>
        <w:rPr>
          <w:rFonts w:ascii="仿宋" w:hAnsi="仿宋" w:eastAsia="仿宋" w:cs="仿宋_GB2312"/>
          <w:color w:val="auto"/>
          <w:sz w:val="24"/>
          <w:szCs w:val="24"/>
          <w:highlight w:val="none"/>
        </w:rPr>
        <w:t>0%</w:t>
      </w:r>
      <w:r>
        <w:rPr>
          <w:rFonts w:hint="eastAsia" w:ascii="仿宋" w:hAnsi="仿宋" w:eastAsia="仿宋" w:cs="仿宋_GB2312"/>
          <w:color w:val="auto"/>
          <w:sz w:val="24"/>
          <w:szCs w:val="24"/>
          <w:highlight w:val="none"/>
        </w:rPr>
        <w:t>的，按照1</w:t>
      </w:r>
      <w:r>
        <w:rPr>
          <w:rFonts w:ascii="仿宋" w:hAnsi="仿宋" w:eastAsia="仿宋" w:cs="仿宋_GB2312"/>
          <w:color w:val="auto"/>
          <w:sz w:val="24"/>
          <w:szCs w:val="24"/>
          <w:highlight w:val="none"/>
        </w:rPr>
        <w:t>0%</w:t>
      </w:r>
      <w:r>
        <w:rPr>
          <w:rFonts w:hint="eastAsia" w:ascii="仿宋" w:hAnsi="仿宋" w:eastAsia="仿宋" w:cs="仿宋_GB2312"/>
          <w:color w:val="auto"/>
          <w:sz w:val="24"/>
          <w:szCs w:val="24"/>
          <w:highlight w:val="none"/>
        </w:rPr>
        <w:t>计算。甲方有权利要求乙方调换不能按时或按量完成工作任务的乙方人员，乙方有义务在收到甲方调换人员通知后5个工作日内完成人员调换，否则，按乙方不能提供服务处理。如果乙方提供的服务人员与合同规定不符，乙方应负责免费更换符合合同约定的人员，否则，按乙方不能提供服务处理。</w:t>
      </w:r>
    </w:p>
    <w:p w14:paraId="4C05959C">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.8 甲方对乙方的有效投诉超过3次(不含)以上,乙方每次应按合同总金额的</w:t>
      </w:r>
      <w:r>
        <w:rPr>
          <w:rFonts w:hint="default" w:ascii="仿宋" w:hAnsi="仿宋" w:eastAsia="仿宋" w:cs="仿宋_GB2312"/>
          <w:color w:val="auto"/>
          <w:sz w:val="24"/>
          <w:szCs w:val="24"/>
          <w:highlight w:val="none"/>
          <w:lang w:val="en-US"/>
        </w:rPr>
        <w:t>2</w:t>
      </w:r>
      <w:r>
        <w:rPr>
          <w:rFonts w:hint="eastAsia" w:ascii="仿宋" w:hAnsi="仿宋" w:eastAsia="仿宋" w:cs="仿宋_GB2312"/>
          <w:color w:val="auto"/>
          <w:sz w:val="24"/>
          <w:szCs w:val="24"/>
          <w:highlight w:val="none"/>
        </w:rPr>
        <w:t>‰向甲方支付违约金。</w:t>
      </w:r>
      <w:r>
        <w:rPr>
          <w:rFonts w:hint="eastAsia" w:ascii="仿宋" w:hAnsi="仿宋" w:eastAsia="仿宋" w:cs="Times New Roman"/>
          <w:color w:val="auto"/>
          <w:sz w:val="24"/>
          <w:szCs w:val="24"/>
          <w:highlight w:val="none"/>
        </w:rPr>
        <w:t>有效投诉是指</w:t>
      </w:r>
      <w:r>
        <w:rPr>
          <w:rFonts w:hint="eastAsia" w:ascii="仿宋" w:hAnsi="仿宋" w:eastAsia="仿宋" w:cs="仿宋_GB2312"/>
          <w:color w:val="auto"/>
          <w:sz w:val="24"/>
          <w:szCs w:val="24"/>
          <w:highlight w:val="none"/>
        </w:rPr>
        <w:t>乙方未按照合同及附件规定的方式、时间提供技术服务等,以及甲方对乙方的服务人员及任何相关服务提出异议等。</w:t>
      </w:r>
    </w:p>
    <w:p w14:paraId="7ED82AC3">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.9 乙方或乙方技术人员在提供服务时或提供服务外造成给甲方设施、材料及甲方客户、物品损坏或损失的，由乙方承担所有的赔偿责任。</w:t>
      </w:r>
    </w:p>
    <w:p w14:paraId="78ED287C">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.10 乙方应确保其提供的服务不会对甲方及第三人产生不利影响。如果因此给甲方及第三人造成不利影响，或影响甲方及第三人的正常工作，乙方应赔偿甲方及第三人因此而遭受的一切损失。</w:t>
      </w:r>
    </w:p>
    <w:p w14:paraId="1FDAD35E">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5.1</w:t>
      </w:r>
      <w:r>
        <w:rPr>
          <w:rFonts w:hint="eastAsia" w:ascii="仿宋" w:hAnsi="仿宋" w:eastAsia="仿宋" w:cs="仿宋_GB2312"/>
          <w:color w:val="auto"/>
          <w:sz w:val="24"/>
          <w:szCs w:val="24"/>
          <w:highlight w:val="none"/>
        </w:rPr>
        <w:t>1 若乙方提供的相关服务及服务成果、提</w:t>
      </w:r>
      <w:r>
        <w:rPr>
          <w:rFonts w:ascii="仿宋" w:hAnsi="仿宋" w:eastAsia="仿宋" w:cs="仿宋_GB2312"/>
          <w:color w:val="auto"/>
          <w:sz w:val="24"/>
          <w:szCs w:val="24"/>
          <w:highlight w:val="none"/>
        </w:rPr>
        <w:t>交系统介质及材料</w:t>
      </w:r>
      <w:r>
        <w:rPr>
          <w:rFonts w:hint="eastAsia" w:ascii="仿宋" w:hAnsi="仿宋" w:eastAsia="仿宋" w:cs="仿宋_GB2312"/>
          <w:color w:val="auto"/>
          <w:sz w:val="24"/>
          <w:szCs w:val="24"/>
          <w:highlight w:val="none"/>
        </w:rPr>
        <w:t>等无法通过甲方功能、性能、安全及业务测试，不符合生产部署标准的，乙方应当返还甲方已经支付的全部款项并按合同总金额5%的比例向甲方支付违约金，给甲方造成损失的，乙方应予赔偿，同时，甲方有权解除合同。</w:t>
      </w:r>
    </w:p>
    <w:p w14:paraId="26AC6AF1">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.12 乙方所提供/交付相关服务及服务承诺的功能质量不符合要求的，应根据相关需求的具体情况，负责修改完善。乙方不能在甲方要求日期内完成修改或者完善的，按乙方不能提供服务处理。但如果甲方同意继续使用的，根据产品等合同服务成果功能完善情况，双方协商变更合同。</w:t>
      </w:r>
    </w:p>
    <w:p w14:paraId="25F69AF6">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.13 甲方组织的功能、业务测试阶段，致命问题超过5个或严重问题超过15个后，每增加一个致命问题或严重问题，将扣除合同总金额的2‰</w:t>
      </w:r>
      <w:r>
        <w:rPr>
          <w:rFonts w:hint="eastAsia"/>
          <w:color w:val="auto"/>
          <w:highlight w:val="none"/>
        </w:rPr>
        <w:t>，</w:t>
      </w:r>
      <w:r>
        <w:rPr>
          <w:rFonts w:hint="eastAsia" w:ascii="仿宋" w:hAnsi="仿宋" w:eastAsia="仿宋" w:cs="仿宋_GB2312"/>
          <w:color w:val="auto"/>
          <w:sz w:val="24"/>
          <w:szCs w:val="24"/>
          <w:highlight w:val="none"/>
        </w:rPr>
        <w:t>并赔偿因此给甲方造成的全部损失。</w:t>
      </w:r>
    </w:p>
    <w:p w14:paraId="164C7846">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.14 系统上线后3个月内，如出现致命问题或严重问题，每出现一个致命问题或严重问题，将扣除合同总金额的2‰，并赔偿因此给甲方造成的全部损失。</w:t>
      </w:r>
    </w:p>
    <w:p w14:paraId="7CF94B3B">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5.1</w:t>
      </w:r>
      <w:r>
        <w:rPr>
          <w:rFonts w:hint="eastAsia" w:ascii="仿宋" w:hAnsi="仿宋" w:eastAsia="仿宋" w:cs="仿宋_GB2312"/>
          <w:color w:val="auto"/>
          <w:sz w:val="24"/>
          <w:szCs w:val="24"/>
          <w:highlight w:val="none"/>
        </w:rPr>
        <w:t>5</w:t>
      </w:r>
      <w:r>
        <w:rPr>
          <w:rFonts w:ascii="仿宋" w:hAnsi="仿宋" w:eastAsia="仿宋" w:cs="仿宋_GB2312"/>
          <w:color w:val="auto"/>
          <w:sz w:val="24"/>
          <w:szCs w:val="24"/>
          <w:highlight w:val="none"/>
        </w:rPr>
        <w:t xml:space="preserve"> 乙方有义务配合甲方按需开展风险评估、配合提供工商信息变更、企业股权变动、管理人员变动、财务经营、涉诉纠纷等经营监测信息。</w:t>
      </w:r>
    </w:p>
    <w:p w14:paraId="7485EBCE">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.16 乙方违反本合同保密约定或保密承诺书（附件一）任一条款的，甲方有权</w:t>
      </w:r>
      <w:r>
        <w:rPr>
          <w:rFonts w:hint="eastAsia" w:ascii="仿宋" w:hAnsi="仿宋" w:eastAsia="仿宋" w:cs="仿宋_GB2312"/>
          <w:color w:val="auto"/>
          <w:sz w:val="24"/>
          <w:szCs w:val="24"/>
          <w:highlight w:val="none"/>
          <w:lang w:val="en-US" w:eastAsia="zh-CN"/>
        </w:rPr>
        <w:t>解除</w:t>
      </w:r>
      <w:r>
        <w:rPr>
          <w:rFonts w:hint="eastAsia" w:ascii="仿宋" w:hAnsi="仿宋" w:eastAsia="仿宋" w:cs="仿宋_GB2312"/>
          <w:color w:val="auto"/>
          <w:sz w:val="24"/>
          <w:szCs w:val="24"/>
          <w:highlight w:val="none"/>
        </w:rPr>
        <w:t>合同。乙方应在接到甲方书面通知20个工作日内退还甲方已经支付的全部费用，并赔偿因此给甲方造成的全部损失。</w:t>
      </w:r>
    </w:p>
    <w:p w14:paraId="2B914E1E">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.17 乙方违反本合同廉洁共建承诺书（附件二）中任一条款的，甲方有权</w:t>
      </w:r>
      <w:r>
        <w:rPr>
          <w:rFonts w:hint="eastAsia" w:ascii="仿宋" w:hAnsi="仿宋" w:eastAsia="仿宋" w:cs="仿宋_GB2312"/>
          <w:color w:val="auto"/>
          <w:sz w:val="24"/>
          <w:szCs w:val="24"/>
          <w:highlight w:val="none"/>
          <w:lang w:val="en-US" w:eastAsia="zh-CN"/>
        </w:rPr>
        <w:t>解除</w:t>
      </w:r>
      <w:r>
        <w:rPr>
          <w:rFonts w:hint="eastAsia" w:ascii="仿宋" w:hAnsi="仿宋" w:eastAsia="仿宋" w:cs="仿宋_GB2312"/>
          <w:color w:val="auto"/>
          <w:sz w:val="24"/>
          <w:szCs w:val="24"/>
          <w:highlight w:val="none"/>
        </w:rPr>
        <w:t>终止合同。乙方应在接到甲方书面通知20个工作日内退还甲方已经支付的全部费用，并赔偿因此给甲方造成的全部损失。</w:t>
      </w:r>
    </w:p>
    <w:p w14:paraId="46430C4A">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.18 乙方违反本合同安全保证承诺书（附件四）中任一条款的，甲方有权</w:t>
      </w:r>
      <w:r>
        <w:rPr>
          <w:rFonts w:hint="eastAsia" w:ascii="仿宋" w:hAnsi="仿宋" w:eastAsia="仿宋" w:cs="仿宋_GB2312"/>
          <w:color w:val="auto"/>
          <w:sz w:val="24"/>
          <w:szCs w:val="24"/>
          <w:highlight w:val="none"/>
          <w:lang w:val="en-US" w:eastAsia="zh-CN"/>
        </w:rPr>
        <w:t>解除</w:t>
      </w:r>
      <w:r>
        <w:rPr>
          <w:rFonts w:hint="eastAsia" w:ascii="仿宋" w:hAnsi="仿宋" w:eastAsia="仿宋" w:cs="仿宋_GB2312"/>
          <w:color w:val="auto"/>
          <w:sz w:val="24"/>
          <w:szCs w:val="24"/>
          <w:highlight w:val="none"/>
        </w:rPr>
        <w:t>终止合同。乙方应在接到甲方书面通知20个工作日内退还甲方已经支付的全部费用，并赔偿因此给甲方造成的全部损失。</w:t>
      </w:r>
    </w:p>
    <w:p w14:paraId="7FA121FD">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.19乙方未按约定擅自将本合同项下权利义务转包或分包给第三方的，甲方有权解除合同。乙方应在接到甲方书面通知二十（20）个工作日内向甲方支付合同金额5%的违约金，并赔偿给甲方造成的损失。</w:t>
      </w:r>
    </w:p>
    <w:p w14:paraId="23B41580">
      <w:pPr>
        <w:widowControl/>
        <w:autoSpaceDE w:val="0"/>
        <w:autoSpaceDN w:val="0"/>
        <w:spacing w:line="420" w:lineRule="exact"/>
        <w:ind w:firstLine="480" w:firstLineChars="200"/>
        <w:textAlignment w:val="bottom"/>
        <w:rPr>
          <w:rFonts w:ascii="仿宋" w:hAnsi="仿宋" w:eastAsia="仿宋" w:cs="Times New Roman"/>
          <w:color w:val="auto"/>
          <w:sz w:val="24"/>
          <w:szCs w:val="24"/>
          <w:highlight w:val="none"/>
        </w:rPr>
      </w:pPr>
      <w:r>
        <w:rPr>
          <w:rFonts w:ascii="仿宋" w:hAnsi="仿宋" w:eastAsia="仿宋" w:cs="Times New Roman"/>
          <w:color w:val="auto"/>
          <w:sz w:val="24"/>
          <w:szCs w:val="24"/>
          <w:highlight w:val="none"/>
        </w:rPr>
        <w:t>5.</w:t>
      </w:r>
      <w:r>
        <w:rPr>
          <w:rFonts w:hint="eastAsia" w:ascii="仿宋" w:hAnsi="仿宋" w:eastAsia="仿宋" w:cs="Times New Roman"/>
          <w:color w:val="auto"/>
          <w:sz w:val="24"/>
          <w:szCs w:val="24"/>
          <w:highlight w:val="none"/>
        </w:rPr>
        <w:t>20 乙方出现上述任一违约情形，或出现向人民银行系统单位进行商业贿赂、列入失信被执行人等情形的，甲方有权解除合同，由此造成甲方的损失由乙方赔偿，且甲方有权报告上级主管部门。乙方承诺如出现上述情况，未来不再参与甲方采购活动。</w:t>
      </w:r>
    </w:p>
    <w:p w14:paraId="39916667">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w:t>
      </w:r>
      <w:r>
        <w:rPr>
          <w:rFonts w:ascii="仿宋" w:hAnsi="仿宋" w:eastAsia="仿宋" w:cs="仿宋_GB2312"/>
          <w:color w:val="auto"/>
          <w:sz w:val="24"/>
          <w:szCs w:val="24"/>
          <w:highlight w:val="none"/>
        </w:rPr>
        <w:t>2</w:t>
      </w:r>
      <w:r>
        <w:rPr>
          <w:rFonts w:hint="eastAsia" w:ascii="仿宋" w:hAnsi="仿宋" w:eastAsia="仿宋" w:cs="仿宋_GB2312"/>
          <w:color w:val="auto"/>
          <w:sz w:val="24"/>
          <w:szCs w:val="24"/>
          <w:highlight w:val="none"/>
        </w:rPr>
        <w:t>1 如果违约方在收到守约方关于违约金额的正式书面通知两周内没有答复，则守约方提出的违约金额将视为被违约方接受。</w:t>
      </w:r>
    </w:p>
    <w:p w14:paraId="39D3FD58">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.22</w:t>
      </w:r>
      <w:r>
        <w:rPr>
          <w:rFonts w:ascii="仿宋" w:hAnsi="仿宋" w:eastAsia="仿宋" w:cs="仿宋_GB2312"/>
          <w:color w:val="auto"/>
          <w:sz w:val="24"/>
          <w:szCs w:val="24"/>
          <w:highlight w:val="none"/>
        </w:rPr>
        <w:t xml:space="preserve"> </w:t>
      </w:r>
      <w:r>
        <w:rPr>
          <w:rFonts w:hint="eastAsia" w:ascii="仿宋" w:hAnsi="仿宋" w:eastAsia="仿宋" w:cs="仿宋_GB2312"/>
          <w:color w:val="auto"/>
          <w:sz w:val="24"/>
          <w:szCs w:val="24"/>
          <w:highlight w:val="none"/>
        </w:rPr>
        <w:t>任何一方在其违约情形出现之后的</w:t>
      </w:r>
      <w:r>
        <w:rPr>
          <w:rFonts w:ascii="仿宋" w:hAnsi="仿宋" w:eastAsia="仿宋" w:cs="仿宋_GB2312"/>
          <w:color w:val="auto"/>
          <w:sz w:val="24"/>
          <w:szCs w:val="24"/>
          <w:highlight w:val="none"/>
        </w:rPr>
        <w:t>3</w:t>
      </w:r>
      <w:r>
        <w:rPr>
          <w:rFonts w:hint="eastAsia" w:ascii="仿宋" w:hAnsi="仿宋" w:eastAsia="仿宋" w:cs="仿宋_GB2312"/>
          <w:color w:val="auto"/>
          <w:sz w:val="24"/>
          <w:szCs w:val="24"/>
          <w:highlight w:val="none"/>
        </w:rPr>
        <w:t>个月内未采取合理有效的补救措施，另一方有权解除合同并提出索赔，双方将根据本合同第九条约定的争议解决方式处理善后事宜。</w:t>
      </w:r>
    </w:p>
    <w:p w14:paraId="3EECC515">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w:t>
      </w:r>
      <w:r>
        <w:rPr>
          <w:rFonts w:ascii="仿宋" w:hAnsi="仿宋" w:eastAsia="仿宋" w:cs="仿宋_GB2312"/>
          <w:color w:val="auto"/>
          <w:sz w:val="24"/>
          <w:szCs w:val="24"/>
          <w:highlight w:val="none"/>
        </w:rPr>
        <w:t>2</w:t>
      </w:r>
      <w:r>
        <w:rPr>
          <w:rFonts w:hint="eastAsia" w:ascii="仿宋" w:hAnsi="仿宋" w:eastAsia="仿宋" w:cs="仿宋_GB2312"/>
          <w:color w:val="auto"/>
          <w:sz w:val="24"/>
          <w:szCs w:val="24"/>
          <w:highlight w:val="none"/>
        </w:rPr>
        <w:t>3 乙方存在违约行为承担赔偿责任的，除承担违约金时，还应赔偿给甲方造成的损失。该等甲方损失包括但不限于诉讼费、仲裁费、律师费、调查费、第三方主张的赔偿金以及其他因此支付的合理开支。此外，甲方有权直接从未支付款项中扣除相应金额的款项作为乙方应支付的违约金或赔偿金。</w:t>
      </w:r>
    </w:p>
    <w:p w14:paraId="2F6EB0F8">
      <w:pPr>
        <w:tabs>
          <w:tab w:val="left" w:pos="567"/>
          <w:tab w:val="left" w:pos="840"/>
          <w:tab w:val="left" w:pos="1440"/>
        </w:tabs>
        <w:spacing w:line="420" w:lineRule="exact"/>
        <w:ind w:firstLine="480" w:firstLineChars="200"/>
        <w:rPr>
          <w:rFonts w:hint="eastAsia"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w:t>
      </w:r>
      <w:r>
        <w:rPr>
          <w:rFonts w:ascii="仿宋" w:hAnsi="仿宋" w:eastAsia="仿宋" w:cs="仿宋_GB2312"/>
          <w:color w:val="auto"/>
          <w:sz w:val="24"/>
          <w:szCs w:val="24"/>
          <w:highlight w:val="none"/>
        </w:rPr>
        <w:t>2</w:t>
      </w:r>
      <w:r>
        <w:rPr>
          <w:rFonts w:hint="eastAsia" w:ascii="仿宋" w:hAnsi="仿宋" w:eastAsia="仿宋" w:cs="仿宋_GB2312"/>
          <w:color w:val="auto"/>
          <w:sz w:val="24"/>
          <w:szCs w:val="24"/>
          <w:highlight w:val="none"/>
        </w:rPr>
        <w:t>4 甲乙双方承担违约责任并不影响双方继续履行合同未履行的部分。</w:t>
      </w:r>
    </w:p>
    <w:p w14:paraId="38E8271A">
      <w:pPr>
        <w:tabs>
          <w:tab w:val="left" w:pos="567"/>
          <w:tab w:val="left" w:pos="840"/>
          <w:tab w:val="left" w:pos="1440"/>
        </w:tabs>
        <w:spacing w:line="420" w:lineRule="exact"/>
        <w:ind w:firstLine="480" w:firstLineChars="200"/>
        <w:rPr>
          <w:rFonts w:hint="eastAsia"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lang w:val="en-US" w:eastAsia="zh-CN"/>
        </w:rPr>
        <w:t>5</w:t>
      </w:r>
      <w:r>
        <w:rPr>
          <w:rFonts w:hint="eastAsia" w:ascii="仿宋" w:hAnsi="仿宋" w:eastAsia="仿宋" w:cs="仿宋_GB2312"/>
          <w:color w:val="auto"/>
          <w:sz w:val="24"/>
          <w:szCs w:val="24"/>
          <w:highlight w:val="none"/>
        </w:rPr>
        <w:t>.25 如果项目成果物中包含的软件在运行维护支持期内出现不符合合同所述软件功能标准或软件介质出现工艺或质量等问题，投标人应免费修复缺陷。对于缺陷软件，甲方有权要求投标人采用补丁软件进行修复或提供升级软件予以更换，如该缺陷确难以修复，甲方有权寻找其他软件予以替代，相关费用由乙方承担。</w:t>
      </w:r>
    </w:p>
    <w:p w14:paraId="15530793">
      <w:pPr>
        <w:tabs>
          <w:tab w:val="left" w:pos="567"/>
          <w:tab w:val="left" w:pos="840"/>
          <w:tab w:val="left" w:pos="1440"/>
        </w:tabs>
        <w:spacing w:before="156" w:beforeLines="50" w:line="420" w:lineRule="exact"/>
        <w:ind w:firstLine="482" w:firstLineChars="200"/>
        <w:outlineLvl w:val="0"/>
        <w:rPr>
          <w:rFonts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lang w:eastAsia="zh-Hans"/>
        </w:rPr>
        <w:t>第六条</w:t>
      </w:r>
      <w:r>
        <w:rPr>
          <w:rFonts w:ascii="仿宋" w:hAnsi="仿宋" w:eastAsia="仿宋" w:cs="仿宋_GB2312"/>
          <w:b/>
          <w:bCs/>
          <w:color w:val="auto"/>
          <w:sz w:val="24"/>
          <w:szCs w:val="24"/>
          <w:highlight w:val="none"/>
          <w:lang w:eastAsia="zh-Hans"/>
        </w:rPr>
        <w:t xml:space="preserve"> </w:t>
      </w:r>
      <w:r>
        <w:rPr>
          <w:rFonts w:hint="eastAsia" w:ascii="仿宋" w:hAnsi="仿宋" w:eastAsia="仿宋" w:cs="仿宋_GB2312"/>
          <w:b/>
          <w:bCs/>
          <w:color w:val="auto"/>
          <w:sz w:val="24"/>
          <w:szCs w:val="24"/>
          <w:highlight w:val="none"/>
        </w:rPr>
        <w:t>陈述和保证</w:t>
      </w:r>
    </w:p>
    <w:p w14:paraId="583C3927">
      <w:pPr>
        <w:tabs>
          <w:tab w:val="left" w:pos="567"/>
          <w:tab w:val="left" w:pos="840"/>
          <w:tab w:val="left" w:pos="1440"/>
        </w:tabs>
        <w:spacing w:line="420" w:lineRule="exact"/>
        <w:ind w:firstLine="482" w:firstLineChars="200"/>
        <w:rPr>
          <w:rFonts w:ascii="仿宋" w:hAnsi="仿宋" w:eastAsia="仿宋" w:cs="仿宋_GB2312"/>
          <w:color w:val="auto"/>
          <w:sz w:val="24"/>
          <w:szCs w:val="24"/>
          <w:highlight w:val="none"/>
        </w:rPr>
      </w:pPr>
      <w:r>
        <w:rPr>
          <w:rFonts w:ascii="仿宋" w:hAnsi="仿宋" w:eastAsia="仿宋" w:cs="仿宋_GB2312"/>
          <w:b/>
          <w:color w:val="auto"/>
          <w:sz w:val="24"/>
          <w:szCs w:val="24"/>
          <w:highlight w:val="none"/>
        </w:rPr>
        <w:t xml:space="preserve">6.1 </w:t>
      </w:r>
      <w:r>
        <w:rPr>
          <w:rFonts w:hint="eastAsia" w:ascii="仿宋" w:hAnsi="仿宋" w:eastAsia="仿宋" w:cs="仿宋_GB2312"/>
          <w:b/>
          <w:color w:val="auto"/>
          <w:sz w:val="24"/>
          <w:szCs w:val="24"/>
          <w:highlight w:val="none"/>
        </w:rPr>
        <w:t>一般保证。</w:t>
      </w:r>
      <w:r>
        <w:rPr>
          <w:rFonts w:hint="eastAsia" w:ascii="仿宋" w:hAnsi="仿宋" w:eastAsia="仿宋" w:cs="仿宋_GB2312"/>
          <w:color w:val="auto"/>
          <w:sz w:val="24"/>
          <w:szCs w:val="24"/>
          <w:highlight w:val="none"/>
        </w:rPr>
        <w:t>乙方陈述并保证：</w:t>
      </w:r>
    </w:p>
    <w:p w14:paraId="64EED36E">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w:t>
      </w:r>
      <w:r>
        <w:rPr>
          <w:rFonts w:ascii="仿宋" w:hAnsi="仿宋" w:eastAsia="仿宋" w:cs="仿宋_GB2312"/>
          <w:color w:val="auto"/>
          <w:sz w:val="24"/>
          <w:szCs w:val="24"/>
          <w:highlight w:val="none"/>
        </w:rPr>
        <w:t>1</w:t>
      </w:r>
      <w:r>
        <w:rPr>
          <w:rFonts w:hint="eastAsia" w:ascii="仿宋" w:hAnsi="仿宋" w:eastAsia="仿宋" w:cs="仿宋_GB2312"/>
          <w:color w:val="auto"/>
          <w:sz w:val="24"/>
          <w:szCs w:val="24"/>
          <w:highlight w:val="none"/>
        </w:rPr>
        <w:t>）</w:t>
      </w:r>
      <w:r>
        <w:rPr>
          <w:rFonts w:hint="eastAsia" w:ascii="仿宋" w:hAnsi="仿宋" w:eastAsia="仿宋" w:cs="仿宋_GB2312"/>
          <w:color w:val="auto"/>
          <w:sz w:val="24"/>
          <w:szCs w:val="24"/>
          <w:highlight w:val="none"/>
          <w:lang w:eastAsia="zh-Hans"/>
        </w:rPr>
        <w:t>乙方</w:t>
      </w:r>
      <w:r>
        <w:rPr>
          <w:rFonts w:hint="eastAsia" w:ascii="仿宋" w:hAnsi="仿宋" w:eastAsia="仿宋" w:cs="仿宋_GB2312"/>
          <w:color w:val="auto"/>
          <w:sz w:val="24"/>
          <w:szCs w:val="24"/>
          <w:highlight w:val="none"/>
        </w:rPr>
        <w:t>有权签订本合同，并且对本合同的履行将不受留置权及任何他项权的约束；</w:t>
      </w:r>
    </w:p>
    <w:p w14:paraId="549051E3">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w:t>
      </w:r>
      <w:r>
        <w:rPr>
          <w:rFonts w:ascii="仿宋" w:hAnsi="仿宋" w:eastAsia="仿宋" w:cs="仿宋_GB2312"/>
          <w:color w:val="auto"/>
          <w:sz w:val="24"/>
          <w:szCs w:val="24"/>
          <w:highlight w:val="none"/>
        </w:rPr>
        <w:t>2</w:t>
      </w:r>
      <w:r>
        <w:rPr>
          <w:rFonts w:hint="eastAsia" w:ascii="仿宋" w:hAnsi="仿宋" w:eastAsia="仿宋" w:cs="仿宋_GB2312"/>
          <w:color w:val="auto"/>
          <w:sz w:val="24"/>
          <w:szCs w:val="24"/>
          <w:highlight w:val="none"/>
        </w:rPr>
        <w:t>）签订本合同不会导致乙方对其作为一方的任何其他书面协议的违反；</w:t>
      </w:r>
    </w:p>
    <w:p w14:paraId="22531BDB">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w:t>
      </w:r>
      <w:r>
        <w:rPr>
          <w:rFonts w:ascii="仿宋" w:hAnsi="仿宋" w:eastAsia="仿宋" w:cs="仿宋_GB2312"/>
          <w:color w:val="auto"/>
          <w:sz w:val="24"/>
          <w:szCs w:val="24"/>
          <w:highlight w:val="none"/>
        </w:rPr>
        <w:t>3</w:t>
      </w:r>
      <w:r>
        <w:rPr>
          <w:rFonts w:hint="eastAsia" w:ascii="仿宋" w:hAnsi="仿宋" w:eastAsia="仿宋" w:cs="仿宋_GB2312"/>
          <w:color w:val="auto"/>
          <w:sz w:val="24"/>
          <w:szCs w:val="24"/>
          <w:highlight w:val="none"/>
        </w:rPr>
        <w:t>）</w:t>
      </w:r>
      <w:r>
        <w:rPr>
          <w:rFonts w:hint="eastAsia" w:ascii="仿宋" w:hAnsi="仿宋" w:eastAsia="仿宋" w:cs="仿宋_GB2312"/>
          <w:color w:val="auto"/>
          <w:sz w:val="24"/>
          <w:szCs w:val="24"/>
          <w:highlight w:val="none"/>
          <w:lang w:eastAsia="zh-Hans"/>
        </w:rPr>
        <w:t>成果</w:t>
      </w:r>
      <w:r>
        <w:rPr>
          <w:rFonts w:ascii="仿宋" w:hAnsi="仿宋" w:eastAsia="仿宋" w:cs="仿宋_GB2312"/>
          <w:color w:val="auto"/>
          <w:sz w:val="24"/>
          <w:szCs w:val="24"/>
          <w:highlight w:val="none"/>
          <w:lang w:eastAsia="zh-Hans"/>
        </w:rPr>
        <w:t>/</w:t>
      </w:r>
      <w:r>
        <w:rPr>
          <w:rFonts w:hint="eastAsia" w:ascii="仿宋" w:hAnsi="仿宋" w:eastAsia="仿宋" w:cs="仿宋_GB2312"/>
          <w:color w:val="auto"/>
          <w:sz w:val="24"/>
          <w:szCs w:val="24"/>
          <w:highlight w:val="none"/>
          <w:lang w:eastAsia="zh-Hans"/>
        </w:rPr>
        <w:t>技术服务交付</w:t>
      </w:r>
      <w:r>
        <w:rPr>
          <w:rFonts w:hint="eastAsia" w:ascii="仿宋" w:hAnsi="仿宋" w:eastAsia="仿宋" w:cs="仿宋_GB2312"/>
          <w:color w:val="auto"/>
          <w:sz w:val="24"/>
          <w:szCs w:val="24"/>
          <w:highlight w:val="none"/>
        </w:rPr>
        <w:t>，包括其任何部分或与其他硬件或软件的任何预期组合，或其销售、要约销售、使用或进口，将不会侵犯任何第三方的专利、版权、商标、商业秘密或其他专有权利</w:t>
      </w:r>
      <w:r>
        <w:rPr>
          <w:rFonts w:hint="eastAsia" w:ascii="仿宋" w:hAnsi="仿宋" w:eastAsia="仿宋" w:cs="仿宋_GB2312"/>
          <w:color w:val="auto"/>
          <w:sz w:val="24"/>
          <w:szCs w:val="24"/>
          <w:highlight w:val="none"/>
          <w:lang w:eastAsia="zh-Hans"/>
        </w:rPr>
        <w:t>，如果第三方对甲方获得的成果</w:t>
      </w:r>
      <w:r>
        <w:rPr>
          <w:rFonts w:ascii="仿宋" w:hAnsi="仿宋" w:eastAsia="仿宋" w:cs="仿宋_GB2312"/>
          <w:color w:val="auto"/>
          <w:sz w:val="24"/>
          <w:szCs w:val="24"/>
          <w:highlight w:val="none"/>
          <w:lang w:eastAsia="zh-Hans"/>
        </w:rPr>
        <w:t>/</w:t>
      </w:r>
      <w:r>
        <w:rPr>
          <w:rFonts w:hint="eastAsia" w:ascii="仿宋" w:hAnsi="仿宋" w:eastAsia="仿宋" w:cs="仿宋_GB2312"/>
          <w:color w:val="auto"/>
          <w:sz w:val="24"/>
          <w:szCs w:val="24"/>
          <w:highlight w:val="none"/>
          <w:lang w:eastAsia="zh-Hans"/>
        </w:rPr>
        <w:t>技术服务主张权利，乙方负责承担所有责任并赔偿损失</w:t>
      </w:r>
      <w:r>
        <w:rPr>
          <w:rFonts w:hint="eastAsia" w:ascii="仿宋" w:hAnsi="仿宋" w:eastAsia="仿宋" w:cs="仿宋_GB2312"/>
          <w:color w:val="auto"/>
          <w:sz w:val="24"/>
          <w:szCs w:val="24"/>
          <w:highlight w:val="none"/>
        </w:rPr>
        <w:t>；</w:t>
      </w:r>
    </w:p>
    <w:p w14:paraId="2E5F9460">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w:t>
      </w:r>
      <w:r>
        <w:rPr>
          <w:rFonts w:ascii="仿宋" w:hAnsi="仿宋" w:eastAsia="仿宋" w:cs="仿宋_GB2312"/>
          <w:color w:val="auto"/>
          <w:sz w:val="24"/>
          <w:szCs w:val="24"/>
          <w:highlight w:val="none"/>
        </w:rPr>
        <w:t>4</w:t>
      </w:r>
      <w:r>
        <w:rPr>
          <w:rFonts w:hint="eastAsia" w:ascii="仿宋" w:hAnsi="仿宋" w:eastAsia="仿宋" w:cs="仿宋_GB2312"/>
          <w:color w:val="auto"/>
          <w:sz w:val="24"/>
          <w:szCs w:val="24"/>
          <w:highlight w:val="none"/>
        </w:rPr>
        <w:t>）乙方提供的与本协议有关的所有规格和文档均是完整和准确的。</w:t>
      </w:r>
    </w:p>
    <w:p w14:paraId="13A2EECC">
      <w:pPr>
        <w:tabs>
          <w:tab w:val="left" w:pos="567"/>
          <w:tab w:val="left" w:pos="840"/>
          <w:tab w:val="left" w:pos="1440"/>
        </w:tabs>
        <w:spacing w:line="420" w:lineRule="exact"/>
        <w:ind w:firstLine="482" w:firstLineChars="200"/>
        <w:rPr>
          <w:rFonts w:ascii="仿宋" w:hAnsi="仿宋" w:eastAsia="仿宋" w:cs="仿宋_GB2312"/>
          <w:color w:val="auto"/>
          <w:sz w:val="24"/>
          <w:szCs w:val="24"/>
          <w:highlight w:val="none"/>
        </w:rPr>
      </w:pPr>
      <w:r>
        <w:rPr>
          <w:rFonts w:ascii="仿宋" w:hAnsi="仿宋" w:eastAsia="仿宋" w:cs="仿宋_GB2312"/>
          <w:b/>
          <w:color w:val="auto"/>
          <w:sz w:val="24"/>
          <w:szCs w:val="24"/>
          <w:highlight w:val="none"/>
        </w:rPr>
        <w:t xml:space="preserve">6.2 </w:t>
      </w:r>
      <w:r>
        <w:rPr>
          <w:rFonts w:hint="eastAsia" w:ascii="仿宋" w:hAnsi="仿宋" w:eastAsia="仿宋" w:cs="仿宋_GB2312"/>
          <w:b/>
          <w:color w:val="auto"/>
          <w:sz w:val="24"/>
          <w:szCs w:val="24"/>
          <w:highlight w:val="none"/>
          <w:lang w:eastAsia="zh-Hans"/>
        </w:rPr>
        <w:t>成果</w:t>
      </w:r>
      <w:r>
        <w:rPr>
          <w:rFonts w:ascii="仿宋" w:hAnsi="仿宋" w:eastAsia="仿宋" w:cs="仿宋_GB2312"/>
          <w:b/>
          <w:color w:val="auto"/>
          <w:sz w:val="24"/>
          <w:szCs w:val="24"/>
          <w:highlight w:val="none"/>
          <w:lang w:eastAsia="zh-Hans"/>
        </w:rPr>
        <w:t>/</w:t>
      </w:r>
      <w:r>
        <w:rPr>
          <w:rFonts w:hint="eastAsia" w:ascii="仿宋" w:hAnsi="仿宋" w:eastAsia="仿宋" w:cs="仿宋_GB2312"/>
          <w:b/>
          <w:color w:val="auto"/>
          <w:sz w:val="24"/>
          <w:szCs w:val="24"/>
          <w:highlight w:val="none"/>
          <w:lang w:eastAsia="zh-Hans"/>
        </w:rPr>
        <w:t>技术服务保证</w:t>
      </w:r>
      <w:r>
        <w:rPr>
          <w:rFonts w:hint="eastAsia" w:ascii="仿宋" w:hAnsi="仿宋" w:eastAsia="仿宋" w:cs="仿宋_GB2312"/>
          <w:b/>
          <w:color w:val="auto"/>
          <w:sz w:val="24"/>
          <w:szCs w:val="24"/>
          <w:highlight w:val="none"/>
        </w:rPr>
        <w:t>。</w:t>
      </w:r>
      <w:r>
        <w:rPr>
          <w:rFonts w:hint="eastAsia" w:ascii="仿宋" w:hAnsi="仿宋" w:eastAsia="仿宋" w:cs="仿宋_GB2312"/>
          <w:color w:val="auto"/>
          <w:sz w:val="24"/>
          <w:szCs w:val="24"/>
          <w:highlight w:val="none"/>
        </w:rPr>
        <w:t>乙方陈述和保证，其在本合同项下交付的</w:t>
      </w:r>
      <w:r>
        <w:rPr>
          <w:rFonts w:hint="eastAsia" w:ascii="仿宋" w:hAnsi="仿宋" w:eastAsia="仿宋" w:cs="仿宋_GB2312"/>
          <w:color w:val="auto"/>
          <w:sz w:val="24"/>
          <w:szCs w:val="24"/>
          <w:highlight w:val="none"/>
          <w:lang w:eastAsia="zh-Hans"/>
        </w:rPr>
        <w:t>成果</w:t>
      </w:r>
      <w:r>
        <w:rPr>
          <w:rFonts w:ascii="仿宋" w:hAnsi="仿宋" w:eastAsia="仿宋" w:cs="仿宋_GB2312"/>
          <w:color w:val="auto"/>
          <w:sz w:val="24"/>
          <w:szCs w:val="24"/>
          <w:highlight w:val="none"/>
          <w:lang w:eastAsia="zh-Hans"/>
        </w:rPr>
        <w:t>/</w:t>
      </w:r>
      <w:r>
        <w:rPr>
          <w:rFonts w:hint="eastAsia" w:ascii="仿宋" w:hAnsi="仿宋" w:eastAsia="仿宋" w:cs="仿宋_GB2312"/>
          <w:color w:val="auto"/>
          <w:sz w:val="24"/>
          <w:szCs w:val="24"/>
          <w:highlight w:val="none"/>
          <w:lang w:eastAsia="zh-Hans"/>
        </w:rPr>
        <w:t>技术服务</w:t>
      </w:r>
      <w:r>
        <w:rPr>
          <w:rFonts w:hint="eastAsia" w:ascii="仿宋" w:hAnsi="仿宋" w:eastAsia="仿宋" w:cs="仿宋_GB2312"/>
          <w:color w:val="auto"/>
          <w:sz w:val="24"/>
          <w:szCs w:val="24"/>
          <w:highlight w:val="none"/>
        </w:rPr>
        <w:t>：</w:t>
      </w:r>
    </w:p>
    <w:p w14:paraId="13928582">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w:t>
      </w:r>
      <w:r>
        <w:rPr>
          <w:rFonts w:ascii="仿宋" w:hAnsi="仿宋" w:eastAsia="仿宋" w:cs="仿宋_GB2312"/>
          <w:color w:val="auto"/>
          <w:sz w:val="24"/>
          <w:szCs w:val="24"/>
          <w:highlight w:val="none"/>
        </w:rPr>
        <w:t>1</w:t>
      </w:r>
      <w:r>
        <w:rPr>
          <w:rFonts w:hint="eastAsia" w:ascii="仿宋" w:hAnsi="仿宋" w:eastAsia="仿宋" w:cs="仿宋_GB2312"/>
          <w:color w:val="auto"/>
          <w:sz w:val="24"/>
          <w:szCs w:val="24"/>
          <w:highlight w:val="none"/>
        </w:rPr>
        <w:t>）在按照符合规格或可合理预见的任何方式使用时是安全的；</w:t>
      </w:r>
    </w:p>
    <w:p w14:paraId="107CC279">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w:t>
      </w:r>
      <w:r>
        <w:rPr>
          <w:rFonts w:ascii="仿宋" w:hAnsi="仿宋" w:eastAsia="仿宋" w:cs="仿宋_GB2312"/>
          <w:color w:val="auto"/>
          <w:sz w:val="24"/>
          <w:szCs w:val="24"/>
          <w:highlight w:val="none"/>
        </w:rPr>
        <w:t>2</w:t>
      </w:r>
      <w:r>
        <w:rPr>
          <w:rFonts w:hint="eastAsia" w:ascii="仿宋" w:hAnsi="仿宋" w:eastAsia="仿宋" w:cs="仿宋_GB2312"/>
          <w:color w:val="auto"/>
          <w:sz w:val="24"/>
          <w:szCs w:val="24"/>
          <w:highlight w:val="none"/>
        </w:rPr>
        <w:t>）符合所有相关的规格；</w:t>
      </w:r>
    </w:p>
    <w:p w14:paraId="5FCCF134">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w:t>
      </w:r>
      <w:r>
        <w:rPr>
          <w:rFonts w:ascii="仿宋" w:hAnsi="仿宋" w:eastAsia="仿宋" w:cs="仿宋_GB2312"/>
          <w:color w:val="auto"/>
          <w:sz w:val="24"/>
          <w:szCs w:val="24"/>
          <w:highlight w:val="none"/>
          <w:lang w:eastAsia="zh-Hans"/>
        </w:rPr>
        <w:t>3</w:t>
      </w:r>
      <w:r>
        <w:rPr>
          <w:rFonts w:hint="eastAsia" w:ascii="仿宋" w:hAnsi="仿宋" w:eastAsia="仿宋" w:cs="仿宋_GB2312"/>
          <w:color w:val="auto"/>
          <w:sz w:val="24"/>
          <w:szCs w:val="24"/>
          <w:highlight w:val="none"/>
        </w:rPr>
        <w:t>）乙方遵守甲方规范文件中提及的以及相关工作说明中规定的质量、安全及监管要求（如有）。</w:t>
      </w:r>
    </w:p>
    <w:p w14:paraId="35007CE4">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如没有这些要求，则乙方应遵循良好的商业惯例及相关法律。</w:t>
      </w:r>
    </w:p>
    <w:p w14:paraId="45ADE349">
      <w:pPr>
        <w:tabs>
          <w:tab w:val="left" w:pos="567"/>
          <w:tab w:val="left" w:pos="840"/>
          <w:tab w:val="left" w:pos="1440"/>
        </w:tabs>
        <w:spacing w:line="420" w:lineRule="exact"/>
        <w:ind w:firstLine="482" w:firstLineChars="200"/>
        <w:rPr>
          <w:rFonts w:ascii="仿宋" w:hAnsi="仿宋" w:eastAsia="仿宋" w:cs="仿宋_GB2312"/>
          <w:color w:val="auto"/>
          <w:sz w:val="24"/>
          <w:szCs w:val="24"/>
          <w:highlight w:val="none"/>
        </w:rPr>
      </w:pPr>
      <w:r>
        <w:rPr>
          <w:rFonts w:ascii="仿宋" w:hAnsi="仿宋" w:eastAsia="仿宋" w:cs="仿宋_GB2312"/>
          <w:b/>
          <w:color w:val="auto"/>
          <w:sz w:val="24"/>
          <w:szCs w:val="24"/>
          <w:highlight w:val="none"/>
        </w:rPr>
        <w:t xml:space="preserve">6.3 </w:t>
      </w:r>
      <w:r>
        <w:rPr>
          <w:rFonts w:hint="eastAsia" w:ascii="仿宋" w:hAnsi="仿宋" w:eastAsia="仿宋" w:cs="仿宋_GB2312"/>
          <w:b/>
          <w:color w:val="auto"/>
          <w:sz w:val="24"/>
          <w:szCs w:val="24"/>
          <w:highlight w:val="none"/>
        </w:rPr>
        <w:t>其他服务保证。</w:t>
      </w:r>
      <w:r>
        <w:rPr>
          <w:rFonts w:hint="eastAsia" w:ascii="仿宋" w:hAnsi="仿宋" w:eastAsia="仿宋" w:cs="仿宋_GB2312"/>
          <w:color w:val="auto"/>
          <w:sz w:val="24"/>
          <w:szCs w:val="24"/>
          <w:highlight w:val="none"/>
        </w:rPr>
        <w:t>乙方陈述并保证：</w:t>
      </w:r>
    </w:p>
    <w:p w14:paraId="3A841D39">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（1）乙方具备</w:t>
      </w:r>
      <w:r>
        <w:rPr>
          <w:rFonts w:ascii="仿宋" w:hAnsi="仿宋" w:eastAsia="仿宋" w:cs="仿宋_GB2312"/>
          <w:color w:val="auto"/>
          <w:sz w:val="24"/>
          <w:szCs w:val="24"/>
          <w:highlight w:val="none"/>
        </w:rPr>
        <w:t>相对独立或者专用的服务人员团队、场地、信息系统和信息基础设施等资源</w:t>
      </w:r>
      <w:r>
        <w:rPr>
          <w:rFonts w:hint="eastAsia" w:ascii="仿宋" w:hAnsi="仿宋" w:eastAsia="仿宋" w:cs="仿宋_GB2312"/>
          <w:color w:val="auto"/>
          <w:sz w:val="24"/>
          <w:szCs w:val="24"/>
          <w:highlight w:val="none"/>
        </w:rPr>
        <w:t>；</w:t>
      </w:r>
    </w:p>
    <w:p w14:paraId="58008ADA">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（2）在外包服务中断应急预案中，甲方</w:t>
      </w:r>
      <w:r>
        <w:rPr>
          <w:rFonts w:ascii="仿宋" w:hAnsi="仿宋" w:eastAsia="仿宋" w:cs="仿宋_GB2312"/>
          <w:color w:val="auto"/>
          <w:sz w:val="24"/>
          <w:szCs w:val="24"/>
          <w:highlight w:val="none"/>
        </w:rPr>
        <w:t>享有资源优先获取和应急处置的权利</w:t>
      </w:r>
      <w:r>
        <w:rPr>
          <w:rFonts w:hint="eastAsia" w:ascii="仿宋" w:hAnsi="仿宋" w:eastAsia="仿宋" w:cs="仿宋_GB2312"/>
          <w:color w:val="auto"/>
          <w:sz w:val="24"/>
          <w:szCs w:val="24"/>
          <w:highlight w:val="none"/>
        </w:rPr>
        <w:t>；</w:t>
      </w:r>
    </w:p>
    <w:p w14:paraId="4CC3E31A">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（3）按照甲方的</w:t>
      </w:r>
      <w:r>
        <w:rPr>
          <w:rFonts w:ascii="仿宋" w:hAnsi="仿宋" w:eastAsia="仿宋" w:cs="仿宋_GB2312"/>
          <w:color w:val="auto"/>
          <w:sz w:val="24"/>
          <w:szCs w:val="24"/>
          <w:highlight w:val="none"/>
        </w:rPr>
        <w:t>知识</w:t>
      </w:r>
      <w:r>
        <w:rPr>
          <w:rFonts w:hint="eastAsia" w:ascii="仿宋" w:hAnsi="仿宋" w:eastAsia="仿宋" w:cs="仿宋_GB2312"/>
          <w:color w:val="auto"/>
          <w:sz w:val="24"/>
          <w:szCs w:val="24"/>
          <w:highlight w:val="none"/>
        </w:rPr>
        <w:t>产权及</w:t>
      </w:r>
      <w:r>
        <w:rPr>
          <w:rFonts w:ascii="仿宋" w:hAnsi="仿宋" w:eastAsia="仿宋" w:cs="仿宋_GB2312"/>
          <w:color w:val="auto"/>
          <w:sz w:val="24"/>
          <w:szCs w:val="24"/>
          <w:highlight w:val="none"/>
        </w:rPr>
        <w:t>培训要求</w:t>
      </w:r>
      <w:r>
        <w:rPr>
          <w:rFonts w:hint="eastAsia" w:ascii="仿宋" w:hAnsi="仿宋" w:eastAsia="仿宋" w:cs="仿宋_GB2312"/>
          <w:color w:val="auto"/>
          <w:sz w:val="24"/>
          <w:szCs w:val="24"/>
          <w:highlight w:val="none"/>
        </w:rPr>
        <w:t>交付本合同服务成果；</w:t>
      </w:r>
    </w:p>
    <w:p w14:paraId="18E9DAE5">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（4）甲方有权根据工作需要，要</w:t>
      </w:r>
      <w:r>
        <w:rPr>
          <w:rFonts w:hint="eastAsia" w:ascii="仿宋" w:hAnsi="仿宋" w:eastAsia="仿宋" w:cs="仿宋_GB2312"/>
          <w:color w:val="auto"/>
          <w:sz w:val="24"/>
          <w:szCs w:val="24"/>
          <w:highlight w:val="none"/>
          <w:lang w:eastAsia="zh-Hans"/>
        </w:rPr>
        <w:t>求乙方自行聘请或者委托独立第三方机构自行开展风险评估</w:t>
      </w:r>
      <w:r>
        <w:rPr>
          <w:rFonts w:hint="eastAsia" w:ascii="仿宋" w:hAnsi="仿宋" w:eastAsia="仿宋" w:cs="仿宋_GB2312"/>
          <w:color w:val="auto"/>
          <w:sz w:val="24"/>
          <w:szCs w:val="24"/>
          <w:highlight w:val="none"/>
        </w:rPr>
        <w:t>，相关费用由乙方自行承担</w:t>
      </w:r>
      <w:r>
        <w:rPr>
          <w:rFonts w:hint="eastAsia" w:ascii="仿宋" w:hAnsi="仿宋" w:eastAsia="仿宋" w:cs="仿宋_GB2312"/>
          <w:color w:val="auto"/>
          <w:sz w:val="24"/>
          <w:szCs w:val="24"/>
          <w:highlight w:val="none"/>
          <w:lang w:eastAsia="zh-Hans"/>
        </w:rPr>
        <w:t>；</w:t>
      </w:r>
    </w:p>
    <w:p w14:paraId="491149DB">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（5）甲方有权根据工作需要，对乙方</w:t>
      </w:r>
      <w:r>
        <w:rPr>
          <w:rFonts w:ascii="仿宋" w:hAnsi="仿宋" w:eastAsia="仿宋" w:cs="仿宋_GB2312"/>
          <w:color w:val="auto"/>
          <w:sz w:val="24"/>
          <w:szCs w:val="24"/>
          <w:highlight w:val="none"/>
        </w:rPr>
        <w:t>服务人员进行背景调查，确保遵守国家相关法律法规要求</w:t>
      </w:r>
      <w:r>
        <w:rPr>
          <w:rFonts w:hint="eastAsia" w:ascii="仿宋" w:hAnsi="仿宋" w:eastAsia="仿宋" w:cs="仿宋_GB2312"/>
          <w:color w:val="auto"/>
          <w:sz w:val="24"/>
          <w:szCs w:val="24"/>
          <w:highlight w:val="none"/>
        </w:rPr>
        <w:t>，乙方应当予以配合；</w:t>
      </w:r>
    </w:p>
    <w:p w14:paraId="4FFAE49B">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（6）将无条件配合甲方对相关源代码</w:t>
      </w:r>
      <w:r>
        <w:rPr>
          <w:rFonts w:hint="eastAsia" w:ascii="仿宋" w:hAnsi="仿宋" w:eastAsia="仿宋" w:cs="仿宋_GB2312"/>
          <w:color w:val="auto"/>
          <w:sz w:val="24"/>
          <w:szCs w:val="24"/>
          <w:highlight w:val="none"/>
          <w:lang w:eastAsia="zh-Hans"/>
        </w:rPr>
        <w:t>、</w:t>
      </w:r>
      <w:r>
        <w:rPr>
          <w:rFonts w:hint="eastAsia" w:ascii="仿宋" w:hAnsi="仿宋" w:eastAsia="仿宋" w:cs="仿宋_GB2312"/>
          <w:color w:val="auto"/>
          <w:sz w:val="24"/>
          <w:szCs w:val="24"/>
          <w:highlight w:val="none"/>
        </w:rPr>
        <w:t>漏洞、</w:t>
      </w:r>
      <w:r>
        <w:rPr>
          <w:rFonts w:hint="eastAsia" w:ascii="仿宋" w:hAnsi="仿宋" w:eastAsia="仿宋" w:cs="仿宋_GB2312"/>
          <w:color w:val="auto"/>
          <w:sz w:val="24"/>
          <w:szCs w:val="24"/>
          <w:highlight w:val="none"/>
          <w:lang w:eastAsia="zh-Hans"/>
        </w:rPr>
        <w:t>数据、敏感信息等</w:t>
      </w:r>
      <w:r>
        <w:rPr>
          <w:rFonts w:hint="eastAsia" w:ascii="仿宋" w:hAnsi="仿宋" w:eastAsia="仿宋" w:cs="仿宋_GB2312"/>
          <w:color w:val="auto"/>
          <w:sz w:val="24"/>
          <w:szCs w:val="24"/>
          <w:highlight w:val="none"/>
        </w:rPr>
        <w:t>开展的一切安全风险排查工作</w:t>
      </w:r>
      <w:r>
        <w:rPr>
          <w:rFonts w:hint="eastAsia" w:ascii="仿宋" w:hAnsi="仿宋" w:eastAsia="仿宋" w:cs="仿宋_GB2312"/>
          <w:color w:val="auto"/>
          <w:sz w:val="24"/>
          <w:szCs w:val="24"/>
          <w:highlight w:val="none"/>
          <w:lang w:eastAsia="zh-Hans"/>
        </w:rPr>
        <w:t>，并根据甲方的意见进行预防、整改，</w:t>
      </w:r>
      <w:r>
        <w:rPr>
          <w:rFonts w:hint="eastAsia" w:ascii="仿宋" w:hAnsi="仿宋" w:eastAsia="仿宋" w:cs="仿宋_GB2312"/>
          <w:color w:val="auto"/>
          <w:sz w:val="24"/>
          <w:szCs w:val="24"/>
          <w:highlight w:val="none"/>
        </w:rPr>
        <w:t>向甲方反馈问题修复原理和整改情况，出具对问题修复有效性负责的证明。</w:t>
      </w:r>
    </w:p>
    <w:p w14:paraId="2F635B33">
      <w:pPr>
        <w:tabs>
          <w:tab w:val="left" w:pos="567"/>
          <w:tab w:val="left" w:pos="840"/>
          <w:tab w:val="left" w:pos="1440"/>
        </w:tabs>
        <w:spacing w:before="156" w:beforeLines="50" w:line="420" w:lineRule="exact"/>
        <w:ind w:firstLine="482" w:firstLineChars="200"/>
        <w:outlineLvl w:val="0"/>
        <w:rPr>
          <w:rFonts w:ascii="仿宋" w:hAnsi="仿宋" w:eastAsia="仿宋" w:cs="仿宋_GB2312"/>
          <w:b/>
          <w:bCs/>
          <w:color w:val="auto"/>
          <w:sz w:val="24"/>
          <w:szCs w:val="24"/>
          <w:highlight w:val="none"/>
        </w:rPr>
      </w:pPr>
      <w:bookmarkStart w:id="82" w:name="_Toc119323245"/>
      <w:bookmarkStart w:id="83" w:name="_Toc5090"/>
      <w:r>
        <w:rPr>
          <w:rFonts w:hint="eastAsia" w:ascii="仿宋" w:hAnsi="仿宋" w:eastAsia="仿宋" w:cs="仿宋_GB2312"/>
          <w:b/>
          <w:bCs/>
          <w:color w:val="auto"/>
          <w:sz w:val="24"/>
          <w:szCs w:val="24"/>
          <w:highlight w:val="none"/>
        </w:rPr>
        <w:t>第</w:t>
      </w:r>
      <w:r>
        <w:rPr>
          <w:rFonts w:hint="eastAsia" w:ascii="仿宋" w:hAnsi="仿宋" w:eastAsia="仿宋" w:cs="仿宋_GB2312"/>
          <w:b/>
          <w:bCs/>
          <w:color w:val="auto"/>
          <w:sz w:val="24"/>
          <w:szCs w:val="24"/>
          <w:highlight w:val="none"/>
          <w:lang w:eastAsia="zh-Hans"/>
        </w:rPr>
        <w:t>七</w:t>
      </w:r>
      <w:r>
        <w:rPr>
          <w:rFonts w:hint="eastAsia" w:ascii="仿宋" w:hAnsi="仿宋" w:eastAsia="仿宋" w:cs="仿宋_GB2312"/>
          <w:b/>
          <w:bCs/>
          <w:color w:val="auto"/>
          <w:sz w:val="24"/>
          <w:szCs w:val="24"/>
          <w:highlight w:val="none"/>
        </w:rPr>
        <w:t>条 保密约定</w:t>
      </w:r>
      <w:bookmarkEnd w:id="82"/>
      <w:bookmarkEnd w:id="83"/>
    </w:p>
    <w:p w14:paraId="28AEC24C">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 xml:space="preserve">7.1 </w:t>
      </w:r>
      <w:r>
        <w:rPr>
          <w:rFonts w:hint="eastAsia" w:ascii="仿宋" w:hAnsi="仿宋" w:eastAsia="仿宋" w:cs="Times New Roman"/>
          <w:color w:val="auto"/>
          <w:sz w:val="24"/>
          <w:szCs w:val="24"/>
          <w:highlight w:val="none"/>
        </w:rPr>
        <w:t>任何一方均应对在本合同履行过程中知悉的有关对方的商业、国家等秘密承担保密义务。除经秘密所有方的同意或法律、法规另有规定，相对方不得向本合同以外的任何第三人提供、泄漏上述秘密，由此给秘密所有方造成损失的，责任方应承担相应责任。</w:t>
      </w:r>
    </w:p>
    <w:p w14:paraId="50F75118">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 xml:space="preserve">7.2 </w:t>
      </w:r>
      <w:r>
        <w:rPr>
          <w:rFonts w:ascii="仿宋" w:hAnsi="仿宋" w:eastAsia="仿宋" w:cs="Times New Roman"/>
          <w:color w:val="auto"/>
          <w:sz w:val="24"/>
          <w:szCs w:val="24"/>
          <w:highlight w:val="none"/>
        </w:rPr>
        <w:t>除合同本身以外，由甲方提供给乙方的所有资料始终为甲方的财产，乙方应于合同义务履行完毕后将上述资料包括副本退还给甲方。</w:t>
      </w:r>
    </w:p>
    <w:p w14:paraId="3246BAFC">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 xml:space="preserve">7.3 </w:t>
      </w:r>
      <w:r>
        <w:rPr>
          <w:rFonts w:ascii="仿宋" w:hAnsi="仿宋" w:eastAsia="仿宋" w:cs="Times New Roman"/>
          <w:color w:val="auto"/>
          <w:sz w:val="24"/>
          <w:szCs w:val="24"/>
          <w:highlight w:val="none"/>
        </w:rPr>
        <w:t>甲方在合同履行过程中涉及到</w:t>
      </w:r>
      <w:r>
        <w:rPr>
          <w:rFonts w:hint="eastAsia" w:ascii="仿宋" w:hAnsi="仿宋" w:eastAsia="仿宋" w:cs="Times New Roman"/>
          <w:color w:val="auto"/>
          <w:sz w:val="24"/>
          <w:szCs w:val="24"/>
          <w:highlight w:val="none"/>
        </w:rPr>
        <w:t>乙方</w:t>
      </w:r>
      <w:r>
        <w:rPr>
          <w:rFonts w:ascii="仿宋" w:hAnsi="仿宋" w:eastAsia="仿宋" w:cs="Times New Roman"/>
          <w:color w:val="auto"/>
          <w:sz w:val="24"/>
          <w:szCs w:val="24"/>
          <w:highlight w:val="none"/>
        </w:rPr>
        <w:t>使用人民银行内部资料、信息时，应向乙方明确其内部资料、信息的保密范围、保密期限。</w:t>
      </w:r>
    </w:p>
    <w:p w14:paraId="4A8DA4DC">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 xml:space="preserve">7.4 </w:t>
      </w:r>
      <w:r>
        <w:rPr>
          <w:rFonts w:hint="eastAsia" w:ascii="仿宋" w:hAnsi="仿宋" w:eastAsia="仿宋" w:cs="Times New Roman"/>
          <w:color w:val="auto"/>
          <w:sz w:val="24"/>
          <w:szCs w:val="24"/>
          <w:highlight w:val="none"/>
        </w:rPr>
        <w:t>乙方应严守甲方的秘密，不经甲方批准不得以任何的形式将甲方资料及信息带出工作现场及透露给第三方。</w:t>
      </w:r>
    </w:p>
    <w:p w14:paraId="4B135235">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 xml:space="preserve">7.5 </w:t>
      </w:r>
      <w:r>
        <w:rPr>
          <w:rFonts w:hint="eastAsia" w:ascii="仿宋" w:hAnsi="仿宋" w:eastAsia="仿宋" w:cs="Times New Roman"/>
          <w:color w:val="auto"/>
          <w:sz w:val="24"/>
          <w:szCs w:val="24"/>
          <w:highlight w:val="none"/>
        </w:rPr>
        <w:t>乙方应与甲方签订保密承诺书（附件一），严格遵守甲方及相关单位的保密规定及要求，对本单位参与人员出具保密承诺书，并要求在规定的保密期内不发生失泄密。如果参与人员在规定的保密期内发生失泄密行为，乙方应承担全部责任，并采取有效措施防止泄密进一步扩大。</w:t>
      </w:r>
    </w:p>
    <w:p w14:paraId="00B00336">
      <w:pPr>
        <w:tabs>
          <w:tab w:val="left" w:pos="567"/>
          <w:tab w:val="left" w:pos="840"/>
          <w:tab w:val="left" w:pos="1440"/>
        </w:tabs>
        <w:spacing w:line="420" w:lineRule="exact"/>
        <w:ind w:firstLine="480" w:firstLineChars="200"/>
        <w:rPr>
          <w:rFonts w:ascii="仿宋" w:hAnsi="仿宋" w:eastAsia="仿宋" w:cs="Times New Roman"/>
          <w:color w:val="auto"/>
          <w:sz w:val="24"/>
          <w:szCs w:val="24"/>
          <w:highlight w:val="none"/>
        </w:rPr>
      </w:pPr>
      <w:r>
        <w:rPr>
          <w:rFonts w:hint="eastAsia" w:ascii="仿宋" w:hAnsi="仿宋" w:eastAsia="仿宋" w:cs="仿宋_GB2312"/>
          <w:color w:val="auto"/>
          <w:sz w:val="24"/>
          <w:szCs w:val="24"/>
          <w:highlight w:val="none"/>
        </w:rPr>
        <w:t>7.6</w:t>
      </w:r>
      <w:r>
        <w:rPr>
          <w:rFonts w:ascii="仿宋" w:hAnsi="仿宋" w:eastAsia="仿宋" w:cs="Times New Roman"/>
          <w:color w:val="auto"/>
          <w:sz w:val="24"/>
          <w:szCs w:val="24"/>
          <w:highlight w:val="none"/>
        </w:rPr>
        <w:t>不论合同是否解除或终止，本条款持续有效。</w:t>
      </w:r>
    </w:p>
    <w:p w14:paraId="5F5DDB5F">
      <w:pPr>
        <w:tabs>
          <w:tab w:val="left" w:pos="567"/>
          <w:tab w:val="left" w:pos="840"/>
          <w:tab w:val="left" w:pos="1440"/>
        </w:tabs>
        <w:spacing w:before="156" w:beforeLines="50" w:line="420" w:lineRule="exact"/>
        <w:ind w:firstLine="482" w:firstLineChars="200"/>
        <w:outlineLvl w:val="0"/>
        <w:rPr>
          <w:rFonts w:ascii="仿宋" w:hAnsi="仿宋" w:eastAsia="仿宋" w:cs="仿宋_GB2312"/>
          <w:b/>
          <w:bCs/>
          <w:color w:val="auto"/>
          <w:sz w:val="24"/>
          <w:szCs w:val="24"/>
          <w:highlight w:val="none"/>
        </w:rPr>
      </w:pPr>
      <w:bookmarkStart w:id="84" w:name="_Toc13700"/>
      <w:bookmarkStart w:id="85" w:name="_Toc119323244"/>
      <w:r>
        <w:rPr>
          <w:rFonts w:hint="eastAsia" w:ascii="仿宋" w:hAnsi="仿宋" w:eastAsia="仿宋" w:cs="仿宋_GB2312"/>
          <w:b/>
          <w:bCs/>
          <w:color w:val="auto"/>
          <w:sz w:val="24"/>
          <w:szCs w:val="24"/>
          <w:highlight w:val="none"/>
        </w:rPr>
        <w:t>第</w:t>
      </w:r>
      <w:r>
        <w:rPr>
          <w:rFonts w:hint="eastAsia" w:ascii="仿宋" w:hAnsi="仿宋" w:eastAsia="仿宋" w:cs="仿宋_GB2312"/>
          <w:b/>
          <w:bCs/>
          <w:color w:val="auto"/>
          <w:sz w:val="24"/>
          <w:szCs w:val="24"/>
          <w:highlight w:val="none"/>
          <w:lang w:eastAsia="zh-Hans"/>
        </w:rPr>
        <w:t>八</w:t>
      </w:r>
      <w:r>
        <w:rPr>
          <w:rFonts w:hint="eastAsia" w:ascii="仿宋" w:hAnsi="仿宋" w:eastAsia="仿宋" w:cs="仿宋_GB2312"/>
          <w:b/>
          <w:bCs/>
          <w:color w:val="auto"/>
          <w:sz w:val="24"/>
          <w:szCs w:val="24"/>
          <w:highlight w:val="none"/>
        </w:rPr>
        <w:t>条 不可抗力</w:t>
      </w:r>
      <w:bookmarkEnd w:id="84"/>
      <w:bookmarkEnd w:id="85"/>
    </w:p>
    <w:p w14:paraId="6EF35221">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不可抗力系指合同双方缔结合同时所不能预见、并且它的发生及其后果是不能克服和不能避免的，并导致合同不能履行或部分不能履行的客观情况（如战争、火灾、洪水、台风、地震等重大自然灾害、疫情以及法律、法规、政策变化），受影响方应立即通知另一方，并于事件发生后10个日历日内将有效的证明文件用特快专递给对方确认。如果不可抗力因素的影响将持续60个日历日以上，甲乙双方应该通过友好谈判的方式，就本合同的进一步实施尽快达成协议。</w:t>
      </w:r>
    </w:p>
    <w:p w14:paraId="382AEC22">
      <w:pPr>
        <w:tabs>
          <w:tab w:val="left" w:pos="420"/>
        </w:tabs>
        <w:spacing w:before="156" w:beforeLines="50" w:line="420" w:lineRule="exact"/>
        <w:ind w:firstLine="482" w:firstLineChars="200"/>
        <w:outlineLvl w:val="0"/>
        <w:rPr>
          <w:rFonts w:ascii="仿宋" w:hAnsi="仿宋" w:eastAsia="仿宋" w:cs="仿宋_GB2312"/>
          <w:b/>
          <w:color w:val="auto"/>
          <w:sz w:val="24"/>
          <w:szCs w:val="24"/>
          <w:highlight w:val="none"/>
        </w:rPr>
      </w:pPr>
      <w:bookmarkStart w:id="86" w:name="_Toc119323246"/>
      <w:bookmarkStart w:id="87" w:name="_Toc10132"/>
      <w:r>
        <w:rPr>
          <w:rFonts w:hint="eastAsia" w:ascii="仿宋" w:hAnsi="仿宋" w:eastAsia="仿宋" w:cs="仿宋_GB2312"/>
          <w:b/>
          <w:color w:val="auto"/>
          <w:sz w:val="24"/>
          <w:szCs w:val="24"/>
          <w:highlight w:val="none"/>
        </w:rPr>
        <w:t>第</w:t>
      </w:r>
      <w:r>
        <w:rPr>
          <w:rFonts w:hint="eastAsia" w:ascii="仿宋" w:hAnsi="仿宋" w:eastAsia="仿宋" w:cs="仿宋_GB2312"/>
          <w:b/>
          <w:color w:val="auto"/>
          <w:sz w:val="24"/>
          <w:szCs w:val="24"/>
          <w:highlight w:val="none"/>
          <w:lang w:eastAsia="zh-Hans"/>
        </w:rPr>
        <w:t>九</w:t>
      </w:r>
      <w:r>
        <w:rPr>
          <w:rFonts w:hint="eastAsia" w:ascii="仿宋" w:hAnsi="仿宋" w:eastAsia="仿宋" w:cs="仿宋_GB2312"/>
          <w:b/>
          <w:color w:val="auto"/>
          <w:sz w:val="24"/>
          <w:szCs w:val="24"/>
          <w:highlight w:val="none"/>
        </w:rPr>
        <w:t>条 争议</w:t>
      </w:r>
      <w:bookmarkEnd w:id="86"/>
      <w:bookmarkEnd w:id="87"/>
      <w:r>
        <w:rPr>
          <w:rFonts w:hint="eastAsia" w:ascii="仿宋" w:hAnsi="仿宋" w:eastAsia="仿宋" w:cs="仿宋_GB2312"/>
          <w:b/>
          <w:color w:val="auto"/>
          <w:sz w:val="24"/>
          <w:szCs w:val="24"/>
          <w:highlight w:val="none"/>
        </w:rPr>
        <w:t>解决</w:t>
      </w:r>
    </w:p>
    <w:p w14:paraId="5BDA13D1">
      <w:pPr>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9</w:t>
      </w:r>
      <w:r>
        <w:rPr>
          <w:rFonts w:hint="eastAsia" w:ascii="仿宋" w:hAnsi="仿宋" w:eastAsia="仿宋" w:cs="仿宋_GB2312"/>
          <w:color w:val="auto"/>
          <w:sz w:val="24"/>
          <w:szCs w:val="24"/>
          <w:highlight w:val="none"/>
        </w:rPr>
        <w:t>.1 在执行本合同中所发生的争端，或与本合同有关的一切争端，甲乙双方应通过协商解决。如通过协商方式仍不能解决争议，双方均有权将争端提交北京仲裁委员会仲裁。仲裁应根据《中华人民共和国仲裁法》的规定，按照北京仲裁委员会的仲裁规则进行。仲裁裁决应为终局裁决，对双方均有约束力。</w:t>
      </w:r>
    </w:p>
    <w:p w14:paraId="663BA84C">
      <w:pPr>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9</w:t>
      </w:r>
      <w:r>
        <w:rPr>
          <w:rFonts w:hint="eastAsia" w:ascii="仿宋" w:hAnsi="仿宋" w:eastAsia="仿宋" w:cs="仿宋_GB2312"/>
          <w:color w:val="auto"/>
          <w:sz w:val="24"/>
          <w:szCs w:val="24"/>
          <w:highlight w:val="none"/>
        </w:rPr>
        <w:t>.2 在仲裁期间，除正在进行仲裁部分外，本合同其他部分应继续执行。</w:t>
      </w:r>
    </w:p>
    <w:p w14:paraId="4EF80241">
      <w:pPr>
        <w:tabs>
          <w:tab w:val="left" w:pos="420"/>
        </w:tabs>
        <w:spacing w:before="156" w:beforeLines="50" w:line="420" w:lineRule="exact"/>
        <w:ind w:firstLine="482" w:firstLineChars="200"/>
        <w:outlineLvl w:val="0"/>
        <w:rPr>
          <w:rFonts w:ascii="仿宋" w:hAnsi="仿宋" w:eastAsia="仿宋" w:cs="仿宋_GB2312"/>
          <w:b/>
          <w:color w:val="auto"/>
          <w:sz w:val="24"/>
          <w:szCs w:val="24"/>
          <w:highlight w:val="none"/>
        </w:rPr>
      </w:pPr>
      <w:bookmarkStart w:id="88" w:name="_Toc11251684"/>
      <w:bookmarkStart w:id="89" w:name="_Toc17484"/>
      <w:bookmarkStart w:id="90" w:name="_Toc119323247"/>
      <w:r>
        <w:rPr>
          <w:rFonts w:hint="eastAsia" w:ascii="仿宋" w:hAnsi="仿宋" w:eastAsia="仿宋" w:cs="仿宋_GB2312"/>
          <w:b/>
          <w:color w:val="auto"/>
          <w:sz w:val="24"/>
          <w:szCs w:val="24"/>
          <w:highlight w:val="none"/>
        </w:rPr>
        <w:t>第</w:t>
      </w:r>
      <w:r>
        <w:rPr>
          <w:rFonts w:hint="eastAsia" w:ascii="仿宋" w:hAnsi="仿宋" w:eastAsia="仿宋" w:cs="仿宋_GB2312"/>
          <w:b/>
          <w:color w:val="auto"/>
          <w:sz w:val="24"/>
          <w:szCs w:val="24"/>
          <w:highlight w:val="none"/>
          <w:lang w:eastAsia="zh-Hans"/>
        </w:rPr>
        <w:t>十</w:t>
      </w:r>
      <w:r>
        <w:rPr>
          <w:rFonts w:hint="eastAsia" w:ascii="仿宋" w:hAnsi="仿宋" w:eastAsia="仿宋" w:cs="仿宋_GB2312"/>
          <w:b/>
          <w:color w:val="auto"/>
          <w:sz w:val="24"/>
          <w:szCs w:val="24"/>
          <w:highlight w:val="none"/>
        </w:rPr>
        <w:t>条 合同</w:t>
      </w:r>
      <w:bookmarkEnd w:id="88"/>
      <w:r>
        <w:rPr>
          <w:rFonts w:hint="eastAsia" w:ascii="仿宋" w:hAnsi="仿宋" w:eastAsia="仿宋" w:cs="仿宋_GB2312"/>
          <w:b/>
          <w:color w:val="auto"/>
          <w:sz w:val="24"/>
          <w:szCs w:val="24"/>
          <w:highlight w:val="none"/>
        </w:rPr>
        <w:t>的终止</w:t>
      </w:r>
      <w:bookmarkEnd w:id="89"/>
      <w:bookmarkEnd w:id="90"/>
    </w:p>
    <w:p w14:paraId="274B4E2D">
      <w:pPr>
        <w:tabs>
          <w:tab w:val="left" w:pos="567"/>
          <w:tab w:val="left" w:pos="8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10</w:t>
      </w:r>
      <w:r>
        <w:rPr>
          <w:rFonts w:hint="eastAsia" w:ascii="仿宋" w:hAnsi="仿宋" w:eastAsia="仿宋" w:cs="仿宋_GB2312"/>
          <w:color w:val="auto"/>
          <w:sz w:val="24"/>
          <w:szCs w:val="24"/>
          <w:highlight w:val="none"/>
        </w:rPr>
        <w:t>.1 甲乙双方均不得单方面随意变更或解除合同。出现下列情况时本合同自行终止：</w:t>
      </w:r>
    </w:p>
    <w:p w14:paraId="29042DB1">
      <w:pPr>
        <w:tabs>
          <w:tab w:val="left" w:pos="567"/>
          <w:tab w:val="left" w:pos="8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（1）本合同正常履行完毕；</w:t>
      </w:r>
    </w:p>
    <w:p w14:paraId="4B83AB3B">
      <w:pPr>
        <w:tabs>
          <w:tab w:val="left" w:pos="567"/>
          <w:tab w:val="left" w:pos="8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（2）甲乙双方在不违反法律、法规规定的情况下终止本合同的履行；</w:t>
      </w:r>
    </w:p>
    <w:p w14:paraId="2E6E09EE">
      <w:pPr>
        <w:tabs>
          <w:tab w:val="left" w:pos="567"/>
          <w:tab w:val="left" w:pos="8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（3）不可抗力导致本合同无法履行或履行不必要时，合同自不可抗力发生之日起终止；</w:t>
      </w:r>
    </w:p>
    <w:p w14:paraId="022761A3">
      <w:pPr>
        <w:tabs>
          <w:tab w:val="left" w:pos="567"/>
          <w:tab w:val="left" w:pos="8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（4）一方不履行合同条款，造成另一方无法执行合同，协商又不能求得解决，责任方赔偿损失后，合同终止；</w:t>
      </w:r>
    </w:p>
    <w:p w14:paraId="6613C047">
      <w:pPr>
        <w:tabs>
          <w:tab w:val="left" w:pos="567"/>
          <w:tab w:val="left" w:pos="8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（5）其他合同约定或法律规定终止合同的情形。</w:t>
      </w:r>
    </w:p>
    <w:p w14:paraId="311F187B">
      <w:pPr>
        <w:tabs>
          <w:tab w:val="left" w:pos="567"/>
          <w:tab w:val="left" w:pos="8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10</w:t>
      </w:r>
      <w:r>
        <w:rPr>
          <w:rFonts w:hint="eastAsia" w:ascii="仿宋" w:hAnsi="仿宋" w:eastAsia="仿宋" w:cs="仿宋_GB2312"/>
          <w:color w:val="auto"/>
          <w:sz w:val="24"/>
          <w:szCs w:val="24"/>
          <w:highlight w:val="none"/>
        </w:rPr>
        <w:t>.2 本项目服务有效期内，甲方有权根据对乙方服务考核结果决定是否终止合同。若甲方在解除合同后未能及时与新的供应商签订服务合同，需延长一定服务期限，则乙方应根据甲方要求延长服务期限，延长服务期以合同到期日起30日为限。当出现以下情形（不限于下列情形）时，即使乙方年度服务评价达标，甲方仍可以在年度服务期满时终止合同：</w:t>
      </w:r>
    </w:p>
    <w:p w14:paraId="7EE446E4">
      <w:pPr>
        <w:tabs>
          <w:tab w:val="left" w:pos="567"/>
          <w:tab w:val="left" w:pos="8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（1）因突发性政策调整或变动，甲方预算或需求发生较大变化，无法继续购买乙方服务；</w:t>
      </w:r>
    </w:p>
    <w:p w14:paraId="0C67F77C">
      <w:pPr>
        <w:tabs>
          <w:tab w:val="left" w:pos="567"/>
          <w:tab w:val="left" w:pos="8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（2）其他影响甲方继续履行合同的客观情况。</w:t>
      </w:r>
    </w:p>
    <w:p w14:paraId="437DF5E4">
      <w:pPr>
        <w:tabs>
          <w:tab w:val="left" w:pos="567"/>
          <w:tab w:val="left" w:pos="840"/>
        </w:tabs>
        <w:spacing w:line="420" w:lineRule="exact"/>
        <w:ind w:firstLine="480" w:firstLineChars="200"/>
        <w:rPr>
          <w:rFonts w:ascii="仿宋" w:hAnsi="仿宋" w:eastAsia="仿宋" w:cs="仿宋_GB2312"/>
          <w:color w:val="auto"/>
          <w:sz w:val="24"/>
          <w:szCs w:val="24"/>
          <w:highlight w:val="none"/>
          <w:lang w:eastAsia="zh-Hans"/>
        </w:rPr>
      </w:pPr>
      <w:r>
        <w:rPr>
          <w:rFonts w:ascii="仿宋" w:hAnsi="仿宋" w:eastAsia="仿宋" w:cs="仿宋_GB2312"/>
          <w:color w:val="auto"/>
          <w:sz w:val="24"/>
          <w:szCs w:val="24"/>
          <w:highlight w:val="none"/>
        </w:rPr>
        <w:t xml:space="preserve">10.3 </w:t>
      </w:r>
      <w:r>
        <w:rPr>
          <w:rFonts w:hint="eastAsia" w:ascii="仿宋" w:hAnsi="仿宋" w:eastAsia="仿宋" w:cs="仿宋_GB2312"/>
          <w:color w:val="auto"/>
          <w:sz w:val="24"/>
          <w:szCs w:val="24"/>
          <w:highlight w:val="none"/>
          <w:lang w:eastAsia="zh-Hans"/>
        </w:rPr>
        <w:t>若甲方发现项目存在重大风险问题时，甲方有权立即终止合同。</w:t>
      </w:r>
    </w:p>
    <w:p w14:paraId="64EF3C28">
      <w:pPr>
        <w:tabs>
          <w:tab w:val="left" w:pos="567"/>
          <w:tab w:val="left" w:pos="8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10</w:t>
      </w:r>
      <w:r>
        <w:rPr>
          <w:rFonts w:hint="eastAsia" w:ascii="仿宋" w:hAnsi="仿宋" w:eastAsia="仿宋" w:cs="仿宋_GB2312"/>
          <w:color w:val="auto"/>
          <w:sz w:val="24"/>
          <w:szCs w:val="24"/>
          <w:highlight w:val="none"/>
        </w:rPr>
        <w:t>.</w:t>
      </w:r>
      <w:r>
        <w:rPr>
          <w:rFonts w:ascii="仿宋" w:hAnsi="仿宋" w:eastAsia="仿宋" w:cs="仿宋_GB2312"/>
          <w:color w:val="auto"/>
          <w:sz w:val="24"/>
          <w:szCs w:val="24"/>
          <w:highlight w:val="none"/>
        </w:rPr>
        <w:t>4</w:t>
      </w:r>
      <w:r>
        <w:rPr>
          <w:rFonts w:hint="eastAsia" w:ascii="仿宋" w:hAnsi="仿宋" w:eastAsia="仿宋" w:cs="仿宋_GB2312"/>
          <w:color w:val="auto"/>
          <w:sz w:val="24"/>
          <w:szCs w:val="24"/>
          <w:highlight w:val="none"/>
        </w:rPr>
        <w:t xml:space="preserve"> 合同的终止并不影响甲乙双方承担其他法律责任。</w:t>
      </w:r>
    </w:p>
    <w:p w14:paraId="7306A14D">
      <w:pPr>
        <w:tabs>
          <w:tab w:val="left" w:pos="567"/>
          <w:tab w:val="left" w:pos="840"/>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10</w:t>
      </w:r>
      <w:r>
        <w:rPr>
          <w:rFonts w:hint="eastAsia" w:ascii="仿宋" w:hAnsi="仿宋" w:eastAsia="仿宋" w:cs="仿宋_GB2312"/>
          <w:color w:val="auto"/>
          <w:sz w:val="24"/>
          <w:szCs w:val="24"/>
          <w:highlight w:val="none"/>
        </w:rPr>
        <w:t>.</w:t>
      </w: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rPr>
        <w:t xml:space="preserve"> 过渡期内双方应履行交接处置义务。</w:t>
      </w:r>
    </w:p>
    <w:p w14:paraId="4DF3EBAB">
      <w:pPr>
        <w:tabs>
          <w:tab w:val="left" w:pos="420"/>
        </w:tabs>
        <w:spacing w:before="156" w:beforeLines="50" w:line="420" w:lineRule="exact"/>
        <w:ind w:firstLine="482" w:firstLineChars="200"/>
        <w:outlineLvl w:val="0"/>
        <w:rPr>
          <w:rFonts w:ascii="仿宋" w:hAnsi="仿宋" w:eastAsia="仿宋" w:cs="仿宋_GB2312"/>
          <w:b/>
          <w:color w:val="auto"/>
          <w:sz w:val="24"/>
          <w:szCs w:val="24"/>
          <w:highlight w:val="none"/>
        </w:rPr>
      </w:pPr>
      <w:bookmarkStart w:id="91" w:name="_Toc31274"/>
      <w:bookmarkStart w:id="92" w:name="_Toc119323248"/>
      <w:r>
        <w:rPr>
          <w:rFonts w:hint="eastAsia" w:ascii="仿宋" w:hAnsi="仿宋" w:eastAsia="仿宋" w:cs="仿宋_GB2312"/>
          <w:b/>
          <w:color w:val="auto"/>
          <w:sz w:val="24"/>
          <w:szCs w:val="24"/>
          <w:highlight w:val="none"/>
        </w:rPr>
        <w:t>第</w:t>
      </w:r>
      <w:r>
        <w:rPr>
          <w:rFonts w:hint="eastAsia" w:ascii="仿宋" w:hAnsi="仿宋" w:eastAsia="仿宋" w:cs="仿宋_GB2312"/>
          <w:b/>
          <w:color w:val="auto"/>
          <w:sz w:val="24"/>
          <w:szCs w:val="24"/>
          <w:highlight w:val="none"/>
          <w:lang w:eastAsia="zh-Hans"/>
        </w:rPr>
        <w:t>十一</w:t>
      </w:r>
      <w:r>
        <w:rPr>
          <w:rFonts w:hint="eastAsia" w:ascii="仿宋" w:hAnsi="仿宋" w:eastAsia="仿宋" w:cs="仿宋_GB2312"/>
          <w:b/>
          <w:color w:val="auto"/>
          <w:sz w:val="24"/>
          <w:szCs w:val="24"/>
          <w:highlight w:val="none"/>
        </w:rPr>
        <w:t>条 其他</w:t>
      </w:r>
      <w:bookmarkEnd w:id="91"/>
      <w:bookmarkEnd w:id="92"/>
    </w:p>
    <w:p w14:paraId="40AF7C4C">
      <w:pPr>
        <w:tabs>
          <w:tab w:val="left" w:pos="964"/>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11</w:t>
      </w:r>
      <w:r>
        <w:rPr>
          <w:rFonts w:hint="eastAsia" w:ascii="仿宋" w:hAnsi="仿宋" w:eastAsia="仿宋" w:cs="仿宋_GB2312"/>
          <w:color w:val="auto"/>
          <w:sz w:val="24"/>
          <w:szCs w:val="24"/>
          <w:highlight w:val="none"/>
        </w:rPr>
        <w:t xml:space="preserve">.1 </w:t>
      </w:r>
      <w:r>
        <w:rPr>
          <w:rFonts w:hint="eastAsia" w:ascii="仿宋" w:hAnsi="仿宋" w:eastAsia="仿宋" w:cs="Times New Roman"/>
          <w:color w:val="auto"/>
          <w:sz w:val="24"/>
          <w:szCs w:val="24"/>
          <w:highlight w:val="none"/>
        </w:rPr>
        <w:t>本合同如有未尽事宜，须经双方共同协商，签订书面补充协议，与本合同具有同等法律效力。当补充协议与主合同发生冲突时以签订在后的补充协议为准。</w:t>
      </w:r>
    </w:p>
    <w:p w14:paraId="77B4570C">
      <w:pPr>
        <w:tabs>
          <w:tab w:val="left" w:pos="964"/>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11</w:t>
      </w:r>
      <w:r>
        <w:rPr>
          <w:rFonts w:hint="eastAsia" w:ascii="仿宋" w:hAnsi="仿宋" w:eastAsia="仿宋" w:cs="仿宋_GB2312"/>
          <w:color w:val="auto"/>
          <w:sz w:val="24"/>
          <w:szCs w:val="24"/>
          <w:highlight w:val="none"/>
        </w:rPr>
        <w:t xml:space="preserve">.2 </w:t>
      </w:r>
      <w:r>
        <w:rPr>
          <w:rFonts w:hint="eastAsia" w:ascii="仿宋" w:hAnsi="仿宋" w:eastAsia="仿宋" w:cs="Times New Roman"/>
          <w:color w:val="auto"/>
          <w:sz w:val="24"/>
          <w:szCs w:val="24"/>
          <w:highlight w:val="none"/>
        </w:rPr>
        <w:t>本合同及其附件一式</w:t>
      </w:r>
      <w:r>
        <w:rPr>
          <w:rFonts w:hint="eastAsia" w:ascii="仿宋" w:hAnsi="仿宋" w:eastAsia="仿宋" w:cs="Times New Roman"/>
          <w:color w:val="auto"/>
          <w:sz w:val="24"/>
          <w:szCs w:val="24"/>
          <w:highlight w:val="none"/>
          <w:lang w:val="en-US" w:eastAsia="zh-CN"/>
        </w:rPr>
        <w:t>伍</w:t>
      </w:r>
      <w:r>
        <w:rPr>
          <w:rFonts w:hint="eastAsia" w:ascii="仿宋" w:hAnsi="仿宋" w:eastAsia="仿宋" w:cs="Times New Roman"/>
          <w:color w:val="auto"/>
          <w:sz w:val="24"/>
          <w:szCs w:val="24"/>
          <w:highlight w:val="none"/>
        </w:rPr>
        <w:t>份，甲方持</w:t>
      </w:r>
      <w:r>
        <w:rPr>
          <w:rFonts w:hint="eastAsia" w:ascii="仿宋" w:hAnsi="仿宋" w:eastAsia="仿宋" w:cs="Times New Roman"/>
          <w:color w:val="auto"/>
          <w:sz w:val="24"/>
          <w:szCs w:val="24"/>
          <w:highlight w:val="none"/>
          <w:lang w:val="en-US" w:eastAsia="zh-CN"/>
        </w:rPr>
        <w:t>叁</w:t>
      </w:r>
      <w:r>
        <w:rPr>
          <w:rFonts w:hint="eastAsia" w:ascii="仿宋" w:hAnsi="仿宋" w:eastAsia="仿宋" w:cs="Times New Roman"/>
          <w:color w:val="auto"/>
          <w:sz w:val="24"/>
          <w:szCs w:val="24"/>
          <w:highlight w:val="none"/>
        </w:rPr>
        <w:t>份，乙方持贰份,经双方法定代表人或其授权代表签字并加盖单位公章时开始生效。</w:t>
      </w:r>
    </w:p>
    <w:p w14:paraId="00DAF9FA">
      <w:pPr>
        <w:tabs>
          <w:tab w:val="left" w:pos="964"/>
        </w:tabs>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11</w:t>
      </w:r>
      <w:r>
        <w:rPr>
          <w:rFonts w:hint="eastAsia" w:ascii="仿宋" w:hAnsi="仿宋" w:eastAsia="仿宋" w:cs="仿宋_GB2312"/>
          <w:color w:val="auto"/>
          <w:sz w:val="24"/>
          <w:szCs w:val="24"/>
          <w:highlight w:val="none"/>
        </w:rPr>
        <w:t xml:space="preserve">.3 </w:t>
      </w:r>
      <w:r>
        <w:rPr>
          <w:rFonts w:hint="eastAsia" w:ascii="仿宋" w:hAnsi="仿宋" w:eastAsia="仿宋" w:cs="Times New Roman"/>
          <w:color w:val="auto"/>
          <w:sz w:val="24"/>
          <w:szCs w:val="24"/>
          <w:highlight w:val="none"/>
        </w:rPr>
        <w:t>合同附件：本合同附件是合同不可分割的组成部分，与合同正文具有同等法律效力。当附件与主合同发生冲突时以主合同为准。</w:t>
      </w:r>
    </w:p>
    <w:p w14:paraId="3F2C6F75">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p>
    <w:p w14:paraId="0FD12541">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附件一：保密承诺书</w:t>
      </w:r>
    </w:p>
    <w:p w14:paraId="0CCD39DA">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附件二：廉洁共建承诺书</w:t>
      </w:r>
    </w:p>
    <w:p w14:paraId="230A19C8">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附件三：项目需求书（内容与“第五章”一致，本文件中不再重复，合同正式签订时附后）</w:t>
      </w:r>
    </w:p>
    <w:p w14:paraId="15DE2087">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附件四：安全保证承诺书</w:t>
      </w:r>
      <w:bookmarkStart w:id="93" w:name="_Toc14896"/>
    </w:p>
    <w:p w14:paraId="0E7084F0">
      <w:pPr>
        <w:tabs>
          <w:tab w:val="left" w:pos="567"/>
          <w:tab w:val="left" w:pos="840"/>
          <w:tab w:val="left" w:pos="1440"/>
        </w:tabs>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附件五：初步/最终/期满验收合格单</w:t>
      </w:r>
    </w:p>
    <w:p w14:paraId="5772F2B4">
      <w:pPr>
        <w:keepNext/>
        <w:keepLines/>
        <w:spacing w:line="440" w:lineRule="exact"/>
        <w:rPr>
          <w:rFonts w:ascii="仿宋" w:hAnsi="仿宋" w:eastAsia="仿宋" w:cs="仿宋_GB2312"/>
          <w:b/>
          <w:bCs/>
          <w:color w:val="auto"/>
          <w:sz w:val="24"/>
          <w:szCs w:val="24"/>
          <w:highlight w:val="none"/>
          <w:u w:color="000000"/>
        </w:rPr>
        <w:sectPr>
          <w:footerReference r:id="rId7" w:type="default"/>
          <w:pgSz w:w="11906" w:h="16838"/>
          <w:pgMar w:top="1440" w:right="1800" w:bottom="1440" w:left="1800" w:header="851" w:footer="992" w:gutter="0"/>
          <w:pgNumType w:start="1"/>
          <w:cols w:space="425" w:num="1"/>
          <w:docGrid w:type="lines" w:linePitch="312" w:charSpace="0"/>
        </w:sectPr>
      </w:pPr>
    </w:p>
    <w:p w14:paraId="2B0C29C1">
      <w:pPr>
        <w:tabs>
          <w:tab w:val="left" w:pos="567"/>
          <w:tab w:val="left" w:pos="840"/>
          <w:tab w:val="left" w:pos="1440"/>
        </w:tabs>
        <w:spacing w:line="600" w:lineRule="exact"/>
        <w:ind w:firstLine="482" w:firstLineChars="200"/>
        <w:outlineLvl w:val="0"/>
        <w:rPr>
          <w:rFonts w:ascii="仿宋" w:hAnsi="仿宋" w:eastAsia="仿宋" w:cs="仿宋_GB2312"/>
          <w:b/>
          <w:color w:val="auto"/>
          <w:sz w:val="24"/>
          <w:szCs w:val="24"/>
          <w:highlight w:val="none"/>
        </w:rPr>
      </w:pPr>
      <w:bookmarkStart w:id="94" w:name="_Toc119323249"/>
      <w:r>
        <w:rPr>
          <w:rFonts w:hint="eastAsia" w:ascii="仿宋" w:hAnsi="仿宋" w:eastAsia="仿宋" w:cs="仿宋_GB2312"/>
          <w:b/>
          <w:color w:val="auto"/>
          <w:sz w:val="24"/>
          <w:szCs w:val="24"/>
          <w:highlight w:val="none"/>
        </w:rPr>
        <w:t>【签字页】</w:t>
      </w:r>
      <w:bookmarkEnd w:id="93"/>
      <w:bookmarkEnd w:id="94"/>
    </w:p>
    <w:p w14:paraId="6A8DDEC7">
      <w:pPr>
        <w:spacing w:line="600" w:lineRule="exact"/>
        <w:ind w:firstLine="480" w:firstLineChars="200"/>
        <w:rPr>
          <w:rFonts w:ascii="仿宋" w:hAnsi="仿宋" w:eastAsia="仿宋" w:cs="仿宋_GB2312"/>
          <w:color w:val="auto"/>
          <w:sz w:val="24"/>
          <w:szCs w:val="24"/>
          <w:highlight w:val="none"/>
        </w:rPr>
      </w:pPr>
    </w:p>
    <w:p w14:paraId="7F9CF0E1">
      <w:pPr>
        <w:spacing w:line="60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甲方：成方金融科技有限公司</w:t>
      </w:r>
      <w:r>
        <w:rPr>
          <w:rFonts w:hint="eastAsia" w:ascii="仿宋" w:hAnsi="仿宋" w:eastAsia="仿宋" w:cs="仿宋_GB2312"/>
          <w:color w:val="auto"/>
          <w:sz w:val="24"/>
          <w:szCs w:val="24"/>
          <w:highlight w:val="none"/>
          <w:lang w:val="en-US" w:eastAsia="zh-CN"/>
        </w:rPr>
        <w:t>上海分公司</w:t>
      </w:r>
      <w:r>
        <w:rPr>
          <w:rFonts w:hint="eastAsia" w:ascii="仿宋" w:hAnsi="仿宋" w:eastAsia="仿宋" w:cs="仿宋_GB2312"/>
          <w:color w:val="auto"/>
          <w:sz w:val="24"/>
          <w:szCs w:val="24"/>
          <w:highlight w:val="none"/>
        </w:rPr>
        <w:t>（盖章）</w:t>
      </w:r>
    </w:p>
    <w:p w14:paraId="57180B05">
      <w:pPr>
        <w:spacing w:line="60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法定代表人或授权代表：_____________________（签字）</w:t>
      </w:r>
    </w:p>
    <w:p w14:paraId="7B14F9CB">
      <w:pPr>
        <w:spacing w:line="60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日期：_________年_____月_____日</w:t>
      </w:r>
    </w:p>
    <w:p w14:paraId="1A180596">
      <w:pPr>
        <w:spacing w:line="600" w:lineRule="exact"/>
        <w:ind w:firstLine="480" w:firstLineChars="200"/>
        <w:rPr>
          <w:rFonts w:ascii="仿宋" w:hAnsi="仿宋" w:eastAsia="仿宋" w:cs="仿宋_GB2312"/>
          <w:color w:val="auto"/>
          <w:sz w:val="24"/>
          <w:szCs w:val="24"/>
          <w:highlight w:val="none"/>
        </w:rPr>
      </w:pPr>
    </w:p>
    <w:p w14:paraId="324A12E0">
      <w:pPr>
        <w:spacing w:line="600" w:lineRule="exact"/>
        <w:ind w:firstLine="480" w:firstLineChars="200"/>
        <w:rPr>
          <w:rFonts w:ascii="仿宋" w:hAnsi="仿宋" w:eastAsia="仿宋" w:cs="仿宋_GB2312"/>
          <w:color w:val="auto"/>
          <w:sz w:val="24"/>
          <w:szCs w:val="24"/>
          <w:highlight w:val="none"/>
        </w:rPr>
      </w:pPr>
    </w:p>
    <w:p w14:paraId="0F9425DC">
      <w:pPr>
        <w:spacing w:line="60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乙方：_____________________（盖章）</w:t>
      </w:r>
    </w:p>
    <w:p w14:paraId="4CE8B8CD">
      <w:pPr>
        <w:spacing w:line="60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法定代表人或授权代表：_____________________（签字）</w:t>
      </w:r>
    </w:p>
    <w:p w14:paraId="5A29EF1C">
      <w:pPr>
        <w:spacing w:line="60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日期：_________年_____月_____日</w:t>
      </w:r>
    </w:p>
    <w:p w14:paraId="36258BB6">
      <w:pPr>
        <w:spacing w:line="600" w:lineRule="exact"/>
        <w:rPr>
          <w:rFonts w:ascii="仿宋_GB2312" w:hAnsi="仿宋_GB2312" w:eastAsia="仿宋_GB2312" w:cs="仿宋_GB2312"/>
          <w:color w:val="auto"/>
          <w:sz w:val="24"/>
          <w:szCs w:val="24"/>
          <w:highlight w:val="none"/>
        </w:rPr>
      </w:pPr>
    </w:p>
    <w:p w14:paraId="3FCFBC0C">
      <w:pPr>
        <w:spacing w:line="386" w:lineRule="exact"/>
        <w:outlineLvl w:val="0"/>
        <w:rPr>
          <w:rFonts w:ascii="仿宋" w:hAnsi="仿宋" w:eastAsia="仿宋" w:cs="仿宋_GB2312"/>
          <w:color w:val="auto"/>
          <w:sz w:val="24"/>
          <w:szCs w:val="24"/>
          <w:highlight w:val="none"/>
        </w:rPr>
      </w:pPr>
      <w:r>
        <w:rPr>
          <w:rFonts w:hint="eastAsia" w:ascii="仿宋_GB2312" w:hAnsi="仿宋_GB2312" w:eastAsia="仿宋_GB2312" w:cs="仿宋_GB2312"/>
          <w:color w:val="auto"/>
          <w:sz w:val="24"/>
          <w:szCs w:val="24"/>
          <w:highlight w:val="none"/>
        </w:rPr>
        <w:br w:type="page"/>
      </w:r>
      <w:bookmarkStart w:id="95" w:name="_Toc17860"/>
      <w:bookmarkStart w:id="96" w:name="_Toc1072"/>
      <w:r>
        <w:rPr>
          <w:rFonts w:hint="eastAsia" w:ascii="仿宋" w:hAnsi="仿宋" w:eastAsia="仿宋" w:cs="仿宋_GB2312"/>
          <w:color w:val="auto"/>
          <w:sz w:val="24"/>
          <w:szCs w:val="24"/>
          <w:highlight w:val="none"/>
        </w:rPr>
        <w:t>附件一</w:t>
      </w:r>
      <w:bookmarkEnd w:id="95"/>
      <w:bookmarkEnd w:id="96"/>
    </w:p>
    <w:p w14:paraId="1152B947">
      <w:pPr>
        <w:spacing w:line="386" w:lineRule="exact"/>
        <w:jc w:val="center"/>
        <w:rPr>
          <w:rFonts w:ascii="仿宋" w:hAnsi="仿宋" w:eastAsia="仿宋" w:cs="仿宋_GB2312"/>
          <w:b/>
          <w:bCs/>
          <w:color w:val="auto"/>
          <w:sz w:val="28"/>
          <w:szCs w:val="28"/>
          <w:highlight w:val="none"/>
        </w:rPr>
      </w:pPr>
      <w:r>
        <w:rPr>
          <w:rFonts w:hint="eastAsia" w:ascii="仿宋" w:hAnsi="仿宋" w:eastAsia="仿宋" w:cs="仿宋_GB2312"/>
          <w:b/>
          <w:bCs/>
          <w:color w:val="auto"/>
          <w:sz w:val="28"/>
          <w:szCs w:val="28"/>
          <w:highlight w:val="none"/>
        </w:rPr>
        <w:t>保密承诺书</w:t>
      </w:r>
    </w:p>
    <w:p w14:paraId="3EB141AD">
      <w:pPr>
        <w:shd w:val="clear" w:color="auto" w:fill="FFFFFF"/>
        <w:spacing w:line="386" w:lineRule="exact"/>
        <w:rPr>
          <w:rFonts w:ascii="仿宋" w:hAnsi="仿宋" w:eastAsia="仿宋" w:cs="仿宋_GB2312"/>
          <w:color w:val="auto"/>
          <w:sz w:val="24"/>
          <w:szCs w:val="24"/>
          <w:highlight w:val="none"/>
        </w:rPr>
      </w:pPr>
    </w:p>
    <w:p w14:paraId="75387464">
      <w:pPr>
        <w:shd w:val="clear" w:color="auto" w:fill="FFFFFF"/>
        <w:spacing w:line="386" w:lineRule="exact"/>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成方金融科技有限公司</w:t>
      </w:r>
      <w:r>
        <w:rPr>
          <w:rFonts w:hint="eastAsia" w:ascii="仿宋" w:hAnsi="仿宋" w:eastAsia="仿宋" w:cs="仿宋_GB2312"/>
          <w:color w:val="auto"/>
          <w:sz w:val="24"/>
          <w:szCs w:val="24"/>
          <w:highlight w:val="none"/>
          <w:lang w:val="en-US" w:eastAsia="zh-CN"/>
        </w:rPr>
        <w:t>上海分公司</w:t>
      </w:r>
      <w:r>
        <w:rPr>
          <w:rFonts w:hint="eastAsia" w:ascii="仿宋" w:hAnsi="仿宋" w:eastAsia="仿宋" w:cs="仿宋_GB2312"/>
          <w:color w:val="auto"/>
          <w:sz w:val="24"/>
          <w:szCs w:val="24"/>
          <w:highlight w:val="none"/>
        </w:rPr>
        <w:t>（以下简称甲方）：</w:t>
      </w:r>
    </w:p>
    <w:p w14:paraId="484BB91D">
      <w:pPr>
        <w:shd w:val="clear" w:color="auto" w:fill="FFFFFF"/>
        <w:spacing w:line="386"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我方现就本合同有关保密义务事项做出如下承诺：</w:t>
      </w:r>
    </w:p>
    <w:p w14:paraId="5791193E">
      <w:pPr>
        <w:shd w:val="clear" w:color="auto" w:fill="FFFFFF"/>
        <w:spacing w:line="386"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1.</w:t>
      </w:r>
      <w:r>
        <w:rPr>
          <w:rFonts w:ascii="仿宋" w:hAnsi="仿宋" w:eastAsia="仿宋" w:cs="仿宋_GB2312"/>
          <w:color w:val="auto"/>
          <w:sz w:val="24"/>
          <w:szCs w:val="24"/>
          <w:highlight w:val="none"/>
        </w:rPr>
        <w:t>我方理解</w:t>
      </w:r>
      <w:r>
        <w:rPr>
          <w:rFonts w:ascii="仿宋" w:hAnsi="仿宋" w:eastAsia="仿宋" w:cs="仿宋_GB2312"/>
          <w:color w:val="auto"/>
          <w:sz w:val="24"/>
          <w:szCs w:val="24"/>
          <w:highlight w:val="none"/>
          <w:lang w:eastAsia="zh-Hans"/>
        </w:rPr>
        <w:t>并承认</w:t>
      </w:r>
      <w:r>
        <w:rPr>
          <w:rFonts w:ascii="仿宋" w:hAnsi="仿宋" w:eastAsia="仿宋" w:cs="仿宋_GB2312"/>
          <w:color w:val="auto"/>
          <w:sz w:val="24"/>
          <w:szCs w:val="24"/>
          <w:highlight w:val="none"/>
        </w:rPr>
        <w:t>，甲方的专有信息、保密信息和商业秘密信息（以下统称“</w:t>
      </w:r>
      <w:r>
        <w:rPr>
          <w:rFonts w:ascii="仿宋" w:hAnsi="仿宋" w:eastAsia="仿宋" w:cs="仿宋_GB2312"/>
          <w:color w:val="auto"/>
          <w:sz w:val="24"/>
          <w:szCs w:val="24"/>
          <w:highlight w:val="none"/>
          <w:lang w:eastAsia="zh-Hans"/>
        </w:rPr>
        <w:t>敏感</w:t>
      </w:r>
      <w:r>
        <w:rPr>
          <w:rFonts w:ascii="仿宋" w:hAnsi="仿宋" w:eastAsia="仿宋" w:cs="仿宋_GB2312"/>
          <w:color w:val="auto"/>
          <w:sz w:val="24"/>
          <w:szCs w:val="24"/>
          <w:highlight w:val="none"/>
        </w:rPr>
        <w:t>信息”）是指甲方拥有或持有的、不为外界所公知的、与甲方或甲方的关联公司业务、服务、产品相关的信息，由甲方或其关联公司在本</w:t>
      </w:r>
      <w:r>
        <w:rPr>
          <w:rFonts w:ascii="仿宋" w:hAnsi="仿宋" w:eastAsia="仿宋" w:cs="仿宋_GB2312"/>
          <w:color w:val="auto"/>
          <w:sz w:val="24"/>
          <w:szCs w:val="24"/>
          <w:highlight w:val="none"/>
          <w:lang w:eastAsia="zh-Hans"/>
        </w:rPr>
        <w:t>承诺书</w:t>
      </w:r>
      <w:r>
        <w:rPr>
          <w:rFonts w:ascii="仿宋" w:hAnsi="仿宋" w:eastAsia="仿宋" w:cs="仿宋_GB2312"/>
          <w:color w:val="auto"/>
          <w:sz w:val="24"/>
          <w:szCs w:val="24"/>
          <w:highlight w:val="none"/>
        </w:rPr>
        <w:t>签署前或之后披露给乙方的：所有技术信息、经营信息，包括但不限于服务器上的数据、</w:t>
      </w:r>
      <w:r>
        <w:rPr>
          <w:rFonts w:ascii="仿宋" w:hAnsi="仿宋" w:eastAsia="仿宋" w:cs="仿宋_GB2312"/>
          <w:color w:val="auto"/>
          <w:sz w:val="24"/>
          <w:szCs w:val="24"/>
          <w:highlight w:val="none"/>
          <w:lang w:eastAsia="zh-Hans"/>
        </w:rPr>
        <w:t>源代码、</w:t>
      </w:r>
      <w:r>
        <w:rPr>
          <w:rFonts w:ascii="仿宋" w:hAnsi="仿宋" w:eastAsia="仿宋" w:cs="仿宋_GB2312"/>
          <w:color w:val="auto"/>
          <w:sz w:val="24"/>
          <w:szCs w:val="24"/>
          <w:highlight w:val="none"/>
        </w:rPr>
        <w:t>甲方网站数据、用户行为数据及轨迹、技术图纸、技术方案、技术指标、计算机软件、数据库、研究开发记录、技术报告、检测报告、实验数据、试验结果、操作手册、技术文档、相关的函电、客户信息、员工信息、产品设计、款式、样品、样机、模型、模具、费用预算、定价政策、商业计划和战略、广告方案及策划、初始创意等；无论这些信息是以书面、口头、图形、电磁还是其他任何形式披露。数据系指由或者为了甲方而创建、获得、收集、集合或存档的一切信息的记录，包括个人信息。</w:t>
      </w:r>
    </w:p>
    <w:p w14:paraId="7325A500">
      <w:pPr>
        <w:shd w:val="clear" w:color="auto" w:fill="FFFFFF"/>
        <w:spacing w:line="386"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2</w:t>
      </w:r>
      <w:r>
        <w:rPr>
          <w:rFonts w:hint="eastAsia" w:ascii="仿宋" w:hAnsi="仿宋" w:eastAsia="仿宋" w:cs="仿宋_GB2312"/>
          <w:color w:val="auto"/>
          <w:sz w:val="24"/>
          <w:szCs w:val="24"/>
          <w:highlight w:val="none"/>
        </w:rPr>
        <w:t>.我方保证，未经甲方书面同意,不得向社会公众或第三方通过任何途径出示、披露敏感信息以及本项目的工作成果，亦不得对敏感信息、各阶段工作成果和最终工作成果进行传播和销售，并且保证只为执行本项目之目的使用敏感信息和各阶段工作成果和最终工作成果。</w:t>
      </w:r>
    </w:p>
    <w:p w14:paraId="703101ED">
      <w:pPr>
        <w:shd w:val="clear" w:color="auto" w:fill="FFFFFF"/>
        <w:spacing w:line="386" w:lineRule="exact"/>
        <w:ind w:firstLine="480" w:firstLineChars="200"/>
        <w:rPr>
          <w:rFonts w:ascii="仿宋" w:hAnsi="仿宋" w:eastAsia="仿宋" w:cs="仿宋_GB2312"/>
          <w:color w:val="auto"/>
          <w:sz w:val="24"/>
          <w:szCs w:val="24"/>
          <w:highlight w:val="none"/>
          <w:lang w:eastAsia="zh-Hans"/>
        </w:rPr>
      </w:pPr>
      <w:r>
        <w:rPr>
          <w:rFonts w:ascii="仿宋" w:hAnsi="仿宋" w:eastAsia="仿宋" w:cs="仿宋_GB2312"/>
          <w:color w:val="auto"/>
          <w:sz w:val="24"/>
          <w:szCs w:val="24"/>
          <w:highlight w:val="none"/>
        </w:rPr>
        <w:t>3.</w:t>
      </w:r>
      <w:r>
        <w:rPr>
          <w:rFonts w:hint="eastAsia" w:ascii="仿宋" w:hAnsi="仿宋" w:eastAsia="仿宋" w:cs="仿宋_GB2312"/>
          <w:color w:val="auto"/>
          <w:sz w:val="24"/>
          <w:szCs w:val="24"/>
          <w:highlight w:val="none"/>
          <w:lang w:eastAsia="zh-Hans"/>
        </w:rPr>
        <w:t>我方保证</w:t>
      </w:r>
      <w:r>
        <w:rPr>
          <w:rFonts w:hint="eastAsia" w:ascii="仿宋" w:hAnsi="仿宋" w:eastAsia="仿宋" w:cs="仿宋_GB2312"/>
          <w:color w:val="auto"/>
          <w:sz w:val="24"/>
          <w:szCs w:val="24"/>
          <w:highlight w:val="none"/>
        </w:rPr>
        <w:t>，根据一般的商业判断或惯例，在某些情况下，</w:t>
      </w:r>
      <w:r>
        <w:rPr>
          <w:rFonts w:hint="eastAsia" w:ascii="仿宋" w:hAnsi="仿宋" w:eastAsia="仿宋" w:cs="仿宋_GB2312"/>
          <w:color w:val="auto"/>
          <w:sz w:val="24"/>
          <w:szCs w:val="24"/>
          <w:highlight w:val="none"/>
          <w:lang w:eastAsia="zh-Hans"/>
        </w:rPr>
        <w:t>甲方</w:t>
      </w:r>
      <w:r>
        <w:rPr>
          <w:rFonts w:hint="eastAsia" w:ascii="仿宋" w:hAnsi="仿宋" w:eastAsia="仿宋" w:cs="仿宋_GB2312"/>
          <w:color w:val="auto"/>
          <w:sz w:val="24"/>
          <w:szCs w:val="24"/>
          <w:highlight w:val="none"/>
        </w:rPr>
        <w:t>与</w:t>
      </w:r>
      <w:r>
        <w:rPr>
          <w:rFonts w:hint="eastAsia" w:ascii="仿宋" w:hAnsi="仿宋" w:eastAsia="仿宋" w:cs="仿宋_GB2312"/>
          <w:color w:val="auto"/>
          <w:sz w:val="24"/>
          <w:szCs w:val="24"/>
          <w:highlight w:val="none"/>
          <w:lang w:eastAsia="zh-Hans"/>
        </w:rPr>
        <w:t>我方</w:t>
      </w:r>
      <w:r>
        <w:rPr>
          <w:rFonts w:hint="eastAsia" w:ascii="仿宋" w:hAnsi="仿宋" w:eastAsia="仿宋" w:cs="仿宋_GB2312"/>
          <w:color w:val="auto"/>
          <w:sz w:val="24"/>
          <w:szCs w:val="24"/>
          <w:highlight w:val="none"/>
        </w:rPr>
        <w:t>进行沟通、交流的行为本身也是一种</w:t>
      </w:r>
      <w:r>
        <w:rPr>
          <w:rFonts w:hint="eastAsia" w:ascii="仿宋" w:hAnsi="仿宋" w:eastAsia="仿宋" w:cs="仿宋_GB2312"/>
          <w:color w:val="auto"/>
          <w:sz w:val="24"/>
          <w:szCs w:val="24"/>
          <w:highlight w:val="none"/>
          <w:lang w:eastAsia="zh-Hans"/>
        </w:rPr>
        <w:t>敏感</w:t>
      </w:r>
      <w:r>
        <w:rPr>
          <w:rFonts w:hint="eastAsia" w:ascii="仿宋" w:hAnsi="仿宋" w:eastAsia="仿宋" w:cs="仿宋_GB2312"/>
          <w:color w:val="auto"/>
          <w:sz w:val="24"/>
          <w:szCs w:val="24"/>
          <w:highlight w:val="none"/>
        </w:rPr>
        <w:t>信息，</w:t>
      </w:r>
      <w:r>
        <w:rPr>
          <w:rFonts w:hint="eastAsia" w:ascii="仿宋" w:hAnsi="仿宋" w:eastAsia="仿宋" w:cs="仿宋_GB2312"/>
          <w:color w:val="auto"/>
          <w:sz w:val="24"/>
          <w:szCs w:val="24"/>
          <w:highlight w:val="none"/>
          <w:lang w:eastAsia="zh-Hans"/>
        </w:rPr>
        <w:t>我方</w:t>
      </w:r>
      <w:r>
        <w:rPr>
          <w:rFonts w:hint="eastAsia" w:ascii="仿宋" w:hAnsi="仿宋" w:eastAsia="仿宋" w:cs="仿宋_GB2312"/>
          <w:color w:val="auto"/>
          <w:sz w:val="24"/>
          <w:szCs w:val="24"/>
          <w:highlight w:val="none"/>
        </w:rPr>
        <w:t>也将对此予以严格保密</w:t>
      </w:r>
      <w:r>
        <w:rPr>
          <w:rFonts w:hint="eastAsia" w:ascii="仿宋" w:hAnsi="仿宋" w:eastAsia="仿宋" w:cs="仿宋_GB2312"/>
          <w:color w:val="auto"/>
          <w:sz w:val="24"/>
          <w:szCs w:val="24"/>
          <w:highlight w:val="none"/>
          <w:lang w:eastAsia="zh-Hans"/>
        </w:rPr>
        <w:t>。</w:t>
      </w:r>
    </w:p>
    <w:p w14:paraId="4E191DAA">
      <w:pPr>
        <w:snapToGrid w:val="0"/>
        <w:spacing w:line="386"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4.</w:t>
      </w:r>
      <w:r>
        <w:rPr>
          <w:rFonts w:hint="eastAsia" w:ascii="仿宋" w:hAnsi="仿宋" w:eastAsia="仿宋" w:cs="仿宋_GB2312"/>
          <w:color w:val="auto"/>
          <w:sz w:val="24"/>
          <w:szCs w:val="24"/>
          <w:highlight w:val="none"/>
          <w:lang w:eastAsia="zh-Hans"/>
        </w:rPr>
        <w:t>我方保证，</w:t>
      </w:r>
      <w:r>
        <w:rPr>
          <w:rFonts w:hint="eastAsia" w:ascii="仿宋" w:hAnsi="仿宋" w:eastAsia="仿宋" w:cs="仿宋_GB2312"/>
          <w:color w:val="auto"/>
          <w:sz w:val="24"/>
          <w:szCs w:val="24"/>
          <w:highlight w:val="none"/>
        </w:rPr>
        <w:t>自甲方向</w:t>
      </w:r>
      <w:r>
        <w:rPr>
          <w:rFonts w:hint="eastAsia" w:ascii="仿宋" w:hAnsi="仿宋" w:eastAsia="仿宋" w:cs="仿宋_GB2312"/>
          <w:color w:val="auto"/>
          <w:sz w:val="24"/>
          <w:szCs w:val="24"/>
          <w:highlight w:val="none"/>
          <w:lang w:eastAsia="zh-Hans"/>
        </w:rPr>
        <w:t>我方</w:t>
      </w:r>
      <w:r>
        <w:rPr>
          <w:rFonts w:hint="eastAsia" w:ascii="仿宋" w:hAnsi="仿宋" w:eastAsia="仿宋" w:cs="仿宋_GB2312"/>
          <w:color w:val="auto"/>
          <w:sz w:val="24"/>
          <w:szCs w:val="24"/>
          <w:highlight w:val="none"/>
        </w:rPr>
        <w:t>披露或</w:t>
      </w:r>
      <w:r>
        <w:rPr>
          <w:rFonts w:hint="eastAsia" w:ascii="仿宋" w:hAnsi="仿宋" w:eastAsia="仿宋" w:cs="仿宋_GB2312"/>
          <w:color w:val="auto"/>
          <w:sz w:val="24"/>
          <w:szCs w:val="24"/>
          <w:highlight w:val="none"/>
          <w:lang w:eastAsia="zh-Hans"/>
        </w:rPr>
        <w:t>我方</w:t>
      </w:r>
      <w:r>
        <w:rPr>
          <w:rFonts w:hint="eastAsia" w:ascii="仿宋" w:hAnsi="仿宋" w:eastAsia="仿宋" w:cs="仿宋_GB2312"/>
          <w:color w:val="auto"/>
          <w:sz w:val="24"/>
          <w:szCs w:val="24"/>
          <w:highlight w:val="none"/>
        </w:rPr>
        <w:t>以其他方式合法知悉甲方的</w:t>
      </w:r>
      <w:r>
        <w:rPr>
          <w:rFonts w:hint="eastAsia" w:ascii="仿宋" w:hAnsi="仿宋" w:eastAsia="仿宋" w:cs="仿宋_GB2312"/>
          <w:color w:val="auto"/>
          <w:sz w:val="24"/>
          <w:szCs w:val="24"/>
          <w:highlight w:val="none"/>
          <w:lang w:eastAsia="zh-Hans"/>
        </w:rPr>
        <w:t>敏感信息</w:t>
      </w:r>
      <w:r>
        <w:rPr>
          <w:rFonts w:hint="eastAsia" w:ascii="仿宋" w:hAnsi="仿宋" w:eastAsia="仿宋" w:cs="仿宋_GB2312"/>
          <w:color w:val="auto"/>
          <w:sz w:val="24"/>
          <w:szCs w:val="24"/>
          <w:highlight w:val="none"/>
        </w:rPr>
        <w:t>之日起开始承担保密义务。</w:t>
      </w:r>
      <w:r>
        <w:rPr>
          <w:rFonts w:hint="eastAsia" w:ascii="仿宋" w:hAnsi="仿宋" w:eastAsia="仿宋" w:cs="仿宋_GB2312"/>
          <w:color w:val="auto"/>
          <w:sz w:val="24"/>
          <w:szCs w:val="24"/>
          <w:highlight w:val="none"/>
          <w:lang w:eastAsia="zh-Hans"/>
        </w:rPr>
        <w:t>我方</w:t>
      </w:r>
      <w:r>
        <w:rPr>
          <w:rFonts w:hint="eastAsia" w:ascii="仿宋" w:hAnsi="仿宋" w:eastAsia="仿宋" w:cs="仿宋_GB2312"/>
          <w:color w:val="auto"/>
          <w:sz w:val="24"/>
          <w:szCs w:val="24"/>
          <w:highlight w:val="none"/>
        </w:rPr>
        <w:t>应对所有包含</w:t>
      </w:r>
      <w:r>
        <w:rPr>
          <w:rFonts w:hint="eastAsia" w:ascii="仿宋" w:hAnsi="仿宋" w:eastAsia="仿宋" w:cs="仿宋_GB2312"/>
          <w:color w:val="auto"/>
          <w:sz w:val="24"/>
          <w:szCs w:val="24"/>
          <w:highlight w:val="none"/>
          <w:lang w:eastAsia="zh-Hans"/>
        </w:rPr>
        <w:t>敏感</w:t>
      </w:r>
      <w:r>
        <w:rPr>
          <w:rFonts w:hint="eastAsia" w:ascii="仿宋" w:hAnsi="仿宋" w:eastAsia="仿宋" w:cs="仿宋_GB2312"/>
          <w:color w:val="auto"/>
          <w:sz w:val="24"/>
          <w:szCs w:val="24"/>
          <w:highlight w:val="none"/>
        </w:rPr>
        <w:t>信息的文件和记录进行妥善保管和存放，以确保相关文件和记录不会被窃取、泄漏或毁损。</w:t>
      </w:r>
    </w:p>
    <w:p w14:paraId="134AB5DE">
      <w:pPr>
        <w:snapToGrid w:val="0"/>
        <w:spacing w:line="386"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lang w:eastAsia="zh-Hans"/>
        </w:rPr>
        <w:t>我方保证，</w:t>
      </w:r>
      <w:r>
        <w:rPr>
          <w:rFonts w:hint="eastAsia" w:ascii="仿宋" w:hAnsi="仿宋" w:eastAsia="仿宋" w:cs="仿宋_GB2312"/>
          <w:color w:val="auto"/>
          <w:sz w:val="24"/>
          <w:szCs w:val="24"/>
          <w:highlight w:val="none"/>
        </w:rPr>
        <w:t>在与甲方合作期间，严格遵守甲方的所有成文或不成文的保密规章、制度和惯例。甲方的保密规章、制度没有规定或规定不明确的，</w:t>
      </w:r>
      <w:r>
        <w:rPr>
          <w:rFonts w:hint="eastAsia" w:ascii="仿宋" w:hAnsi="仿宋" w:eastAsia="仿宋" w:cs="仿宋_GB2312"/>
          <w:color w:val="auto"/>
          <w:sz w:val="24"/>
          <w:szCs w:val="24"/>
          <w:highlight w:val="none"/>
          <w:lang w:eastAsia="zh-Hans"/>
        </w:rPr>
        <w:t>我方</w:t>
      </w:r>
      <w:r>
        <w:rPr>
          <w:rFonts w:hint="eastAsia" w:ascii="仿宋" w:hAnsi="仿宋" w:eastAsia="仿宋" w:cs="仿宋_GB2312"/>
          <w:color w:val="auto"/>
          <w:sz w:val="24"/>
          <w:szCs w:val="24"/>
          <w:highlight w:val="none"/>
        </w:rPr>
        <w:t>应本着谨慎、诚实的原则，采取任何必要的、合理的措施保守其知悉的甲方的</w:t>
      </w:r>
      <w:r>
        <w:rPr>
          <w:rFonts w:hint="eastAsia" w:ascii="仿宋" w:hAnsi="仿宋" w:eastAsia="仿宋" w:cs="仿宋_GB2312"/>
          <w:color w:val="auto"/>
          <w:sz w:val="24"/>
          <w:szCs w:val="24"/>
          <w:highlight w:val="none"/>
          <w:lang w:eastAsia="zh-Hans"/>
        </w:rPr>
        <w:t>敏感信息</w:t>
      </w:r>
      <w:r>
        <w:rPr>
          <w:rFonts w:hint="eastAsia" w:ascii="仿宋" w:hAnsi="仿宋" w:eastAsia="仿宋" w:cs="仿宋_GB2312"/>
          <w:color w:val="auto"/>
          <w:sz w:val="24"/>
          <w:szCs w:val="24"/>
          <w:highlight w:val="none"/>
        </w:rPr>
        <w:t>和</w:t>
      </w:r>
      <w:r>
        <w:rPr>
          <w:rFonts w:hint="eastAsia" w:ascii="仿宋" w:hAnsi="仿宋" w:eastAsia="仿宋" w:cs="仿宋_GB2312"/>
          <w:color w:val="auto"/>
          <w:sz w:val="24"/>
          <w:szCs w:val="24"/>
          <w:highlight w:val="none"/>
          <w:lang w:eastAsia="zh-Hans"/>
        </w:rPr>
        <w:t>工作成果</w:t>
      </w:r>
      <w:r>
        <w:rPr>
          <w:rFonts w:hint="eastAsia" w:ascii="仿宋" w:hAnsi="仿宋" w:eastAsia="仿宋" w:cs="仿宋_GB2312"/>
          <w:color w:val="auto"/>
          <w:sz w:val="24"/>
          <w:szCs w:val="24"/>
          <w:highlight w:val="none"/>
        </w:rPr>
        <w:t>，且其采取保密措施的标准至少不得低于</w:t>
      </w:r>
      <w:r>
        <w:rPr>
          <w:rFonts w:hint="eastAsia" w:ascii="仿宋" w:hAnsi="仿宋" w:eastAsia="仿宋" w:cs="仿宋_GB2312"/>
          <w:color w:val="auto"/>
          <w:sz w:val="24"/>
          <w:szCs w:val="24"/>
          <w:highlight w:val="none"/>
          <w:lang w:eastAsia="zh-Hans"/>
        </w:rPr>
        <w:t>我方</w:t>
      </w:r>
      <w:r>
        <w:rPr>
          <w:rFonts w:hint="eastAsia" w:ascii="仿宋" w:hAnsi="仿宋" w:eastAsia="仿宋" w:cs="仿宋_GB2312"/>
          <w:color w:val="auto"/>
          <w:sz w:val="24"/>
          <w:szCs w:val="24"/>
          <w:highlight w:val="none"/>
        </w:rPr>
        <w:t>对于其自身的重大商业秘密的保密标准。</w:t>
      </w:r>
    </w:p>
    <w:p w14:paraId="77F97456">
      <w:pPr>
        <w:snapToGrid w:val="0"/>
        <w:spacing w:line="386" w:lineRule="exact"/>
        <w:ind w:firstLine="480" w:firstLineChars="200"/>
        <w:rPr>
          <w:rFonts w:ascii="仿宋" w:hAnsi="仿宋" w:eastAsia="仿宋" w:cs="仿宋_GB2312"/>
          <w:color w:val="auto"/>
          <w:sz w:val="24"/>
          <w:szCs w:val="24"/>
          <w:highlight w:val="none"/>
          <w:u w:color="000000"/>
        </w:rPr>
      </w:pPr>
      <w:r>
        <w:rPr>
          <w:rFonts w:ascii="仿宋" w:hAnsi="仿宋" w:eastAsia="仿宋" w:cs="仿宋_GB2312"/>
          <w:color w:val="auto"/>
          <w:sz w:val="24"/>
          <w:szCs w:val="24"/>
          <w:highlight w:val="none"/>
          <w:u w:color="000000"/>
        </w:rPr>
        <w:t>6.</w:t>
      </w:r>
      <w:r>
        <w:rPr>
          <w:rFonts w:hint="eastAsia" w:ascii="仿宋" w:hAnsi="仿宋" w:eastAsia="仿宋" w:cs="仿宋_GB2312"/>
          <w:color w:val="auto"/>
          <w:sz w:val="24"/>
          <w:szCs w:val="24"/>
          <w:highlight w:val="none"/>
          <w:u w:color="000000"/>
          <w:lang w:eastAsia="zh-Hans"/>
        </w:rPr>
        <w:t>我方保证，</w:t>
      </w:r>
      <w:r>
        <w:rPr>
          <w:rFonts w:hint="eastAsia" w:ascii="仿宋" w:hAnsi="仿宋" w:eastAsia="仿宋" w:cs="仿宋_GB2312"/>
          <w:color w:val="auto"/>
          <w:sz w:val="24"/>
          <w:szCs w:val="24"/>
          <w:highlight w:val="none"/>
          <w:u w:color="000000"/>
        </w:rPr>
        <w:t>未经甲方同意，</w:t>
      </w:r>
      <w:r>
        <w:rPr>
          <w:rFonts w:hint="eastAsia" w:ascii="仿宋" w:hAnsi="仿宋" w:eastAsia="仿宋" w:cs="仿宋_GB2312"/>
          <w:color w:val="auto"/>
          <w:sz w:val="24"/>
          <w:szCs w:val="24"/>
          <w:highlight w:val="none"/>
          <w:u w:color="000000"/>
          <w:lang w:eastAsia="zh-Hans"/>
        </w:rPr>
        <w:t>我方</w:t>
      </w:r>
      <w:r>
        <w:rPr>
          <w:rFonts w:hint="eastAsia" w:ascii="仿宋" w:hAnsi="仿宋" w:eastAsia="仿宋" w:cs="仿宋_GB2312"/>
          <w:color w:val="auto"/>
          <w:sz w:val="24"/>
          <w:szCs w:val="24"/>
          <w:highlight w:val="none"/>
          <w:u w:color="000000"/>
        </w:rPr>
        <w:t>不得擅自保存与甲方</w:t>
      </w:r>
      <w:r>
        <w:rPr>
          <w:rFonts w:hint="eastAsia" w:ascii="仿宋" w:hAnsi="仿宋" w:eastAsia="仿宋" w:cs="仿宋_GB2312"/>
          <w:color w:val="auto"/>
          <w:sz w:val="24"/>
          <w:szCs w:val="24"/>
          <w:highlight w:val="none"/>
          <w:u w:color="000000"/>
          <w:lang w:eastAsia="zh-Hans"/>
        </w:rPr>
        <w:t>敏感信息</w:t>
      </w:r>
      <w:r>
        <w:rPr>
          <w:rFonts w:hint="eastAsia" w:ascii="仿宋" w:hAnsi="仿宋" w:eastAsia="仿宋" w:cs="仿宋_GB2312"/>
          <w:color w:val="auto"/>
          <w:sz w:val="24"/>
          <w:szCs w:val="24"/>
          <w:highlight w:val="none"/>
        </w:rPr>
        <w:t>以及本项目的工作成果</w:t>
      </w:r>
      <w:r>
        <w:rPr>
          <w:rFonts w:hint="eastAsia" w:ascii="仿宋" w:hAnsi="仿宋" w:eastAsia="仿宋" w:cs="仿宋_GB2312"/>
          <w:color w:val="auto"/>
          <w:sz w:val="24"/>
          <w:szCs w:val="24"/>
          <w:highlight w:val="none"/>
          <w:u w:color="000000"/>
        </w:rPr>
        <w:t>有关的任何物品、资料和载体，也不得私自进行复制、备份、交换、交流、转移，或者在双方合作项目的必要需求以外，对上述</w:t>
      </w:r>
      <w:r>
        <w:rPr>
          <w:rFonts w:hint="eastAsia" w:ascii="仿宋" w:hAnsi="仿宋" w:eastAsia="仿宋" w:cs="仿宋_GB2312"/>
          <w:color w:val="auto"/>
          <w:sz w:val="24"/>
          <w:szCs w:val="24"/>
          <w:highlight w:val="none"/>
          <w:u w:color="000000"/>
          <w:lang w:eastAsia="zh-Hans"/>
        </w:rPr>
        <w:t>信息</w:t>
      </w:r>
      <w:r>
        <w:rPr>
          <w:rFonts w:hint="eastAsia" w:ascii="仿宋" w:hAnsi="仿宋" w:eastAsia="仿宋" w:cs="仿宋_GB2312"/>
          <w:color w:val="auto"/>
          <w:sz w:val="24"/>
          <w:szCs w:val="24"/>
          <w:highlight w:val="none"/>
          <w:u w:color="000000"/>
        </w:rPr>
        <w:t>或载体进行任何形式的利用、加工或处理。</w:t>
      </w:r>
    </w:p>
    <w:p w14:paraId="6745F209">
      <w:pPr>
        <w:snapToGrid w:val="0"/>
        <w:spacing w:line="386" w:lineRule="exact"/>
        <w:ind w:firstLine="480" w:firstLineChars="200"/>
        <w:rPr>
          <w:rFonts w:ascii="仿宋" w:hAnsi="仿宋" w:eastAsia="仿宋" w:cs="仿宋_GB2312"/>
          <w:color w:val="auto"/>
          <w:sz w:val="24"/>
          <w:szCs w:val="24"/>
          <w:highlight w:val="none"/>
          <w:lang w:eastAsia="zh-Hans"/>
        </w:rPr>
      </w:pPr>
      <w:r>
        <w:rPr>
          <w:rFonts w:ascii="仿宋" w:hAnsi="仿宋" w:eastAsia="仿宋" w:cs="仿宋_GB2312"/>
          <w:color w:val="auto"/>
          <w:sz w:val="24"/>
          <w:szCs w:val="24"/>
          <w:highlight w:val="none"/>
          <w:lang w:eastAsia="zh-Hans"/>
        </w:rPr>
        <w:t>7.</w:t>
      </w:r>
      <w:r>
        <w:rPr>
          <w:rFonts w:hint="eastAsia" w:ascii="仿宋" w:hAnsi="仿宋" w:eastAsia="仿宋" w:cs="仿宋_GB2312"/>
          <w:color w:val="auto"/>
          <w:sz w:val="24"/>
          <w:szCs w:val="24"/>
          <w:highlight w:val="none"/>
          <w:lang w:eastAsia="zh-Hans"/>
        </w:rPr>
        <w:t>我方保证，在与甲方合作期间，不以任何形式试探、分析或以其他方式获取与合作内容无关的甲方的任何敏感信息。</w:t>
      </w:r>
    </w:p>
    <w:p w14:paraId="0DA10847">
      <w:pPr>
        <w:snapToGrid w:val="0"/>
        <w:spacing w:line="386" w:lineRule="exact"/>
        <w:ind w:firstLine="480" w:firstLineChars="200"/>
        <w:rPr>
          <w:rFonts w:ascii="仿宋" w:hAnsi="仿宋" w:eastAsia="仿宋" w:cs="仿宋_GB2312"/>
          <w:color w:val="auto"/>
          <w:sz w:val="24"/>
          <w:szCs w:val="24"/>
          <w:highlight w:val="none"/>
          <w:u w:color="000000"/>
        </w:rPr>
      </w:pPr>
      <w:r>
        <w:rPr>
          <w:rFonts w:ascii="仿宋" w:hAnsi="仿宋" w:eastAsia="仿宋" w:cs="仿宋_GB2312"/>
          <w:color w:val="auto"/>
          <w:sz w:val="24"/>
          <w:szCs w:val="24"/>
          <w:highlight w:val="none"/>
          <w:u w:color="000000"/>
        </w:rPr>
        <w:t>8.</w:t>
      </w:r>
      <w:r>
        <w:rPr>
          <w:rFonts w:hint="eastAsia" w:ascii="仿宋" w:hAnsi="仿宋" w:eastAsia="仿宋" w:cs="仿宋_GB2312"/>
          <w:color w:val="auto"/>
          <w:sz w:val="24"/>
          <w:szCs w:val="24"/>
          <w:highlight w:val="none"/>
          <w:u w:color="000000"/>
          <w:lang w:eastAsia="zh-Hans"/>
        </w:rPr>
        <w:t>我方保证，</w:t>
      </w:r>
      <w:r>
        <w:rPr>
          <w:rFonts w:hint="eastAsia" w:ascii="仿宋" w:hAnsi="仿宋" w:eastAsia="仿宋" w:cs="仿宋_GB2312"/>
          <w:color w:val="auto"/>
          <w:sz w:val="24"/>
          <w:szCs w:val="24"/>
          <w:highlight w:val="none"/>
          <w:u w:color="000000"/>
        </w:rPr>
        <w:t>在与甲方合作期间，不擅自使用任何属于他人的技术信息秘密或其他商业秘密信息，亦不得擅自实施可能侵犯他人知识产权的行为。若</w:t>
      </w:r>
      <w:r>
        <w:rPr>
          <w:rFonts w:hint="eastAsia" w:ascii="仿宋" w:hAnsi="仿宋" w:eastAsia="仿宋" w:cs="仿宋_GB2312"/>
          <w:color w:val="auto"/>
          <w:sz w:val="24"/>
          <w:szCs w:val="24"/>
          <w:highlight w:val="none"/>
          <w:u w:color="000000"/>
          <w:lang w:eastAsia="zh-Hans"/>
        </w:rPr>
        <w:t>我方</w:t>
      </w:r>
      <w:r>
        <w:rPr>
          <w:rFonts w:hint="eastAsia" w:ascii="仿宋" w:hAnsi="仿宋" w:eastAsia="仿宋" w:cs="仿宋_GB2312"/>
          <w:color w:val="auto"/>
          <w:sz w:val="24"/>
          <w:szCs w:val="24"/>
          <w:highlight w:val="none"/>
          <w:u w:color="000000"/>
        </w:rPr>
        <w:t>违反上述规定而导致甲方遭受第三方的索赔或指控时，</w:t>
      </w:r>
      <w:r>
        <w:rPr>
          <w:rFonts w:hint="eastAsia" w:ascii="仿宋" w:hAnsi="仿宋" w:eastAsia="仿宋" w:cs="仿宋_GB2312"/>
          <w:color w:val="auto"/>
          <w:sz w:val="24"/>
          <w:szCs w:val="24"/>
          <w:highlight w:val="none"/>
          <w:u w:color="000000"/>
          <w:lang w:eastAsia="zh-Hans"/>
        </w:rPr>
        <w:t>由我方</w:t>
      </w:r>
      <w:r>
        <w:rPr>
          <w:rFonts w:hint="eastAsia" w:ascii="仿宋" w:hAnsi="仿宋" w:eastAsia="仿宋" w:cs="仿宋_GB2312"/>
          <w:color w:val="auto"/>
          <w:sz w:val="24"/>
          <w:szCs w:val="24"/>
          <w:highlight w:val="none"/>
          <w:u w:color="000000"/>
        </w:rPr>
        <w:t>承担甲方为此而支付的一切费用和责任。</w:t>
      </w:r>
    </w:p>
    <w:p w14:paraId="30102A5B">
      <w:pPr>
        <w:snapToGrid w:val="0"/>
        <w:spacing w:line="386" w:lineRule="exact"/>
        <w:ind w:firstLine="480" w:firstLineChars="200"/>
        <w:rPr>
          <w:rFonts w:ascii="仿宋" w:hAnsi="仿宋" w:eastAsia="仿宋" w:cs="Times New Roman"/>
          <w:color w:val="auto"/>
          <w:szCs w:val="24"/>
          <w:highlight w:val="none"/>
          <w:lang w:eastAsia="zh-Hans"/>
        </w:rPr>
      </w:pPr>
      <w:r>
        <w:rPr>
          <w:rFonts w:ascii="仿宋" w:hAnsi="仿宋" w:eastAsia="仿宋" w:cs="仿宋_GB2312"/>
          <w:color w:val="auto"/>
          <w:sz w:val="24"/>
          <w:szCs w:val="24"/>
          <w:highlight w:val="none"/>
          <w:u w:color="000000"/>
        </w:rPr>
        <w:t>9.</w:t>
      </w:r>
      <w:r>
        <w:rPr>
          <w:rFonts w:hint="eastAsia" w:ascii="仿宋" w:hAnsi="仿宋" w:eastAsia="仿宋" w:cs="仿宋_GB2312"/>
          <w:color w:val="auto"/>
          <w:sz w:val="24"/>
          <w:szCs w:val="24"/>
          <w:highlight w:val="none"/>
          <w:u w:color="000000"/>
          <w:lang w:eastAsia="zh-Hans"/>
        </w:rPr>
        <w:t>我方保证，</w:t>
      </w:r>
      <w:r>
        <w:rPr>
          <w:rFonts w:hint="eastAsia" w:ascii="仿宋" w:hAnsi="仿宋" w:eastAsia="仿宋" w:cs="仿宋_GB2312"/>
          <w:color w:val="auto"/>
          <w:sz w:val="24"/>
          <w:szCs w:val="24"/>
          <w:highlight w:val="none"/>
          <w:u w:color="000000"/>
        </w:rPr>
        <w:t>未经甲方事先书面同意，</w:t>
      </w:r>
      <w:r>
        <w:rPr>
          <w:rFonts w:hint="eastAsia" w:ascii="仿宋" w:hAnsi="仿宋" w:eastAsia="仿宋" w:cs="仿宋_GB2312"/>
          <w:color w:val="auto"/>
          <w:sz w:val="24"/>
          <w:szCs w:val="24"/>
          <w:highlight w:val="none"/>
          <w:u w:color="000000"/>
          <w:lang w:eastAsia="zh-Hans"/>
        </w:rPr>
        <w:t>我方</w:t>
      </w:r>
      <w:r>
        <w:rPr>
          <w:rFonts w:hint="eastAsia" w:ascii="仿宋" w:hAnsi="仿宋" w:eastAsia="仿宋" w:cs="仿宋_GB2312"/>
          <w:color w:val="auto"/>
          <w:sz w:val="24"/>
          <w:szCs w:val="24"/>
          <w:highlight w:val="none"/>
          <w:u w:color="000000"/>
        </w:rPr>
        <w:t>不得将从甲方处获得的任何信息运用于其他产品上</w:t>
      </w:r>
      <w:r>
        <w:rPr>
          <w:rFonts w:hint="eastAsia" w:ascii="仿宋" w:hAnsi="仿宋" w:eastAsia="仿宋" w:cs="仿宋_GB2312"/>
          <w:color w:val="auto"/>
          <w:sz w:val="24"/>
          <w:szCs w:val="24"/>
          <w:highlight w:val="none"/>
          <w:u w:color="000000"/>
          <w:lang w:eastAsia="zh-Hans"/>
        </w:rPr>
        <w:t>。</w:t>
      </w:r>
    </w:p>
    <w:p w14:paraId="7746F1D2">
      <w:pPr>
        <w:snapToGrid w:val="0"/>
        <w:spacing w:line="386" w:lineRule="exact"/>
        <w:ind w:firstLine="480" w:firstLineChars="200"/>
        <w:rPr>
          <w:rFonts w:ascii="仿宋" w:hAnsi="仿宋" w:eastAsia="仿宋" w:cs="Times New Roman"/>
          <w:color w:val="auto"/>
          <w:szCs w:val="24"/>
          <w:highlight w:val="none"/>
          <w:lang w:eastAsia="zh-Hans"/>
        </w:rPr>
      </w:pPr>
      <w:r>
        <w:rPr>
          <w:rFonts w:ascii="仿宋" w:hAnsi="仿宋" w:eastAsia="仿宋" w:cs="仿宋_GB2312"/>
          <w:color w:val="auto"/>
          <w:sz w:val="24"/>
          <w:szCs w:val="24"/>
          <w:highlight w:val="none"/>
          <w:u w:color="000000"/>
          <w:lang w:eastAsia="zh-Hans"/>
        </w:rPr>
        <w:t>10</w:t>
      </w:r>
      <w:r>
        <w:rPr>
          <w:rFonts w:hint="eastAsia" w:ascii="仿宋" w:hAnsi="仿宋" w:eastAsia="仿宋" w:cs="仿宋_GB2312"/>
          <w:color w:val="auto"/>
          <w:sz w:val="24"/>
          <w:szCs w:val="24"/>
          <w:highlight w:val="none"/>
          <w:u w:color="000000"/>
          <w:lang w:eastAsia="zh-Hans"/>
        </w:rPr>
        <w:t>.我方保证，</w:t>
      </w:r>
      <w:r>
        <w:rPr>
          <w:rFonts w:hint="eastAsia" w:ascii="仿宋" w:hAnsi="仿宋" w:eastAsia="仿宋" w:cs="仿宋_GB2312"/>
          <w:color w:val="auto"/>
          <w:sz w:val="24"/>
          <w:szCs w:val="24"/>
          <w:highlight w:val="none"/>
          <w:u w:color="000000"/>
        </w:rPr>
        <w:t>甲方提供给</w:t>
      </w:r>
      <w:r>
        <w:rPr>
          <w:rFonts w:hint="eastAsia" w:ascii="仿宋" w:hAnsi="仿宋" w:eastAsia="仿宋" w:cs="仿宋_GB2312"/>
          <w:color w:val="auto"/>
          <w:sz w:val="24"/>
          <w:szCs w:val="24"/>
          <w:highlight w:val="none"/>
          <w:u w:color="000000"/>
          <w:lang w:eastAsia="zh-Hans"/>
        </w:rPr>
        <w:t>我</w:t>
      </w:r>
      <w:r>
        <w:rPr>
          <w:rFonts w:hint="eastAsia" w:ascii="仿宋" w:hAnsi="仿宋" w:eastAsia="仿宋" w:cs="仿宋_GB2312"/>
          <w:color w:val="auto"/>
          <w:sz w:val="24"/>
          <w:szCs w:val="24"/>
          <w:highlight w:val="none"/>
          <w:u w:color="000000"/>
        </w:rPr>
        <w:t>方的任何设备、部件、软件或其他物品，</w:t>
      </w:r>
      <w:r>
        <w:rPr>
          <w:rFonts w:hint="eastAsia" w:ascii="仿宋" w:hAnsi="仿宋" w:eastAsia="仿宋" w:cs="仿宋_GB2312"/>
          <w:color w:val="auto"/>
          <w:sz w:val="24"/>
          <w:szCs w:val="24"/>
          <w:highlight w:val="none"/>
          <w:u w:color="000000"/>
          <w:lang w:eastAsia="zh-Hans"/>
        </w:rPr>
        <w:t>我方</w:t>
      </w:r>
      <w:r>
        <w:rPr>
          <w:rFonts w:hint="eastAsia" w:ascii="仿宋" w:hAnsi="仿宋" w:eastAsia="仿宋" w:cs="仿宋_GB2312"/>
          <w:color w:val="auto"/>
          <w:sz w:val="24"/>
          <w:szCs w:val="24"/>
          <w:highlight w:val="none"/>
          <w:u w:color="000000"/>
        </w:rPr>
        <w:t>均不得进行反向拆卸、解编或以其他方式分析其物理结构或组合、结合方式等。</w:t>
      </w:r>
    </w:p>
    <w:p w14:paraId="01B2527C">
      <w:pPr>
        <w:shd w:val="clear" w:color="auto" w:fill="FFFFFF"/>
        <w:spacing w:line="386"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11</w:t>
      </w:r>
      <w:r>
        <w:rPr>
          <w:rFonts w:hint="eastAsia" w:ascii="仿宋" w:hAnsi="仿宋" w:eastAsia="仿宋" w:cs="仿宋_GB2312"/>
          <w:color w:val="auto"/>
          <w:sz w:val="24"/>
          <w:szCs w:val="24"/>
          <w:highlight w:val="none"/>
        </w:rPr>
        <w:t>.我方保证，如为本合同目的确实需要向第三方披露对方的敏感信息，需事先得到甲方的书面许可，并与该第三方签订保密合同。</w:t>
      </w:r>
    </w:p>
    <w:p w14:paraId="39A72144">
      <w:pPr>
        <w:shd w:val="clear" w:color="auto" w:fill="FFFFFF"/>
        <w:spacing w:line="386" w:lineRule="exact"/>
        <w:ind w:firstLine="480" w:firstLineChars="200"/>
        <w:rPr>
          <w:rFonts w:ascii="仿宋" w:hAnsi="仿宋" w:eastAsia="仿宋" w:cs="Times New Roman"/>
          <w:color w:val="auto"/>
          <w:szCs w:val="24"/>
          <w:highlight w:val="none"/>
        </w:rPr>
      </w:pPr>
      <w:r>
        <w:rPr>
          <w:rFonts w:ascii="仿宋" w:hAnsi="仿宋" w:eastAsia="仿宋" w:cs="仿宋_GB2312"/>
          <w:color w:val="auto"/>
          <w:sz w:val="24"/>
          <w:szCs w:val="24"/>
          <w:highlight w:val="none"/>
        </w:rPr>
        <w:t>12</w:t>
      </w:r>
      <w:r>
        <w:rPr>
          <w:rFonts w:hint="eastAsia" w:ascii="仿宋" w:hAnsi="仿宋" w:eastAsia="仿宋" w:cs="仿宋_GB2312"/>
          <w:color w:val="auto"/>
          <w:sz w:val="24"/>
          <w:szCs w:val="24"/>
          <w:highlight w:val="none"/>
        </w:rPr>
        <w:t>.我方保证，只能将甲方的相关敏感信息提供给与本合同工作直接相关的员工，提供范围及程度仅限于可使该员工完成本项工作，并应约束其员工遵守保密义务。因为</w:t>
      </w:r>
      <w:r>
        <w:rPr>
          <w:rFonts w:hint="eastAsia" w:ascii="仿宋" w:hAnsi="仿宋" w:eastAsia="仿宋" w:cs="仿宋_GB2312"/>
          <w:color w:val="auto"/>
          <w:sz w:val="24"/>
          <w:szCs w:val="24"/>
          <w:highlight w:val="none"/>
          <w:lang w:eastAsia="zh-Hans"/>
        </w:rPr>
        <w:t>我方员工</w:t>
      </w:r>
      <w:r>
        <w:rPr>
          <w:rFonts w:hint="eastAsia" w:ascii="仿宋" w:hAnsi="仿宋" w:eastAsia="仿宋" w:cs="仿宋_GB2312"/>
          <w:color w:val="auto"/>
          <w:sz w:val="24"/>
          <w:szCs w:val="24"/>
          <w:highlight w:val="none"/>
        </w:rPr>
        <w:t>或关联机构的原因导致甲方的商业秘密或其他秘密被泄漏或不正当使用的，视为</w:t>
      </w:r>
      <w:r>
        <w:rPr>
          <w:rFonts w:hint="eastAsia" w:ascii="仿宋" w:hAnsi="仿宋" w:eastAsia="仿宋" w:cs="仿宋_GB2312"/>
          <w:color w:val="auto"/>
          <w:sz w:val="24"/>
          <w:szCs w:val="24"/>
          <w:highlight w:val="none"/>
          <w:lang w:eastAsia="zh-Hans"/>
        </w:rPr>
        <w:t>我方</w:t>
      </w:r>
      <w:r>
        <w:rPr>
          <w:rFonts w:hint="eastAsia" w:ascii="仿宋" w:hAnsi="仿宋" w:eastAsia="仿宋" w:cs="仿宋_GB2312"/>
          <w:color w:val="auto"/>
          <w:sz w:val="24"/>
          <w:szCs w:val="24"/>
          <w:highlight w:val="none"/>
        </w:rPr>
        <w:t>违反</w:t>
      </w:r>
      <w:r>
        <w:rPr>
          <w:rFonts w:hint="eastAsia" w:ascii="仿宋" w:hAnsi="仿宋" w:eastAsia="仿宋" w:cs="仿宋_GB2312"/>
          <w:color w:val="auto"/>
          <w:sz w:val="24"/>
          <w:szCs w:val="24"/>
          <w:highlight w:val="none"/>
          <w:lang w:eastAsia="zh-Hans"/>
        </w:rPr>
        <w:t>本承诺书</w:t>
      </w:r>
      <w:r>
        <w:rPr>
          <w:rFonts w:hint="eastAsia" w:ascii="仿宋" w:hAnsi="仿宋" w:eastAsia="仿宋" w:cs="仿宋_GB2312"/>
          <w:color w:val="auto"/>
          <w:sz w:val="24"/>
          <w:szCs w:val="24"/>
          <w:highlight w:val="none"/>
        </w:rPr>
        <w:t>。</w:t>
      </w:r>
    </w:p>
    <w:p w14:paraId="06B9783B">
      <w:pPr>
        <w:shd w:val="clear" w:color="auto" w:fill="FFFFFF"/>
        <w:spacing w:line="386" w:lineRule="exact"/>
        <w:ind w:firstLine="480" w:firstLineChars="200"/>
        <w:rPr>
          <w:rFonts w:ascii="仿宋" w:hAnsi="仿宋" w:eastAsia="仿宋" w:cs="Times New Roman"/>
          <w:color w:val="auto"/>
          <w:szCs w:val="24"/>
          <w:highlight w:val="none"/>
        </w:rPr>
      </w:pPr>
      <w:r>
        <w:rPr>
          <w:rFonts w:hint="eastAsia" w:ascii="仿宋" w:hAnsi="仿宋" w:eastAsia="仿宋" w:cs="仿宋_GB2312"/>
          <w:color w:val="auto"/>
          <w:sz w:val="24"/>
          <w:szCs w:val="24"/>
          <w:highlight w:val="none"/>
          <w:lang w:eastAsia="zh-Hans"/>
        </w:rPr>
        <w:t>1</w:t>
      </w:r>
      <w:r>
        <w:rPr>
          <w:rFonts w:ascii="仿宋" w:hAnsi="仿宋" w:eastAsia="仿宋" w:cs="仿宋_GB2312"/>
          <w:color w:val="auto"/>
          <w:sz w:val="24"/>
          <w:szCs w:val="24"/>
          <w:highlight w:val="none"/>
          <w:lang w:eastAsia="zh-Hans"/>
        </w:rPr>
        <w:t>3</w:t>
      </w:r>
      <w:r>
        <w:rPr>
          <w:rFonts w:hint="eastAsia" w:ascii="仿宋" w:hAnsi="仿宋" w:eastAsia="仿宋" w:cs="仿宋_GB2312"/>
          <w:color w:val="auto"/>
          <w:sz w:val="24"/>
          <w:szCs w:val="24"/>
          <w:highlight w:val="none"/>
          <w:lang w:eastAsia="zh-Hans"/>
        </w:rPr>
        <w:t>.我方保证，</w:t>
      </w:r>
      <w:r>
        <w:rPr>
          <w:rFonts w:hint="eastAsia" w:ascii="仿宋" w:hAnsi="仿宋" w:eastAsia="仿宋" w:cs="仿宋_GB2312"/>
          <w:color w:val="auto"/>
          <w:sz w:val="24"/>
          <w:szCs w:val="24"/>
          <w:highlight w:val="none"/>
        </w:rPr>
        <w:t>因合作需要所持有或保管的一切记录着甲方</w:t>
      </w:r>
      <w:r>
        <w:rPr>
          <w:rFonts w:hint="eastAsia" w:ascii="仿宋" w:hAnsi="仿宋" w:eastAsia="仿宋" w:cs="仿宋_GB2312"/>
          <w:color w:val="auto"/>
          <w:sz w:val="24"/>
          <w:szCs w:val="24"/>
          <w:highlight w:val="none"/>
          <w:lang w:eastAsia="zh-Hans"/>
        </w:rPr>
        <w:t>敏感信息</w:t>
      </w:r>
      <w:r>
        <w:rPr>
          <w:rFonts w:hint="eastAsia" w:ascii="仿宋" w:hAnsi="仿宋" w:eastAsia="仿宋" w:cs="仿宋_GB2312"/>
          <w:color w:val="auto"/>
          <w:sz w:val="24"/>
          <w:szCs w:val="24"/>
          <w:highlight w:val="none"/>
        </w:rPr>
        <w:t>的文件、资料、图表、笔记、报告、信件、传真、光盘、U盘、磁带、磁盘、仪器以及其他任何形式的载体均归甲方所有。若记录着甲方</w:t>
      </w:r>
      <w:r>
        <w:rPr>
          <w:rFonts w:hint="eastAsia" w:ascii="仿宋" w:hAnsi="仿宋" w:eastAsia="仿宋" w:cs="仿宋_GB2312"/>
          <w:color w:val="auto"/>
          <w:sz w:val="24"/>
          <w:szCs w:val="24"/>
          <w:highlight w:val="none"/>
          <w:lang w:eastAsia="zh-Hans"/>
        </w:rPr>
        <w:t>敏感信息</w:t>
      </w:r>
      <w:r>
        <w:rPr>
          <w:rFonts w:hint="eastAsia" w:ascii="仿宋" w:hAnsi="仿宋" w:eastAsia="仿宋" w:cs="仿宋_GB2312"/>
          <w:color w:val="auto"/>
          <w:sz w:val="24"/>
          <w:szCs w:val="24"/>
          <w:highlight w:val="none"/>
        </w:rPr>
        <w:t>的载体是由</w:t>
      </w:r>
      <w:r>
        <w:rPr>
          <w:rFonts w:hint="eastAsia" w:ascii="仿宋" w:hAnsi="仿宋" w:eastAsia="仿宋" w:cs="仿宋_GB2312"/>
          <w:color w:val="auto"/>
          <w:sz w:val="24"/>
          <w:szCs w:val="24"/>
          <w:highlight w:val="none"/>
          <w:lang w:eastAsia="zh-Hans"/>
        </w:rPr>
        <w:t>我方</w:t>
      </w:r>
      <w:r>
        <w:rPr>
          <w:rFonts w:hint="eastAsia" w:ascii="仿宋" w:hAnsi="仿宋" w:eastAsia="仿宋" w:cs="仿宋_GB2312"/>
          <w:color w:val="auto"/>
          <w:sz w:val="24"/>
          <w:szCs w:val="24"/>
          <w:highlight w:val="none"/>
        </w:rPr>
        <w:t>自备的，且</w:t>
      </w:r>
      <w:r>
        <w:rPr>
          <w:rFonts w:hint="eastAsia" w:ascii="仿宋" w:hAnsi="仿宋" w:eastAsia="仿宋" w:cs="仿宋_GB2312"/>
          <w:color w:val="auto"/>
          <w:sz w:val="24"/>
          <w:szCs w:val="24"/>
          <w:highlight w:val="none"/>
          <w:lang w:eastAsia="zh-Hans"/>
        </w:rPr>
        <w:t>敏感</w:t>
      </w:r>
      <w:r>
        <w:rPr>
          <w:rFonts w:hint="eastAsia" w:ascii="仿宋" w:hAnsi="仿宋" w:eastAsia="仿宋" w:cs="仿宋_GB2312"/>
          <w:color w:val="auto"/>
          <w:sz w:val="24"/>
          <w:szCs w:val="24"/>
          <w:highlight w:val="none"/>
        </w:rPr>
        <w:t>信息可以从载体上消除或复制出来时，甲方有权将秘密信息复制到甲方享有所有权的其他载体上，并把原载体上的秘密信息消除；若记录着甲方</w:t>
      </w:r>
      <w:r>
        <w:rPr>
          <w:rFonts w:hint="eastAsia" w:ascii="仿宋" w:hAnsi="仿宋" w:eastAsia="仿宋" w:cs="仿宋_GB2312"/>
          <w:color w:val="auto"/>
          <w:sz w:val="24"/>
          <w:szCs w:val="24"/>
          <w:highlight w:val="none"/>
          <w:lang w:eastAsia="zh-Hans"/>
        </w:rPr>
        <w:t>敏感信息</w:t>
      </w:r>
      <w:r>
        <w:rPr>
          <w:rFonts w:hint="eastAsia" w:ascii="仿宋" w:hAnsi="仿宋" w:eastAsia="仿宋" w:cs="仿宋_GB2312"/>
          <w:color w:val="auto"/>
          <w:sz w:val="24"/>
          <w:szCs w:val="24"/>
          <w:highlight w:val="none"/>
        </w:rPr>
        <w:t>的载体是由</w:t>
      </w:r>
      <w:r>
        <w:rPr>
          <w:rFonts w:hint="eastAsia" w:ascii="仿宋" w:hAnsi="仿宋" w:eastAsia="仿宋" w:cs="仿宋_GB2312"/>
          <w:color w:val="auto"/>
          <w:sz w:val="24"/>
          <w:szCs w:val="24"/>
          <w:highlight w:val="none"/>
          <w:lang w:eastAsia="zh-Hans"/>
        </w:rPr>
        <w:t>我方</w:t>
      </w:r>
      <w:r>
        <w:rPr>
          <w:rFonts w:hint="eastAsia" w:ascii="仿宋" w:hAnsi="仿宋" w:eastAsia="仿宋" w:cs="仿宋_GB2312"/>
          <w:color w:val="auto"/>
          <w:sz w:val="24"/>
          <w:szCs w:val="24"/>
          <w:highlight w:val="none"/>
        </w:rPr>
        <w:t>自备的，且</w:t>
      </w:r>
      <w:r>
        <w:rPr>
          <w:rFonts w:hint="eastAsia" w:ascii="仿宋" w:hAnsi="仿宋" w:eastAsia="仿宋" w:cs="仿宋_GB2312"/>
          <w:color w:val="auto"/>
          <w:sz w:val="24"/>
          <w:szCs w:val="24"/>
          <w:highlight w:val="none"/>
          <w:lang w:eastAsia="zh-Hans"/>
        </w:rPr>
        <w:t>敏感</w:t>
      </w:r>
      <w:r>
        <w:rPr>
          <w:rFonts w:hint="eastAsia" w:ascii="仿宋" w:hAnsi="仿宋" w:eastAsia="仿宋" w:cs="仿宋_GB2312"/>
          <w:color w:val="auto"/>
          <w:sz w:val="24"/>
          <w:szCs w:val="24"/>
          <w:highlight w:val="none"/>
        </w:rPr>
        <w:t>信息不可以从载体上消除或复制出来时，视为</w:t>
      </w:r>
      <w:r>
        <w:rPr>
          <w:rFonts w:hint="eastAsia" w:ascii="仿宋" w:hAnsi="仿宋" w:eastAsia="仿宋" w:cs="仿宋_GB2312"/>
          <w:color w:val="auto"/>
          <w:sz w:val="24"/>
          <w:szCs w:val="24"/>
          <w:highlight w:val="none"/>
          <w:lang w:eastAsia="zh-Hans"/>
        </w:rPr>
        <w:t>我方</w:t>
      </w:r>
      <w:r>
        <w:rPr>
          <w:rFonts w:hint="eastAsia" w:ascii="仿宋" w:hAnsi="仿宋" w:eastAsia="仿宋" w:cs="仿宋_GB2312"/>
          <w:color w:val="auto"/>
          <w:sz w:val="24"/>
          <w:szCs w:val="24"/>
          <w:highlight w:val="none"/>
        </w:rPr>
        <w:t>已同意将该等载体的所有权转移给甲方，</w:t>
      </w:r>
      <w:r>
        <w:rPr>
          <w:rFonts w:hint="eastAsia" w:ascii="仿宋" w:hAnsi="仿宋" w:eastAsia="仿宋" w:cs="仿宋_GB2312"/>
          <w:color w:val="auto"/>
          <w:sz w:val="24"/>
          <w:szCs w:val="24"/>
          <w:highlight w:val="none"/>
          <w:lang w:eastAsia="zh-Hans"/>
        </w:rPr>
        <w:t>我方</w:t>
      </w:r>
      <w:r>
        <w:rPr>
          <w:rFonts w:hint="eastAsia" w:ascii="仿宋" w:hAnsi="仿宋" w:eastAsia="仿宋" w:cs="仿宋_GB2312"/>
          <w:color w:val="auto"/>
          <w:sz w:val="24"/>
          <w:szCs w:val="24"/>
          <w:highlight w:val="none"/>
        </w:rPr>
        <w:t>应当于合作结束时或者于甲方提出请求时将该载体交付甲方。</w:t>
      </w:r>
    </w:p>
    <w:p w14:paraId="7ACD19D7">
      <w:pPr>
        <w:shd w:val="clear" w:color="auto" w:fill="FFFFFF"/>
        <w:snapToGrid w:val="0"/>
        <w:spacing w:line="386"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14</w:t>
      </w:r>
      <w:r>
        <w:rPr>
          <w:rFonts w:hint="eastAsia" w:ascii="仿宋" w:hAnsi="仿宋" w:eastAsia="仿宋" w:cs="仿宋_GB2312"/>
          <w:color w:val="auto"/>
          <w:sz w:val="24"/>
          <w:szCs w:val="24"/>
          <w:highlight w:val="none"/>
        </w:rPr>
        <w:t>.我方保证，在双方合作关系结束后，我方有义务按照甲方的要求将敏感信息及其载体返还给甲方或者按照甲方的要求予以销毁，不得再以任何形式使用敏感信息。</w:t>
      </w:r>
    </w:p>
    <w:p w14:paraId="2255CE6C">
      <w:pPr>
        <w:numPr>
          <w:ilvl w:val="255"/>
          <w:numId w:val="0"/>
        </w:numPr>
        <w:snapToGrid w:val="0"/>
        <w:spacing w:line="386"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15.</w:t>
      </w:r>
      <w:r>
        <w:rPr>
          <w:rFonts w:hint="eastAsia" w:ascii="仿宋" w:hAnsi="仿宋" w:eastAsia="仿宋" w:cs="仿宋_GB2312"/>
          <w:color w:val="auto"/>
          <w:sz w:val="24"/>
          <w:szCs w:val="24"/>
          <w:highlight w:val="none"/>
        </w:rPr>
        <w:t>我方保证，一旦我方发现任何人错误地获得或使用了甲方披露的保密信息，我方将立即书面通知甲方。</w:t>
      </w:r>
    </w:p>
    <w:p w14:paraId="5F9C9786">
      <w:pPr>
        <w:snapToGrid w:val="0"/>
        <w:spacing w:line="386"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16.</w:t>
      </w:r>
      <w:r>
        <w:rPr>
          <w:rFonts w:hint="eastAsia" w:ascii="仿宋" w:hAnsi="仿宋" w:eastAsia="仿宋" w:cs="仿宋_GB2312"/>
          <w:color w:val="auto"/>
          <w:sz w:val="24"/>
          <w:szCs w:val="24"/>
          <w:highlight w:val="none"/>
          <w:lang w:eastAsia="zh-Hans"/>
        </w:rPr>
        <w:t>我方保证，</w:t>
      </w:r>
      <w:r>
        <w:rPr>
          <w:rFonts w:hint="eastAsia" w:ascii="仿宋" w:hAnsi="仿宋" w:eastAsia="仿宋" w:cs="仿宋_GB2312"/>
          <w:color w:val="auto"/>
          <w:sz w:val="24"/>
          <w:szCs w:val="24"/>
          <w:highlight w:val="none"/>
        </w:rPr>
        <w:t>根据本函应当履行的对</w:t>
      </w:r>
      <w:r>
        <w:rPr>
          <w:rFonts w:hint="eastAsia" w:ascii="仿宋" w:hAnsi="仿宋" w:eastAsia="仿宋" w:cs="仿宋_GB2312"/>
          <w:color w:val="auto"/>
          <w:sz w:val="24"/>
          <w:szCs w:val="24"/>
          <w:highlight w:val="none"/>
          <w:lang w:eastAsia="zh-Hans"/>
        </w:rPr>
        <w:t>敏感</w:t>
      </w:r>
      <w:r>
        <w:rPr>
          <w:rFonts w:hint="eastAsia" w:ascii="仿宋" w:hAnsi="仿宋" w:eastAsia="仿宋" w:cs="仿宋_GB2312"/>
          <w:color w:val="auto"/>
          <w:sz w:val="24"/>
          <w:szCs w:val="24"/>
          <w:highlight w:val="none"/>
        </w:rPr>
        <w:t>信息的保密义务以及限制</w:t>
      </w:r>
      <w:r>
        <w:rPr>
          <w:rFonts w:hint="eastAsia" w:ascii="仿宋" w:hAnsi="仿宋" w:eastAsia="仿宋" w:cs="仿宋_GB2312"/>
          <w:color w:val="auto"/>
          <w:sz w:val="24"/>
          <w:szCs w:val="24"/>
          <w:highlight w:val="none"/>
          <w:lang w:eastAsia="zh-Hans"/>
        </w:rPr>
        <w:t>我方</w:t>
      </w:r>
      <w:r>
        <w:rPr>
          <w:rFonts w:hint="eastAsia" w:ascii="仿宋" w:hAnsi="仿宋" w:eastAsia="仿宋" w:cs="仿宋_GB2312"/>
          <w:color w:val="auto"/>
          <w:sz w:val="24"/>
          <w:szCs w:val="24"/>
          <w:highlight w:val="none"/>
        </w:rPr>
        <w:t>使用该</w:t>
      </w:r>
      <w:r>
        <w:rPr>
          <w:rFonts w:hint="eastAsia" w:ascii="仿宋" w:hAnsi="仿宋" w:eastAsia="仿宋" w:cs="仿宋_GB2312"/>
          <w:color w:val="auto"/>
          <w:sz w:val="24"/>
          <w:szCs w:val="24"/>
          <w:highlight w:val="none"/>
          <w:lang w:eastAsia="zh-Hans"/>
        </w:rPr>
        <w:t>敏感</w:t>
      </w:r>
      <w:r>
        <w:rPr>
          <w:rFonts w:hint="eastAsia" w:ascii="仿宋" w:hAnsi="仿宋" w:eastAsia="仿宋" w:cs="仿宋_GB2312"/>
          <w:color w:val="auto"/>
          <w:sz w:val="24"/>
          <w:szCs w:val="24"/>
          <w:highlight w:val="none"/>
        </w:rPr>
        <w:t>信息的规定长期有效，</w:t>
      </w:r>
      <w:r>
        <w:rPr>
          <w:rFonts w:hint="eastAsia" w:ascii="仿宋" w:hAnsi="仿宋" w:eastAsia="仿宋" w:cs="仿宋_GB2312"/>
          <w:color w:val="auto"/>
          <w:sz w:val="24"/>
          <w:szCs w:val="24"/>
          <w:highlight w:val="none"/>
          <w:lang w:eastAsia="zh-Hans"/>
        </w:rPr>
        <w:t>除非</w:t>
      </w:r>
      <w:r>
        <w:rPr>
          <w:rFonts w:hint="eastAsia" w:ascii="仿宋" w:hAnsi="仿宋" w:eastAsia="仿宋" w:cs="仿宋_GB2312"/>
          <w:color w:val="auto"/>
          <w:sz w:val="24"/>
          <w:szCs w:val="24"/>
          <w:highlight w:val="none"/>
        </w:rPr>
        <w:t>相关</w:t>
      </w:r>
      <w:r>
        <w:rPr>
          <w:rFonts w:hint="eastAsia" w:ascii="仿宋" w:hAnsi="仿宋" w:eastAsia="仿宋" w:cs="仿宋_GB2312"/>
          <w:color w:val="auto"/>
          <w:sz w:val="24"/>
          <w:szCs w:val="24"/>
          <w:highlight w:val="none"/>
          <w:lang w:eastAsia="zh-Hans"/>
        </w:rPr>
        <w:t>敏感</w:t>
      </w:r>
      <w:r>
        <w:rPr>
          <w:rFonts w:hint="eastAsia" w:ascii="仿宋" w:hAnsi="仿宋" w:eastAsia="仿宋" w:cs="仿宋_GB2312"/>
          <w:color w:val="auto"/>
          <w:sz w:val="24"/>
          <w:szCs w:val="24"/>
          <w:highlight w:val="none"/>
        </w:rPr>
        <w:t>信息非因</w:t>
      </w:r>
      <w:r>
        <w:rPr>
          <w:rFonts w:hint="eastAsia" w:ascii="仿宋" w:hAnsi="仿宋" w:eastAsia="仿宋" w:cs="仿宋_GB2312"/>
          <w:color w:val="auto"/>
          <w:sz w:val="24"/>
          <w:szCs w:val="24"/>
          <w:highlight w:val="none"/>
          <w:lang w:eastAsia="zh-Hans"/>
        </w:rPr>
        <w:t>我方</w:t>
      </w:r>
      <w:r>
        <w:rPr>
          <w:rFonts w:hint="eastAsia" w:ascii="仿宋" w:hAnsi="仿宋" w:eastAsia="仿宋" w:cs="仿宋_GB2312"/>
          <w:color w:val="auto"/>
          <w:sz w:val="24"/>
          <w:szCs w:val="24"/>
          <w:highlight w:val="none"/>
        </w:rPr>
        <w:t>原因而进入公开领域</w:t>
      </w:r>
      <w:r>
        <w:rPr>
          <w:rFonts w:hint="eastAsia" w:ascii="仿宋" w:hAnsi="仿宋" w:eastAsia="仿宋" w:cs="仿宋_GB2312"/>
          <w:color w:val="auto"/>
          <w:sz w:val="24"/>
          <w:szCs w:val="24"/>
          <w:highlight w:val="none"/>
          <w:lang w:eastAsia="zh-Hans"/>
        </w:rPr>
        <w:t>或经甲方书面授权</w:t>
      </w:r>
      <w:r>
        <w:rPr>
          <w:rFonts w:hint="eastAsia" w:ascii="仿宋" w:hAnsi="仿宋" w:eastAsia="仿宋" w:cs="仿宋_GB2312"/>
          <w:color w:val="auto"/>
          <w:sz w:val="24"/>
          <w:szCs w:val="24"/>
          <w:highlight w:val="none"/>
        </w:rPr>
        <w:t>。</w:t>
      </w:r>
    </w:p>
    <w:p w14:paraId="04C5C171">
      <w:pPr>
        <w:shd w:val="clear" w:color="auto" w:fill="FFFFFF"/>
        <w:spacing w:line="386"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17</w:t>
      </w:r>
      <w:r>
        <w:rPr>
          <w:rFonts w:hint="eastAsia" w:ascii="仿宋" w:hAnsi="仿宋" w:eastAsia="仿宋" w:cs="仿宋_GB2312"/>
          <w:color w:val="auto"/>
          <w:sz w:val="24"/>
          <w:szCs w:val="24"/>
          <w:highlight w:val="none"/>
        </w:rPr>
        <w:t>.我方同意采取任何必要的、以及甲方要求的合理措施，保护甲方提供的敏感信息。</w:t>
      </w:r>
    </w:p>
    <w:p w14:paraId="30BB2508">
      <w:pPr>
        <w:snapToGrid w:val="0"/>
        <w:spacing w:line="386"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18.</w:t>
      </w:r>
      <w:r>
        <w:rPr>
          <w:rFonts w:hint="eastAsia" w:ascii="仿宋" w:hAnsi="仿宋" w:eastAsia="仿宋" w:cs="仿宋_GB2312"/>
          <w:color w:val="auto"/>
          <w:sz w:val="24"/>
          <w:szCs w:val="24"/>
          <w:highlight w:val="none"/>
        </w:rPr>
        <w:t>如果</w:t>
      </w:r>
      <w:r>
        <w:rPr>
          <w:rFonts w:hint="eastAsia" w:ascii="仿宋" w:hAnsi="仿宋" w:eastAsia="仿宋" w:cs="仿宋_GB2312"/>
          <w:color w:val="auto"/>
          <w:sz w:val="24"/>
          <w:szCs w:val="24"/>
          <w:highlight w:val="none"/>
          <w:lang w:eastAsia="zh-Hans"/>
        </w:rPr>
        <w:t>我方</w:t>
      </w:r>
      <w:r>
        <w:rPr>
          <w:rFonts w:hint="eastAsia" w:ascii="仿宋" w:hAnsi="仿宋" w:eastAsia="仿宋" w:cs="仿宋_GB2312"/>
          <w:color w:val="auto"/>
          <w:sz w:val="24"/>
          <w:szCs w:val="24"/>
          <w:highlight w:val="none"/>
        </w:rPr>
        <w:t>被要求向政府部门、法院或其他有权部门提供保密信息，</w:t>
      </w:r>
      <w:r>
        <w:rPr>
          <w:rFonts w:hint="eastAsia" w:ascii="仿宋" w:hAnsi="仿宋" w:eastAsia="仿宋" w:cs="仿宋_GB2312"/>
          <w:color w:val="auto"/>
          <w:sz w:val="24"/>
          <w:szCs w:val="24"/>
          <w:highlight w:val="none"/>
          <w:lang w:eastAsia="zh-Hans"/>
        </w:rPr>
        <w:t>我方</w:t>
      </w:r>
      <w:r>
        <w:rPr>
          <w:rFonts w:hint="eastAsia" w:ascii="仿宋" w:hAnsi="仿宋" w:eastAsia="仿宋" w:cs="仿宋_GB2312"/>
          <w:color w:val="auto"/>
          <w:sz w:val="24"/>
          <w:szCs w:val="24"/>
          <w:highlight w:val="none"/>
        </w:rPr>
        <w:t>应立即向甲方予以通报，以便甲方能以保密作为抗辩理由或采取保护措施，或及时采取其他救济手段，并且使用法律所许可的所有程序保护保密信息，由此所花费的合理费用由</w:t>
      </w:r>
      <w:r>
        <w:rPr>
          <w:rFonts w:hint="eastAsia" w:ascii="仿宋" w:hAnsi="仿宋" w:eastAsia="仿宋" w:cs="仿宋_GB2312"/>
          <w:color w:val="auto"/>
          <w:sz w:val="24"/>
          <w:szCs w:val="24"/>
          <w:highlight w:val="none"/>
          <w:lang w:eastAsia="zh-Hans"/>
        </w:rPr>
        <w:t>我</w:t>
      </w:r>
      <w:r>
        <w:rPr>
          <w:rFonts w:hint="eastAsia" w:ascii="仿宋" w:hAnsi="仿宋" w:eastAsia="仿宋" w:cs="仿宋_GB2312"/>
          <w:color w:val="auto"/>
          <w:sz w:val="24"/>
          <w:szCs w:val="24"/>
          <w:highlight w:val="none"/>
        </w:rPr>
        <w:t>方承担。此外，</w:t>
      </w:r>
      <w:r>
        <w:rPr>
          <w:rFonts w:hint="eastAsia" w:ascii="仿宋" w:hAnsi="仿宋" w:eastAsia="仿宋" w:cs="仿宋_GB2312"/>
          <w:color w:val="auto"/>
          <w:sz w:val="24"/>
          <w:szCs w:val="24"/>
          <w:highlight w:val="none"/>
          <w:lang w:eastAsia="zh-Hans"/>
        </w:rPr>
        <w:t>我方</w:t>
      </w:r>
      <w:r>
        <w:rPr>
          <w:rFonts w:hint="eastAsia" w:ascii="仿宋" w:hAnsi="仿宋" w:eastAsia="仿宋" w:cs="仿宋_GB2312"/>
          <w:color w:val="auto"/>
          <w:sz w:val="24"/>
          <w:szCs w:val="24"/>
          <w:highlight w:val="none"/>
        </w:rPr>
        <w:t>在向政府部门、法院或其他有权部门提供保密信息时，应当以上述权力机关要求披露的范围为限。</w:t>
      </w:r>
    </w:p>
    <w:p w14:paraId="0439A80A">
      <w:pPr>
        <w:shd w:val="clear" w:color="auto" w:fill="FFFFFF"/>
        <w:spacing w:line="386" w:lineRule="exact"/>
        <w:ind w:firstLine="480" w:firstLineChars="200"/>
        <w:rPr>
          <w:rFonts w:ascii="仿宋" w:hAnsi="仿宋" w:eastAsia="仿宋" w:cs="仿宋_GB2312"/>
          <w:color w:val="auto"/>
          <w:sz w:val="24"/>
          <w:szCs w:val="24"/>
          <w:highlight w:val="none"/>
          <w:lang w:bidi="ar"/>
        </w:rPr>
      </w:pPr>
      <w:r>
        <w:rPr>
          <w:rFonts w:ascii="仿宋" w:hAnsi="仿宋" w:eastAsia="仿宋" w:cs="仿宋_GB2312"/>
          <w:color w:val="auto"/>
          <w:sz w:val="24"/>
          <w:szCs w:val="24"/>
          <w:highlight w:val="none"/>
          <w:lang w:bidi="ar"/>
        </w:rPr>
        <w:t>19</w:t>
      </w:r>
      <w:r>
        <w:rPr>
          <w:rFonts w:hint="eastAsia" w:ascii="仿宋" w:hAnsi="仿宋" w:eastAsia="仿宋" w:cs="仿宋_GB2312"/>
          <w:color w:val="auto"/>
          <w:sz w:val="24"/>
          <w:szCs w:val="24"/>
          <w:highlight w:val="none"/>
          <w:lang w:bidi="ar"/>
        </w:rPr>
        <w:t>.</w:t>
      </w:r>
      <w:r>
        <w:rPr>
          <w:rFonts w:hint="eastAsia" w:ascii="仿宋" w:hAnsi="仿宋" w:eastAsia="仿宋" w:cs="仿宋_GB2312"/>
          <w:color w:val="auto"/>
          <w:sz w:val="24"/>
          <w:szCs w:val="24"/>
          <w:highlight w:val="none"/>
        </w:rPr>
        <w:t>我方同意</w:t>
      </w:r>
      <w:r>
        <w:rPr>
          <w:rFonts w:hint="eastAsia" w:ascii="仿宋" w:hAnsi="仿宋" w:eastAsia="仿宋" w:cs="仿宋_GB2312"/>
          <w:color w:val="auto"/>
          <w:sz w:val="24"/>
          <w:szCs w:val="24"/>
          <w:highlight w:val="none"/>
          <w:lang w:bidi="ar"/>
        </w:rPr>
        <w:t>严格遵守甲方保密规定及要求，对本单位参与人员出具保函，并要求在甲方规定的保密期内不发生失泄密事件。</w:t>
      </w:r>
    </w:p>
    <w:p w14:paraId="182586A3">
      <w:pPr>
        <w:shd w:val="clear" w:color="auto" w:fill="FFFFFF"/>
        <w:spacing w:line="386"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20</w:t>
      </w:r>
      <w:r>
        <w:rPr>
          <w:rFonts w:hint="eastAsia" w:ascii="仿宋" w:hAnsi="仿宋" w:eastAsia="仿宋" w:cs="仿宋_GB2312"/>
          <w:color w:val="auto"/>
          <w:sz w:val="24"/>
          <w:szCs w:val="24"/>
          <w:highlight w:val="none"/>
        </w:rPr>
        <w:t>.如发生任何</w:t>
      </w:r>
      <w:r>
        <w:rPr>
          <w:rFonts w:hint="eastAsia" w:ascii="仿宋" w:hAnsi="仿宋" w:eastAsia="仿宋" w:cs="仿宋_GB2312"/>
          <w:color w:val="auto"/>
          <w:sz w:val="24"/>
          <w:szCs w:val="24"/>
          <w:highlight w:val="none"/>
          <w:lang w:eastAsia="zh-Hans"/>
        </w:rPr>
        <w:t>数据、</w:t>
      </w:r>
      <w:r>
        <w:rPr>
          <w:rFonts w:hint="eastAsia" w:ascii="仿宋" w:hAnsi="仿宋" w:eastAsia="仿宋" w:cs="仿宋_GB2312"/>
          <w:color w:val="auto"/>
          <w:sz w:val="24"/>
          <w:szCs w:val="24"/>
          <w:highlight w:val="none"/>
        </w:rPr>
        <w:t>敏感信息泄漏事件，包括但不限于因我方原因导致的泄漏事件或者因第三方非法获取和使用而造成的泄漏事件，我方均应立即通知甲方，并采取有效措施防止泄密进一步扩大</w:t>
      </w:r>
      <w:r>
        <w:rPr>
          <w:rFonts w:hint="eastAsia" w:ascii="仿宋" w:hAnsi="仿宋" w:eastAsia="仿宋" w:cs="仿宋_GB2312"/>
          <w:color w:val="auto"/>
          <w:sz w:val="24"/>
          <w:szCs w:val="24"/>
          <w:highlight w:val="none"/>
          <w:lang w:bidi="ar"/>
        </w:rPr>
        <w:t>。</w:t>
      </w:r>
      <w:r>
        <w:rPr>
          <w:rFonts w:hint="eastAsia" w:ascii="仿宋" w:hAnsi="仿宋" w:eastAsia="仿宋" w:cs="仿宋_GB2312"/>
          <w:color w:val="auto"/>
          <w:sz w:val="24"/>
          <w:szCs w:val="24"/>
          <w:highlight w:val="none"/>
          <w:lang w:eastAsia="zh-Hans" w:bidi="ar"/>
        </w:rPr>
        <w:t>我</w:t>
      </w:r>
      <w:r>
        <w:rPr>
          <w:rFonts w:hint="eastAsia" w:ascii="仿宋" w:hAnsi="仿宋" w:eastAsia="仿宋" w:cs="仿宋_GB2312"/>
          <w:color w:val="auto"/>
          <w:sz w:val="24"/>
          <w:szCs w:val="24"/>
          <w:highlight w:val="none"/>
          <w:lang w:bidi="ar"/>
        </w:rPr>
        <w:t>方将在甲方数据</w:t>
      </w:r>
      <w:r>
        <w:rPr>
          <w:rFonts w:hint="eastAsia" w:ascii="仿宋" w:hAnsi="仿宋" w:eastAsia="仿宋" w:cs="仿宋_GB2312"/>
          <w:color w:val="auto"/>
          <w:sz w:val="24"/>
          <w:szCs w:val="24"/>
          <w:highlight w:val="none"/>
          <w:lang w:eastAsia="zh-Hans" w:bidi="ar"/>
        </w:rPr>
        <w:t>、敏感信息</w:t>
      </w:r>
      <w:r>
        <w:rPr>
          <w:rFonts w:hint="eastAsia" w:ascii="仿宋" w:hAnsi="仿宋" w:eastAsia="仿宋" w:cs="仿宋_GB2312"/>
          <w:color w:val="auto"/>
          <w:sz w:val="24"/>
          <w:szCs w:val="24"/>
          <w:highlight w:val="none"/>
          <w:lang w:bidi="ar"/>
        </w:rPr>
        <w:t>泄露通知中包含数据</w:t>
      </w:r>
      <w:r>
        <w:rPr>
          <w:rFonts w:hint="eastAsia" w:ascii="仿宋" w:hAnsi="仿宋" w:eastAsia="仿宋" w:cs="仿宋_GB2312"/>
          <w:color w:val="auto"/>
          <w:sz w:val="24"/>
          <w:szCs w:val="24"/>
          <w:highlight w:val="none"/>
          <w:lang w:eastAsia="zh-Hans" w:bidi="ar"/>
        </w:rPr>
        <w:t>或敏感</w:t>
      </w:r>
      <w:r>
        <w:rPr>
          <w:rFonts w:hint="eastAsia" w:ascii="仿宋" w:hAnsi="仿宋" w:eastAsia="仿宋" w:cs="仿宋_GB2312"/>
          <w:color w:val="auto"/>
          <w:sz w:val="24"/>
          <w:szCs w:val="24"/>
          <w:highlight w:val="none"/>
          <w:lang w:bidi="ar"/>
        </w:rPr>
        <w:t>信息泄露、丢失的详细描述，包括内容泄露或丢失的时间和地点；涉及的数据或信息类别；受影响的数据主体和记录的大致数量；为减轻数据或信息泄露、丢失的可能后果并防止再次发生而采取的措施；信息、数据泄露或丢失的潜在原因和后果；以及</w:t>
      </w:r>
      <w:r>
        <w:rPr>
          <w:rFonts w:hint="eastAsia" w:ascii="仿宋" w:hAnsi="仿宋" w:eastAsia="仿宋" w:cs="仿宋_GB2312"/>
          <w:color w:val="auto"/>
          <w:sz w:val="24"/>
          <w:szCs w:val="24"/>
          <w:highlight w:val="none"/>
          <w:lang w:eastAsia="zh-Hans" w:bidi="ar"/>
        </w:rPr>
        <w:t>我</w:t>
      </w:r>
      <w:r>
        <w:rPr>
          <w:rFonts w:hint="eastAsia" w:ascii="仿宋" w:hAnsi="仿宋" w:eastAsia="仿宋" w:cs="仿宋_GB2312"/>
          <w:color w:val="auto"/>
          <w:sz w:val="24"/>
          <w:szCs w:val="24"/>
          <w:highlight w:val="none"/>
          <w:lang w:bidi="ar"/>
        </w:rPr>
        <w:t>方数据保护人员或其他授权个人的联系方式。同时</w:t>
      </w:r>
      <w:r>
        <w:rPr>
          <w:rFonts w:hint="eastAsia" w:ascii="仿宋" w:hAnsi="仿宋" w:eastAsia="仿宋" w:cs="仿宋_GB2312"/>
          <w:color w:val="auto"/>
          <w:sz w:val="24"/>
          <w:szCs w:val="24"/>
          <w:highlight w:val="none"/>
          <w:lang w:eastAsia="zh-Hans" w:bidi="ar"/>
        </w:rPr>
        <w:t>我</w:t>
      </w:r>
      <w:r>
        <w:rPr>
          <w:rFonts w:hint="eastAsia" w:ascii="仿宋" w:hAnsi="仿宋" w:eastAsia="仿宋" w:cs="仿宋_GB2312"/>
          <w:color w:val="auto"/>
          <w:sz w:val="24"/>
          <w:szCs w:val="24"/>
          <w:highlight w:val="none"/>
          <w:lang w:bidi="ar"/>
        </w:rPr>
        <w:t>方应立即赔偿甲方因信息、数据泄露或丢失而合理产生的所有成本和费用（包括法律费用）。</w:t>
      </w:r>
    </w:p>
    <w:p w14:paraId="23241CA5">
      <w:pPr>
        <w:shd w:val="clear" w:color="auto" w:fill="FFFFFF"/>
        <w:spacing w:line="386" w:lineRule="exact"/>
        <w:ind w:firstLine="480" w:firstLineChars="200"/>
        <w:rPr>
          <w:rFonts w:ascii="仿宋" w:hAnsi="仿宋" w:eastAsia="仿宋" w:cs="Times New Roman"/>
          <w:color w:val="auto"/>
          <w:szCs w:val="24"/>
          <w:highlight w:val="none"/>
          <w:lang w:eastAsia="zh-Hans"/>
        </w:rPr>
      </w:pPr>
      <w:r>
        <w:rPr>
          <w:rFonts w:ascii="仿宋" w:hAnsi="仿宋" w:eastAsia="仿宋" w:cs="仿宋_GB2312"/>
          <w:color w:val="auto"/>
          <w:sz w:val="24"/>
          <w:szCs w:val="24"/>
          <w:highlight w:val="none"/>
        </w:rPr>
        <w:t>21.</w:t>
      </w:r>
      <w:r>
        <w:rPr>
          <w:rFonts w:hint="eastAsia" w:ascii="仿宋" w:hAnsi="仿宋" w:eastAsia="仿宋" w:cs="仿宋_GB2312"/>
          <w:color w:val="auto"/>
          <w:sz w:val="24"/>
          <w:szCs w:val="24"/>
          <w:highlight w:val="none"/>
          <w:lang w:eastAsia="zh-Hans"/>
        </w:rPr>
        <w:t>甲方有权要求我方</w:t>
      </w:r>
      <w:r>
        <w:rPr>
          <w:rFonts w:hint="eastAsia" w:ascii="仿宋" w:hAnsi="仿宋" w:eastAsia="仿宋" w:cs="仿宋_GB2312"/>
          <w:color w:val="auto"/>
          <w:sz w:val="24"/>
          <w:szCs w:val="24"/>
          <w:highlight w:val="none"/>
          <w:lang w:bidi="ar"/>
        </w:rPr>
        <w:t>赔偿</w:t>
      </w:r>
      <w:r>
        <w:rPr>
          <w:rFonts w:hint="eastAsia" w:ascii="仿宋" w:hAnsi="仿宋" w:eastAsia="仿宋" w:cs="仿宋_GB2312"/>
          <w:color w:val="auto"/>
          <w:sz w:val="24"/>
          <w:szCs w:val="24"/>
          <w:highlight w:val="none"/>
          <w:lang w:eastAsia="zh-Hans" w:bidi="ar"/>
        </w:rPr>
        <w:t>甲方</w:t>
      </w:r>
      <w:r>
        <w:rPr>
          <w:rFonts w:hint="eastAsia" w:ascii="仿宋" w:hAnsi="仿宋" w:eastAsia="仿宋" w:cs="仿宋_GB2312"/>
          <w:color w:val="auto"/>
          <w:sz w:val="24"/>
          <w:szCs w:val="24"/>
          <w:highlight w:val="none"/>
          <w:lang w:bidi="ar"/>
        </w:rPr>
        <w:t>因信息泄露导致的所有损失，包括但不限于对</w:t>
      </w:r>
      <w:r>
        <w:rPr>
          <w:rFonts w:hint="eastAsia" w:ascii="仿宋" w:hAnsi="仿宋" w:eastAsia="仿宋" w:cs="仿宋_GB2312"/>
          <w:color w:val="auto"/>
          <w:sz w:val="24"/>
          <w:szCs w:val="24"/>
          <w:highlight w:val="none"/>
          <w:lang w:eastAsia="zh-Hans" w:bidi="ar"/>
        </w:rPr>
        <w:t>甲方</w:t>
      </w:r>
      <w:r>
        <w:rPr>
          <w:rFonts w:hint="eastAsia" w:ascii="仿宋" w:hAnsi="仿宋" w:eastAsia="仿宋" w:cs="仿宋_GB2312"/>
          <w:color w:val="auto"/>
          <w:sz w:val="24"/>
          <w:szCs w:val="24"/>
          <w:highlight w:val="none"/>
          <w:lang w:bidi="ar"/>
        </w:rPr>
        <w:t>所造成的直接损失、可得利益损失、</w:t>
      </w:r>
      <w:r>
        <w:rPr>
          <w:rFonts w:hint="eastAsia" w:ascii="仿宋" w:hAnsi="仿宋" w:eastAsia="仿宋" w:cs="仿宋_GB2312"/>
          <w:color w:val="auto"/>
          <w:sz w:val="24"/>
          <w:szCs w:val="24"/>
          <w:highlight w:val="none"/>
          <w:lang w:eastAsia="zh-Hans" w:bidi="ar"/>
        </w:rPr>
        <w:t>甲方</w:t>
      </w:r>
      <w:r>
        <w:rPr>
          <w:rFonts w:hint="eastAsia" w:ascii="仿宋" w:hAnsi="仿宋" w:eastAsia="仿宋" w:cs="仿宋_GB2312"/>
          <w:color w:val="auto"/>
          <w:sz w:val="24"/>
          <w:szCs w:val="24"/>
          <w:highlight w:val="none"/>
          <w:lang w:bidi="ar"/>
        </w:rPr>
        <w:t>支付给第三方的赔偿费用/违约金/罚款、调查取证费用/公证费/鉴定费用、诉讼仲裁费用、保全费用、律师费用、维权费用以及其他合理费用</w:t>
      </w:r>
      <w:r>
        <w:rPr>
          <w:rFonts w:hint="eastAsia" w:ascii="仿宋" w:hAnsi="仿宋" w:eastAsia="仿宋" w:cs="仿宋_GB2312"/>
          <w:color w:val="auto"/>
          <w:sz w:val="24"/>
          <w:szCs w:val="24"/>
          <w:highlight w:val="none"/>
          <w:lang w:eastAsia="zh-Hans" w:bidi="ar"/>
        </w:rPr>
        <w:t>。</w:t>
      </w:r>
      <w:r>
        <w:rPr>
          <w:rFonts w:hint="eastAsia" w:ascii="仿宋" w:hAnsi="仿宋" w:eastAsia="仿宋" w:cs="仿宋_GB2312"/>
          <w:color w:val="auto"/>
          <w:sz w:val="24"/>
          <w:szCs w:val="24"/>
          <w:highlight w:val="none"/>
          <w:lang w:bidi="ar"/>
        </w:rPr>
        <w:t>除此之外，如</w:t>
      </w:r>
      <w:r>
        <w:rPr>
          <w:rFonts w:hint="eastAsia" w:ascii="仿宋" w:hAnsi="仿宋" w:eastAsia="仿宋" w:cs="仿宋_GB2312"/>
          <w:color w:val="auto"/>
          <w:sz w:val="24"/>
          <w:szCs w:val="24"/>
          <w:highlight w:val="none"/>
          <w:lang w:eastAsia="zh-Hans" w:bidi="ar"/>
        </w:rPr>
        <w:t>以</w:t>
      </w:r>
      <w:r>
        <w:rPr>
          <w:rFonts w:hint="eastAsia" w:ascii="仿宋" w:hAnsi="仿宋" w:eastAsia="仿宋" w:cs="仿宋_GB2312"/>
          <w:color w:val="auto"/>
          <w:sz w:val="24"/>
          <w:szCs w:val="24"/>
          <w:highlight w:val="none"/>
          <w:lang w:bidi="ar"/>
        </w:rPr>
        <w:t>资金补偿不足够补救由于违反本函的规定给</w:t>
      </w:r>
      <w:r>
        <w:rPr>
          <w:rFonts w:hint="eastAsia" w:ascii="仿宋" w:hAnsi="仿宋" w:eastAsia="仿宋" w:cs="仿宋_GB2312"/>
          <w:color w:val="auto"/>
          <w:sz w:val="24"/>
          <w:szCs w:val="24"/>
          <w:highlight w:val="none"/>
          <w:lang w:eastAsia="zh-Hans" w:bidi="ar"/>
        </w:rPr>
        <w:t>甲方</w:t>
      </w:r>
      <w:r>
        <w:rPr>
          <w:rFonts w:hint="eastAsia" w:ascii="仿宋" w:hAnsi="仿宋" w:eastAsia="仿宋" w:cs="仿宋_GB2312"/>
          <w:color w:val="auto"/>
          <w:sz w:val="24"/>
          <w:szCs w:val="24"/>
          <w:highlight w:val="none"/>
          <w:lang w:bidi="ar"/>
        </w:rPr>
        <w:t>造成的损害，</w:t>
      </w:r>
      <w:r>
        <w:rPr>
          <w:rFonts w:hint="eastAsia" w:ascii="仿宋" w:hAnsi="仿宋" w:eastAsia="仿宋" w:cs="仿宋_GB2312"/>
          <w:color w:val="auto"/>
          <w:sz w:val="24"/>
          <w:szCs w:val="24"/>
          <w:highlight w:val="none"/>
          <w:lang w:eastAsia="zh-Hans" w:bidi="ar"/>
        </w:rPr>
        <w:t>甲方</w:t>
      </w:r>
      <w:r>
        <w:rPr>
          <w:rFonts w:hint="eastAsia" w:ascii="仿宋" w:hAnsi="仿宋" w:eastAsia="仿宋" w:cs="仿宋_GB2312"/>
          <w:color w:val="auto"/>
          <w:sz w:val="24"/>
          <w:szCs w:val="24"/>
          <w:highlight w:val="none"/>
          <w:lang w:bidi="ar"/>
        </w:rPr>
        <w:t>将有权采取法律所允许的其它补救措施。</w:t>
      </w:r>
      <w:r>
        <w:rPr>
          <w:rFonts w:hint="eastAsia" w:ascii="仿宋" w:hAnsi="仿宋" w:eastAsia="仿宋" w:cs="仿宋_GB2312"/>
          <w:color w:val="auto"/>
          <w:sz w:val="24"/>
          <w:szCs w:val="24"/>
          <w:highlight w:val="none"/>
        </w:rPr>
        <w:t>我方同意承担一切法律责任，</w:t>
      </w:r>
      <w:r>
        <w:rPr>
          <w:rFonts w:hint="eastAsia" w:ascii="仿宋" w:hAnsi="仿宋" w:eastAsia="仿宋" w:cs="仿宋_GB2312"/>
          <w:color w:val="auto"/>
          <w:sz w:val="24"/>
          <w:szCs w:val="24"/>
          <w:highlight w:val="none"/>
          <w:lang w:eastAsia="zh-Hans"/>
        </w:rPr>
        <w:t>并</w:t>
      </w:r>
      <w:r>
        <w:rPr>
          <w:rFonts w:hint="eastAsia" w:ascii="仿宋" w:hAnsi="仿宋" w:eastAsia="仿宋" w:cs="仿宋_GB2312"/>
          <w:color w:val="auto"/>
          <w:sz w:val="24"/>
          <w:szCs w:val="24"/>
          <w:highlight w:val="none"/>
        </w:rPr>
        <w:t>按合同约定承担违约责任。</w:t>
      </w:r>
    </w:p>
    <w:p w14:paraId="16B32E98">
      <w:pPr>
        <w:spacing w:line="386" w:lineRule="exact"/>
        <w:ind w:firstLine="480" w:firstLineChars="200"/>
        <w:rPr>
          <w:rFonts w:ascii="仿宋" w:hAnsi="仿宋" w:eastAsia="仿宋" w:cs="仿宋_GB2312"/>
          <w:color w:val="auto"/>
          <w:sz w:val="24"/>
          <w:szCs w:val="24"/>
          <w:highlight w:val="none"/>
          <w:lang w:bidi="ar"/>
        </w:rPr>
      </w:pPr>
      <w:r>
        <w:rPr>
          <w:rFonts w:ascii="仿宋" w:hAnsi="仿宋" w:eastAsia="仿宋" w:cs="仿宋_GB2312"/>
          <w:color w:val="auto"/>
          <w:sz w:val="24"/>
          <w:szCs w:val="24"/>
          <w:highlight w:val="none"/>
          <w:lang w:bidi="ar"/>
        </w:rPr>
        <w:t>22.</w:t>
      </w:r>
      <w:r>
        <w:rPr>
          <w:rFonts w:hint="eastAsia" w:ascii="仿宋" w:hAnsi="仿宋" w:eastAsia="仿宋" w:cs="仿宋_GB2312"/>
          <w:color w:val="auto"/>
          <w:sz w:val="24"/>
          <w:szCs w:val="24"/>
          <w:highlight w:val="none"/>
          <w:lang w:bidi="ar"/>
        </w:rPr>
        <w:t>本函适用中国法律。任何由本函产生的或与本函有关的争议应通过双方友好协商解决。当一方向另一方发出书面协商通知，协商应立即开始进行。协商不成的，任何一方有权按主合同争议解决条款解决争议。</w:t>
      </w:r>
    </w:p>
    <w:p w14:paraId="40020BB8">
      <w:pPr>
        <w:snapToGrid w:val="0"/>
        <w:spacing w:line="386" w:lineRule="exact"/>
        <w:ind w:firstLine="480" w:firstLineChars="200"/>
        <w:rPr>
          <w:rFonts w:ascii="仿宋" w:hAnsi="仿宋" w:eastAsia="仿宋" w:cs="仿宋_GB2312"/>
          <w:color w:val="auto"/>
          <w:sz w:val="24"/>
          <w:szCs w:val="24"/>
          <w:highlight w:val="none"/>
          <w:u w:color="000000"/>
          <w:lang w:bidi="ar"/>
        </w:rPr>
      </w:pPr>
      <w:r>
        <w:rPr>
          <w:rFonts w:ascii="仿宋" w:hAnsi="仿宋" w:eastAsia="仿宋" w:cs="仿宋_GB2312"/>
          <w:color w:val="auto"/>
          <w:sz w:val="24"/>
          <w:szCs w:val="24"/>
          <w:highlight w:val="none"/>
          <w:u w:color="000000"/>
          <w:lang w:bidi="ar"/>
        </w:rPr>
        <w:t>23.</w:t>
      </w:r>
      <w:r>
        <w:rPr>
          <w:rFonts w:hint="eastAsia" w:ascii="仿宋" w:hAnsi="仿宋" w:eastAsia="仿宋" w:cs="仿宋_GB2312"/>
          <w:color w:val="auto"/>
          <w:sz w:val="24"/>
          <w:szCs w:val="24"/>
          <w:highlight w:val="none"/>
          <w:u w:color="000000"/>
          <w:lang w:bidi="ar"/>
        </w:rPr>
        <w:t>对</w:t>
      </w:r>
      <w:r>
        <w:rPr>
          <w:rFonts w:hint="eastAsia" w:ascii="仿宋" w:hAnsi="仿宋" w:eastAsia="仿宋" w:cs="仿宋_GB2312"/>
          <w:color w:val="auto"/>
          <w:sz w:val="24"/>
          <w:szCs w:val="24"/>
          <w:highlight w:val="none"/>
          <w:u w:color="000000"/>
          <w:lang w:eastAsia="zh-Hans" w:bidi="ar"/>
        </w:rPr>
        <w:t>敏感</w:t>
      </w:r>
      <w:r>
        <w:rPr>
          <w:rFonts w:hint="eastAsia" w:ascii="仿宋" w:hAnsi="仿宋" w:eastAsia="仿宋" w:cs="仿宋_GB2312"/>
          <w:color w:val="auto"/>
          <w:sz w:val="24"/>
          <w:szCs w:val="24"/>
          <w:highlight w:val="none"/>
          <w:u w:color="000000"/>
          <w:lang w:bidi="ar"/>
        </w:rPr>
        <w:t>信息中包含的任一和全部的数据、资料、文件、参考、陈述、信息和分析，</w:t>
      </w:r>
      <w:r>
        <w:rPr>
          <w:rFonts w:hint="eastAsia" w:ascii="仿宋" w:hAnsi="仿宋" w:eastAsia="仿宋" w:cs="仿宋_GB2312"/>
          <w:color w:val="auto"/>
          <w:sz w:val="24"/>
          <w:szCs w:val="24"/>
          <w:highlight w:val="none"/>
          <w:u w:color="000000"/>
          <w:lang w:eastAsia="zh-Hans" w:bidi="ar"/>
        </w:rPr>
        <w:t>甲方</w:t>
      </w:r>
      <w:r>
        <w:rPr>
          <w:rFonts w:hint="eastAsia" w:ascii="仿宋" w:hAnsi="仿宋" w:eastAsia="仿宋" w:cs="仿宋_GB2312"/>
          <w:color w:val="auto"/>
          <w:sz w:val="24"/>
          <w:szCs w:val="24"/>
          <w:highlight w:val="none"/>
          <w:u w:color="000000"/>
          <w:lang w:bidi="ar"/>
        </w:rPr>
        <w:t>对其准确性、真实性或完整性未作出任何明示或暗示的陈述或保证；对因使用</w:t>
      </w:r>
      <w:r>
        <w:rPr>
          <w:rFonts w:hint="eastAsia" w:ascii="仿宋" w:hAnsi="仿宋" w:eastAsia="仿宋" w:cs="仿宋_GB2312"/>
          <w:color w:val="auto"/>
          <w:sz w:val="24"/>
          <w:szCs w:val="24"/>
          <w:highlight w:val="none"/>
          <w:u w:color="000000"/>
          <w:lang w:eastAsia="zh-Hans" w:bidi="ar"/>
        </w:rPr>
        <w:t>敏感</w:t>
      </w:r>
      <w:r>
        <w:rPr>
          <w:rFonts w:hint="eastAsia" w:ascii="仿宋" w:hAnsi="仿宋" w:eastAsia="仿宋" w:cs="仿宋_GB2312"/>
          <w:color w:val="auto"/>
          <w:sz w:val="24"/>
          <w:szCs w:val="24"/>
          <w:highlight w:val="none"/>
          <w:u w:color="000000"/>
          <w:lang w:bidi="ar"/>
        </w:rPr>
        <w:t>信息，或因</w:t>
      </w:r>
      <w:r>
        <w:rPr>
          <w:rFonts w:hint="eastAsia" w:ascii="仿宋" w:hAnsi="仿宋" w:eastAsia="仿宋" w:cs="仿宋_GB2312"/>
          <w:color w:val="auto"/>
          <w:sz w:val="24"/>
          <w:szCs w:val="24"/>
          <w:highlight w:val="none"/>
          <w:u w:color="000000"/>
          <w:lang w:eastAsia="zh-Hans" w:bidi="ar"/>
        </w:rPr>
        <w:t>敏感</w:t>
      </w:r>
      <w:r>
        <w:rPr>
          <w:rFonts w:hint="eastAsia" w:ascii="仿宋" w:hAnsi="仿宋" w:eastAsia="仿宋" w:cs="仿宋_GB2312"/>
          <w:color w:val="auto"/>
          <w:sz w:val="24"/>
          <w:szCs w:val="24"/>
          <w:highlight w:val="none"/>
          <w:u w:color="000000"/>
          <w:lang w:bidi="ar"/>
        </w:rPr>
        <w:t>信息或基于</w:t>
      </w:r>
      <w:r>
        <w:rPr>
          <w:rFonts w:hint="eastAsia" w:ascii="仿宋" w:hAnsi="仿宋" w:eastAsia="仿宋" w:cs="仿宋_GB2312"/>
          <w:color w:val="auto"/>
          <w:sz w:val="24"/>
          <w:szCs w:val="24"/>
          <w:highlight w:val="none"/>
          <w:u w:color="000000"/>
          <w:lang w:eastAsia="zh-Hans" w:bidi="ar"/>
        </w:rPr>
        <w:t>敏感</w:t>
      </w:r>
      <w:r>
        <w:rPr>
          <w:rFonts w:hint="eastAsia" w:ascii="仿宋" w:hAnsi="仿宋" w:eastAsia="仿宋" w:cs="仿宋_GB2312"/>
          <w:color w:val="auto"/>
          <w:sz w:val="24"/>
          <w:szCs w:val="24"/>
          <w:highlight w:val="none"/>
          <w:u w:color="000000"/>
          <w:lang w:bidi="ar"/>
        </w:rPr>
        <w:t>信息产生的数据的任何错误或遗漏产生的责任或与之相关的责任，</w:t>
      </w:r>
      <w:r>
        <w:rPr>
          <w:rFonts w:hint="eastAsia" w:ascii="仿宋" w:hAnsi="仿宋" w:eastAsia="仿宋" w:cs="仿宋_GB2312"/>
          <w:color w:val="auto"/>
          <w:sz w:val="24"/>
          <w:szCs w:val="24"/>
          <w:highlight w:val="none"/>
          <w:u w:color="000000"/>
          <w:lang w:eastAsia="zh-Hans" w:bidi="ar"/>
        </w:rPr>
        <w:t>甲方</w:t>
      </w:r>
      <w:r>
        <w:rPr>
          <w:rFonts w:hint="eastAsia" w:ascii="仿宋" w:hAnsi="仿宋" w:eastAsia="仿宋" w:cs="仿宋_GB2312"/>
          <w:color w:val="auto"/>
          <w:sz w:val="24"/>
          <w:szCs w:val="24"/>
          <w:highlight w:val="none"/>
          <w:u w:color="000000"/>
          <w:lang w:bidi="ar"/>
        </w:rPr>
        <w:t>不承担任何责任；</w:t>
      </w:r>
      <w:r>
        <w:rPr>
          <w:rFonts w:hint="eastAsia" w:ascii="仿宋" w:hAnsi="仿宋" w:eastAsia="仿宋" w:cs="仿宋_GB2312"/>
          <w:color w:val="auto"/>
          <w:sz w:val="24"/>
          <w:szCs w:val="24"/>
          <w:highlight w:val="none"/>
          <w:u w:color="000000"/>
          <w:lang w:eastAsia="zh-Hans" w:bidi="ar"/>
        </w:rPr>
        <w:t>敏感</w:t>
      </w:r>
      <w:r>
        <w:rPr>
          <w:rFonts w:hint="eastAsia" w:ascii="仿宋" w:hAnsi="仿宋" w:eastAsia="仿宋" w:cs="仿宋_GB2312"/>
          <w:color w:val="auto"/>
          <w:sz w:val="24"/>
          <w:szCs w:val="24"/>
          <w:highlight w:val="none"/>
          <w:u w:color="000000"/>
          <w:lang w:bidi="ar"/>
        </w:rPr>
        <w:t>信息专属于</w:t>
      </w:r>
      <w:r>
        <w:rPr>
          <w:rFonts w:hint="eastAsia" w:ascii="仿宋" w:hAnsi="仿宋" w:eastAsia="仿宋" w:cs="仿宋_GB2312"/>
          <w:color w:val="auto"/>
          <w:sz w:val="24"/>
          <w:szCs w:val="24"/>
          <w:highlight w:val="none"/>
          <w:u w:color="000000"/>
          <w:lang w:eastAsia="zh-Hans" w:bidi="ar"/>
        </w:rPr>
        <w:t>甲方</w:t>
      </w:r>
      <w:r>
        <w:rPr>
          <w:rFonts w:hint="eastAsia" w:ascii="仿宋" w:hAnsi="仿宋" w:eastAsia="仿宋" w:cs="仿宋_GB2312"/>
          <w:color w:val="auto"/>
          <w:sz w:val="24"/>
          <w:szCs w:val="24"/>
          <w:highlight w:val="none"/>
          <w:u w:color="000000"/>
          <w:lang w:bidi="ar"/>
        </w:rPr>
        <w:t>或</w:t>
      </w:r>
      <w:r>
        <w:rPr>
          <w:rFonts w:hint="eastAsia" w:ascii="仿宋" w:hAnsi="仿宋" w:eastAsia="仿宋" w:cs="仿宋_GB2312"/>
          <w:color w:val="auto"/>
          <w:sz w:val="24"/>
          <w:szCs w:val="24"/>
          <w:highlight w:val="none"/>
          <w:u w:color="000000"/>
          <w:lang w:eastAsia="zh-Hans" w:bidi="ar"/>
        </w:rPr>
        <w:t>敏感</w:t>
      </w:r>
      <w:r>
        <w:rPr>
          <w:rFonts w:hint="eastAsia" w:ascii="仿宋" w:hAnsi="仿宋" w:eastAsia="仿宋" w:cs="仿宋_GB2312"/>
          <w:color w:val="auto"/>
          <w:sz w:val="24"/>
          <w:szCs w:val="24"/>
          <w:highlight w:val="none"/>
          <w:u w:color="000000"/>
          <w:lang w:bidi="ar"/>
        </w:rPr>
        <w:t>信息中说明的权利人，</w:t>
      </w:r>
      <w:r>
        <w:rPr>
          <w:rFonts w:hint="eastAsia" w:ascii="仿宋" w:hAnsi="仿宋" w:eastAsia="仿宋" w:cs="仿宋_GB2312"/>
          <w:color w:val="auto"/>
          <w:sz w:val="24"/>
          <w:szCs w:val="24"/>
          <w:highlight w:val="none"/>
          <w:u w:color="000000"/>
          <w:lang w:eastAsia="zh-Hans" w:bidi="ar"/>
        </w:rPr>
        <w:t>我方</w:t>
      </w:r>
      <w:r>
        <w:rPr>
          <w:rFonts w:hint="eastAsia" w:ascii="仿宋" w:hAnsi="仿宋" w:eastAsia="仿宋" w:cs="仿宋_GB2312"/>
          <w:color w:val="auto"/>
          <w:sz w:val="24"/>
          <w:szCs w:val="24"/>
          <w:highlight w:val="none"/>
          <w:u w:color="000000"/>
          <w:lang w:bidi="ar"/>
        </w:rPr>
        <w:t>对信息或资料的使用均不拥有任何专有利益、许可或授权。</w:t>
      </w:r>
    </w:p>
    <w:p w14:paraId="696FB89A">
      <w:pPr>
        <w:snapToGrid w:val="0"/>
        <w:spacing w:line="386"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特此承诺。</w:t>
      </w:r>
    </w:p>
    <w:p w14:paraId="44DFC6D6">
      <w:pPr>
        <w:spacing w:line="386" w:lineRule="exact"/>
        <w:ind w:firstLine="480" w:firstLineChars="200"/>
        <w:rPr>
          <w:rFonts w:ascii="仿宋" w:hAnsi="仿宋" w:eastAsia="仿宋" w:cs="仿宋_GB2312"/>
          <w:color w:val="auto"/>
          <w:sz w:val="24"/>
          <w:szCs w:val="24"/>
          <w:highlight w:val="none"/>
        </w:rPr>
      </w:pPr>
    </w:p>
    <w:p w14:paraId="5789516A">
      <w:pPr>
        <w:spacing w:line="386" w:lineRule="exact"/>
        <w:ind w:firstLine="480" w:firstLineChars="200"/>
        <w:rPr>
          <w:rFonts w:ascii="仿宋" w:hAnsi="仿宋" w:eastAsia="仿宋" w:cs="仿宋_GB2312"/>
          <w:color w:val="auto"/>
          <w:sz w:val="24"/>
          <w:szCs w:val="24"/>
          <w:highlight w:val="none"/>
        </w:rPr>
      </w:pPr>
    </w:p>
    <w:p w14:paraId="1C3A9143">
      <w:pPr>
        <w:spacing w:line="386" w:lineRule="exact"/>
        <w:ind w:left="3150" w:leftChars="1500"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公司名称：__________________（盖章）</w:t>
      </w:r>
    </w:p>
    <w:p w14:paraId="5A752D7B">
      <w:pPr>
        <w:spacing w:line="386" w:lineRule="exact"/>
        <w:ind w:left="3150" w:leftChars="1500"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项目成员签字：</w:t>
      </w:r>
    </w:p>
    <w:p w14:paraId="7235BF99">
      <w:pPr>
        <w:spacing w:line="386" w:lineRule="exact"/>
        <w:ind w:left="3150" w:leftChars="1500" w:firstLine="480" w:firstLineChars="200"/>
        <w:rPr>
          <w:rFonts w:ascii="仿宋" w:hAnsi="仿宋" w:eastAsia="仿宋" w:cs="仿宋_GB2312"/>
          <w:color w:val="auto"/>
          <w:sz w:val="24"/>
          <w:szCs w:val="24"/>
          <w:highlight w:val="none"/>
        </w:rPr>
        <w:sectPr>
          <w:pgSz w:w="11906" w:h="16838"/>
          <w:pgMar w:top="1440" w:right="1800" w:bottom="1440" w:left="1800" w:header="851" w:footer="992" w:gutter="0"/>
          <w:cols w:space="425" w:num="1"/>
          <w:docGrid w:type="lines" w:linePitch="312" w:charSpace="0"/>
        </w:sectPr>
      </w:pPr>
      <w:r>
        <w:rPr>
          <w:rFonts w:hint="eastAsia" w:ascii="仿宋" w:hAnsi="仿宋" w:eastAsia="仿宋" w:cs="仿宋_GB2312"/>
          <w:color w:val="auto"/>
          <w:sz w:val="24"/>
          <w:szCs w:val="24"/>
          <w:highlight w:val="none"/>
        </w:rPr>
        <w:t xml:space="preserve">日    期： </w:t>
      </w:r>
    </w:p>
    <w:p w14:paraId="134D6F8F">
      <w:pPr>
        <w:spacing w:line="380" w:lineRule="exact"/>
        <w:outlineLvl w:val="0"/>
        <w:rPr>
          <w:rFonts w:ascii="仿宋" w:hAnsi="仿宋" w:eastAsia="仿宋" w:cs="仿宋_GB2312"/>
          <w:color w:val="auto"/>
          <w:sz w:val="24"/>
          <w:szCs w:val="24"/>
          <w:highlight w:val="none"/>
        </w:rPr>
      </w:pPr>
      <w:bookmarkStart w:id="97" w:name="_Toc15144"/>
      <w:bookmarkStart w:id="98" w:name="_Toc6206"/>
      <w:r>
        <w:rPr>
          <w:rFonts w:hint="eastAsia" w:ascii="仿宋" w:hAnsi="仿宋" w:eastAsia="仿宋" w:cs="仿宋_GB2312"/>
          <w:color w:val="auto"/>
          <w:sz w:val="24"/>
          <w:szCs w:val="24"/>
          <w:highlight w:val="none"/>
        </w:rPr>
        <w:t>附件二</w:t>
      </w:r>
      <w:bookmarkEnd w:id="97"/>
      <w:bookmarkEnd w:id="98"/>
    </w:p>
    <w:p w14:paraId="4A3BCB74">
      <w:pPr>
        <w:spacing w:line="380" w:lineRule="exact"/>
        <w:jc w:val="center"/>
        <w:rPr>
          <w:rFonts w:ascii="仿宋" w:hAnsi="仿宋" w:eastAsia="仿宋" w:cs="仿宋_GB2312"/>
          <w:b/>
          <w:bCs/>
          <w:color w:val="auto"/>
          <w:sz w:val="28"/>
          <w:szCs w:val="28"/>
          <w:highlight w:val="none"/>
        </w:rPr>
      </w:pPr>
      <w:r>
        <w:rPr>
          <w:rFonts w:hint="eastAsia" w:ascii="仿宋" w:hAnsi="仿宋" w:eastAsia="仿宋" w:cs="仿宋_GB2312"/>
          <w:b/>
          <w:bCs/>
          <w:color w:val="auto"/>
          <w:sz w:val="28"/>
          <w:szCs w:val="28"/>
          <w:highlight w:val="none"/>
        </w:rPr>
        <w:t>廉洁共建承诺书</w:t>
      </w:r>
    </w:p>
    <w:p w14:paraId="7164767B">
      <w:pPr>
        <w:spacing w:line="380" w:lineRule="exact"/>
        <w:rPr>
          <w:rFonts w:ascii="仿宋" w:hAnsi="仿宋" w:eastAsia="仿宋" w:cs="仿宋_GB2312"/>
          <w:color w:val="auto"/>
          <w:sz w:val="24"/>
          <w:szCs w:val="24"/>
          <w:highlight w:val="none"/>
        </w:rPr>
      </w:pPr>
    </w:p>
    <w:p w14:paraId="5B4B007F">
      <w:pPr>
        <w:shd w:val="clear" w:color="auto" w:fill="FFFFFF"/>
        <w:spacing w:line="380" w:lineRule="exact"/>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甲方：成方金融科技有限公司上海分公司</w:t>
      </w:r>
    </w:p>
    <w:p w14:paraId="54E612B1">
      <w:pPr>
        <w:spacing w:line="380" w:lineRule="exact"/>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乙方：</w:t>
      </w:r>
    </w:p>
    <w:p w14:paraId="1A99D9DB">
      <w:pPr>
        <w:shd w:val="clear" w:color="auto" w:fill="FFFFFF"/>
        <w:spacing w:line="380" w:lineRule="exact"/>
        <w:rPr>
          <w:rFonts w:ascii="仿宋" w:hAnsi="仿宋" w:eastAsia="仿宋" w:cs="仿宋_GB2312"/>
          <w:color w:val="auto"/>
          <w:sz w:val="24"/>
          <w:szCs w:val="24"/>
          <w:highlight w:val="none"/>
        </w:rPr>
      </w:pPr>
    </w:p>
    <w:p w14:paraId="769FC3E2">
      <w:pPr>
        <w:spacing w:line="380" w:lineRule="exact"/>
        <w:ind w:firstLine="480" w:firstLineChars="200"/>
        <w:rPr>
          <w:rFonts w:ascii="仿宋" w:hAnsi="仿宋" w:eastAsia="仿宋" w:cs="仿宋_GB2312"/>
          <w:color w:val="auto"/>
          <w:sz w:val="24"/>
          <w:szCs w:val="24"/>
          <w:highlight w:val="none"/>
        </w:rPr>
      </w:pPr>
      <w:bookmarkStart w:id="99" w:name="_Hlk49357495"/>
      <w:r>
        <w:rPr>
          <w:rFonts w:hint="eastAsia" w:ascii="仿宋" w:hAnsi="仿宋" w:eastAsia="仿宋" w:cs="仿宋_GB2312"/>
          <w:color w:val="auto"/>
          <w:sz w:val="24"/>
          <w:szCs w:val="24"/>
          <w:highlight w:val="none"/>
        </w:rPr>
        <w:t>为认真贯彻落实中央八项规定精神，弘扬廉政文化，甲方提议和乙方一起共同维护风清气正的公务往来环境，携手共建廉洁自律的工作氛围，双方承诺如下：</w:t>
      </w:r>
    </w:p>
    <w:p w14:paraId="3A4E091C">
      <w:pPr>
        <w:tabs>
          <w:tab w:val="left" w:pos="420"/>
        </w:tabs>
        <w:spacing w:line="38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1</w:t>
      </w:r>
      <w:r>
        <w:rPr>
          <w:rFonts w:ascii="仿宋" w:hAnsi="仿宋" w:eastAsia="仿宋" w:cs="仿宋_GB2312"/>
          <w:color w:val="auto"/>
          <w:sz w:val="24"/>
          <w:szCs w:val="24"/>
          <w:highlight w:val="none"/>
        </w:rPr>
        <w:t>.</w:t>
      </w:r>
      <w:r>
        <w:rPr>
          <w:rFonts w:hint="eastAsia" w:ascii="仿宋" w:hAnsi="仿宋" w:eastAsia="仿宋" w:cs="仿宋_GB2312"/>
          <w:color w:val="auto"/>
          <w:sz w:val="24"/>
          <w:szCs w:val="24"/>
          <w:highlight w:val="none"/>
        </w:rPr>
        <w:t>甲乙双方在商业合作中，严格遵守国家法律法规，接受各监管机构的监管与审查。</w:t>
      </w:r>
    </w:p>
    <w:p w14:paraId="103C1AB4">
      <w:pPr>
        <w:tabs>
          <w:tab w:val="left" w:pos="420"/>
        </w:tabs>
        <w:spacing w:line="38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2</w:t>
      </w:r>
      <w:r>
        <w:rPr>
          <w:rFonts w:ascii="仿宋" w:hAnsi="仿宋" w:eastAsia="仿宋" w:cs="仿宋_GB2312"/>
          <w:color w:val="auto"/>
          <w:sz w:val="24"/>
          <w:szCs w:val="24"/>
          <w:highlight w:val="none"/>
        </w:rPr>
        <w:t>.</w:t>
      </w:r>
      <w:r>
        <w:rPr>
          <w:rFonts w:hint="eastAsia" w:ascii="仿宋" w:hAnsi="仿宋" w:eastAsia="仿宋" w:cs="仿宋_GB2312"/>
          <w:color w:val="auto"/>
          <w:sz w:val="24"/>
          <w:szCs w:val="24"/>
          <w:highlight w:val="none"/>
        </w:rPr>
        <w:t>甲方及其工作人员不能以权谋私，不能搞权钱交易，本人及特定关系人不得与乙方及其工作人员有以下行为：①索取乙方及其工作人员财物。②接受可能影响公正执行公务或者违反有关规定的宴请、住宿、培训、旅游、健身、文体娱乐等活动安排，出入私人会所。③收受可能影响公正执行公务的礼品、礼金、购物卡、预付卡、会员卡、提货券、电子红包、有价证券、股权（份）、贵重物品、土特产、金融产品、消费卡（券）等财物及其他隐形变异行为。④借用乙方及其工作人员的钱款、房屋、车辆等，或以明显优于正常市场交易价格与乙方及其工作人员进行交易和服务。⑤通过乙方及其工作人员报销或支付（代垫）应由个人及其特定关系人承担的费用。</w:t>
      </w:r>
    </w:p>
    <w:p w14:paraId="7164CBB5">
      <w:pPr>
        <w:tabs>
          <w:tab w:val="left" w:pos="420"/>
        </w:tabs>
        <w:spacing w:line="38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3.乙方及其工作人员不得向甲方及其特定关系人：①行贿、提供回扣。②安排可能影响公正执行公务或者违反有关规定的宴请、住宿、旅游、健身、文体娱乐等活动。③赠送可能影响公正执行公务的礼品、礼金、购物卡、预付卡、会员卡、提货券、电子红包、有价证券、股权（份）、贵重物品、土特产、金融产品、消费卡（券）等财物及其他隐形变异行为。④出借钱款、房屋、车辆等，或以明显优于正常市场交易价格进行的房屋买卖、装修、金融投资等交易和服务。⑤</w:t>
      </w:r>
      <w:r>
        <w:rPr>
          <w:rFonts w:ascii="仿宋" w:hAnsi="仿宋" w:eastAsia="仿宋" w:cs="仿宋_GB2312"/>
          <w:color w:val="auto"/>
          <w:sz w:val="24"/>
          <w:szCs w:val="24"/>
          <w:highlight w:val="none"/>
        </w:rPr>
        <w:t>报销应由甲方公司、个人及其特定关系人承担的费用。</w:t>
      </w:r>
    </w:p>
    <w:p w14:paraId="66A5243F">
      <w:pPr>
        <w:tabs>
          <w:tab w:val="left" w:pos="420"/>
        </w:tabs>
        <w:spacing w:line="38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4.甲乙双方及其工作人员不得进行违反廉政相关规定的任何其他活动，严格执行回避制度，不得安排有关联关系的工作人员参与双方单位的任何相关工作，严禁关联交易和任何利益输送。</w:t>
      </w:r>
    </w:p>
    <w:p w14:paraId="29283E2D">
      <w:pPr>
        <w:tabs>
          <w:tab w:val="left" w:pos="420"/>
        </w:tabs>
        <w:spacing w:line="38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5.甲乙双方若发现对方工作人员有违反廉政相关规定的行为的，应及时对其进行教育帮助以终止其行为并按照合同约定中的违约责任处置，若对方工作人员的行为已构成违法、违纪或违规的，应当及时向对方监察部门举报。</w:t>
      </w:r>
    </w:p>
    <w:p w14:paraId="391460A2">
      <w:pPr>
        <w:spacing w:line="38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本承诺书甲乙双方盖章后生效，有效期为本承诺书签订之日起。</w:t>
      </w:r>
    </w:p>
    <w:p w14:paraId="0C261A89">
      <w:pPr>
        <w:spacing w:line="380" w:lineRule="exact"/>
        <w:ind w:firstLine="480" w:firstLineChars="200"/>
        <w:rPr>
          <w:rFonts w:ascii="仿宋" w:hAnsi="仿宋" w:eastAsia="仿宋" w:cs="仿宋_GB2312"/>
          <w:color w:val="auto"/>
          <w:sz w:val="24"/>
          <w:szCs w:val="24"/>
          <w:highlight w:val="none"/>
        </w:rPr>
      </w:pPr>
    </w:p>
    <w:p w14:paraId="6A1A08B5">
      <w:pPr>
        <w:spacing w:line="380" w:lineRule="exact"/>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甲方：成方金融科技有限公司上海分公司乙方：__________________（盖章）</w:t>
      </w:r>
    </w:p>
    <w:p w14:paraId="2F8104F4">
      <w:pPr>
        <w:widowControl/>
        <w:spacing w:line="380" w:lineRule="exact"/>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日期：                              日期</w:t>
      </w:r>
      <w:bookmarkEnd w:id="99"/>
      <w:r>
        <w:rPr>
          <w:rFonts w:hint="eastAsia" w:ascii="仿宋" w:hAnsi="仿宋" w:eastAsia="仿宋" w:cs="仿宋_GB2312"/>
          <w:color w:val="auto"/>
          <w:sz w:val="24"/>
          <w:szCs w:val="24"/>
          <w:highlight w:val="none"/>
        </w:rPr>
        <w:t>：</w:t>
      </w:r>
    </w:p>
    <w:p w14:paraId="415C5B98">
      <w:pPr>
        <w:spacing w:line="420" w:lineRule="exact"/>
        <w:outlineLvl w:val="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附件四</w:t>
      </w:r>
    </w:p>
    <w:p w14:paraId="187E161D">
      <w:pPr>
        <w:spacing w:line="420" w:lineRule="exact"/>
        <w:jc w:val="center"/>
        <w:rPr>
          <w:rFonts w:ascii="仿宋" w:hAnsi="仿宋" w:eastAsia="仿宋" w:cs="仿宋_GB2312"/>
          <w:b/>
          <w:bCs/>
          <w:color w:val="auto"/>
          <w:sz w:val="28"/>
          <w:szCs w:val="28"/>
          <w:highlight w:val="none"/>
        </w:rPr>
      </w:pPr>
      <w:r>
        <w:rPr>
          <w:rFonts w:hint="eastAsia" w:ascii="仿宋" w:hAnsi="仿宋" w:eastAsia="仿宋" w:cs="仿宋_GB2312"/>
          <w:b/>
          <w:bCs/>
          <w:color w:val="auto"/>
          <w:sz w:val="28"/>
          <w:szCs w:val="28"/>
          <w:highlight w:val="none"/>
        </w:rPr>
        <w:t>安全保证承诺书</w:t>
      </w:r>
    </w:p>
    <w:p w14:paraId="2E5180DE">
      <w:pPr>
        <w:spacing w:line="420" w:lineRule="exact"/>
        <w:rPr>
          <w:rFonts w:ascii="仿宋_GB2312" w:hAnsi="仿宋_GB2312" w:eastAsia="仿宋_GB2312" w:cs="仿宋_GB2312"/>
          <w:color w:val="auto"/>
          <w:sz w:val="24"/>
          <w:szCs w:val="24"/>
          <w:highlight w:val="none"/>
        </w:rPr>
      </w:pPr>
    </w:p>
    <w:p w14:paraId="2CFCEAB9">
      <w:pPr>
        <w:shd w:val="clear" w:color="auto" w:fill="FFFFFF"/>
        <w:spacing w:line="420" w:lineRule="exact"/>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成方金融科技有限公司上海分公司（以下简称甲方）：</w:t>
      </w:r>
    </w:p>
    <w:p w14:paraId="6EB1E8E1">
      <w:pPr>
        <w:shd w:val="clear" w:color="auto" w:fill="FFFFFF"/>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我方现就安全风险项相关内容，做出如下承诺：</w:t>
      </w:r>
    </w:p>
    <w:p w14:paraId="0F50247B">
      <w:pPr>
        <w:shd w:val="clear" w:color="auto" w:fill="FFFFFF"/>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lang w:bidi="ar"/>
        </w:rPr>
        <w:t>1</w:t>
      </w:r>
      <w:r>
        <w:rPr>
          <w:rFonts w:ascii="仿宋" w:hAnsi="仿宋" w:eastAsia="仿宋" w:cs="仿宋_GB2312"/>
          <w:color w:val="auto"/>
          <w:sz w:val="24"/>
          <w:szCs w:val="24"/>
          <w:highlight w:val="none"/>
          <w:lang w:bidi="ar"/>
        </w:rPr>
        <w:t>.</w:t>
      </w:r>
      <w:r>
        <w:rPr>
          <w:rFonts w:hint="eastAsia" w:ascii="仿宋" w:hAnsi="仿宋" w:eastAsia="仿宋" w:cs="仿宋_GB2312"/>
          <w:color w:val="auto"/>
          <w:sz w:val="24"/>
          <w:szCs w:val="24"/>
          <w:highlight w:val="none"/>
          <w:lang w:bidi="ar"/>
        </w:rPr>
        <w:t>不得违规接触、操作生产系统、业务系统，不得以任何形式接触、传输、存储和使用真实生产数据、业务敏感数据。</w:t>
      </w:r>
    </w:p>
    <w:p w14:paraId="66014E50">
      <w:pPr>
        <w:shd w:val="clear" w:color="auto" w:fill="FFFFFF"/>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lang w:bidi="ar"/>
        </w:rPr>
        <w:t>2.</w:t>
      </w:r>
      <w:r>
        <w:rPr>
          <w:rFonts w:hint="eastAsia" w:ascii="仿宋" w:hAnsi="仿宋" w:eastAsia="仿宋" w:cs="仿宋_GB2312"/>
          <w:color w:val="auto"/>
          <w:sz w:val="24"/>
          <w:szCs w:val="24"/>
          <w:highlight w:val="none"/>
          <w:lang w:bidi="ar"/>
        </w:rPr>
        <w:t>不得违规将敏感数据、为成方金科定制的源代码在互联网上存储和传输。</w:t>
      </w:r>
    </w:p>
    <w:p w14:paraId="318BC9E0">
      <w:pPr>
        <w:shd w:val="clear" w:color="auto" w:fill="FFFFFF"/>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3.</w:t>
      </w:r>
      <w:r>
        <w:rPr>
          <w:rFonts w:hint="eastAsia" w:ascii="仿宋" w:hAnsi="仿宋" w:eastAsia="仿宋" w:cs="仿宋_GB2312"/>
          <w:color w:val="auto"/>
          <w:sz w:val="24"/>
          <w:szCs w:val="24"/>
          <w:highlight w:val="none"/>
          <w:lang w:bidi="ar"/>
        </w:rPr>
        <w:t>不得将开发、测试等环境部署在公网，不得提供互联网访问; 不得将敏感数据加载至任意开发测试环境。</w:t>
      </w:r>
    </w:p>
    <w:p w14:paraId="178CB4A4">
      <w:pPr>
        <w:shd w:val="clear" w:color="auto" w:fill="FFFFFF"/>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4.</w:t>
      </w:r>
      <w:r>
        <w:rPr>
          <w:rFonts w:hint="eastAsia" w:ascii="仿宋" w:hAnsi="仿宋" w:eastAsia="仿宋" w:cs="仿宋_GB2312"/>
          <w:color w:val="auto"/>
          <w:sz w:val="24"/>
          <w:szCs w:val="24"/>
          <w:highlight w:val="none"/>
          <w:lang w:bidi="ar"/>
        </w:rPr>
        <w:t>开发、测试环境的系统不能带有能明显反映服务</w:t>
      </w:r>
      <w:r>
        <w:rPr>
          <w:rFonts w:hint="eastAsia" w:ascii="仿宋" w:hAnsi="仿宋" w:eastAsia="仿宋" w:cs="仿宋_GB2312"/>
          <w:color w:val="auto"/>
          <w:sz w:val="24"/>
          <w:szCs w:val="24"/>
          <w:highlight w:val="none"/>
        </w:rPr>
        <w:t>甲方</w:t>
      </w:r>
      <w:r>
        <w:rPr>
          <w:rFonts w:hint="eastAsia" w:ascii="仿宋" w:hAnsi="仿宋" w:eastAsia="仿宋" w:cs="仿宋_GB2312"/>
          <w:color w:val="auto"/>
          <w:sz w:val="24"/>
          <w:szCs w:val="24"/>
          <w:highlight w:val="none"/>
          <w:lang w:bidi="ar"/>
        </w:rPr>
        <w:t>及相关方信息的内容，包含但不限于标志、图片、注释、版权、字样等。</w:t>
      </w:r>
    </w:p>
    <w:p w14:paraId="06161660">
      <w:pPr>
        <w:shd w:val="clear" w:color="auto" w:fill="FFFFFF"/>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5.</w:t>
      </w:r>
      <w:r>
        <w:rPr>
          <w:rFonts w:hint="eastAsia" w:ascii="仿宋" w:hAnsi="仿宋" w:eastAsia="仿宋" w:cs="仿宋_GB2312"/>
          <w:color w:val="auto"/>
          <w:sz w:val="24"/>
          <w:szCs w:val="24"/>
          <w:highlight w:val="none"/>
          <w:lang w:bidi="ar"/>
        </w:rPr>
        <w:t>不得在公网上搭建同交付生产相同的系统</w:t>
      </w:r>
      <w:r>
        <w:rPr>
          <w:rFonts w:hint="eastAsia" w:ascii="仿宋" w:hAnsi="仿宋" w:eastAsia="仿宋" w:cs="仿宋_GB2312"/>
          <w:color w:val="auto"/>
          <w:sz w:val="24"/>
          <w:szCs w:val="24"/>
          <w:highlight w:val="none"/>
          <w:lang w:eastAsia="zh-Hans" w:bidi="ar"/>
        </w:rPr>
        <w:t>，禁止与其他公网连接</w:t>
      </w:r>
      <w:r>
        <w:rPr>
          <w:rFonts w:hint="eastAsia" w:ascii="仿宋" w:hAnsi="仿宋" w:eastAsia="仿宋" w:cs="仿宋_GB2312"/>
          <w:color w:val="auto"/>
          <w:sz w:val="24"/>
          <w:szCs w:val="24"/>
          <w:highlight w:val="none"/>
          <w:lang w:bidi="ar"/>
        </w:rPr>
        <w:t>。</w:t>
      </w:r>
    </w:p>
    <w:p w14:paraId="4E367AA8">
      <w:pPr>
        <w:shd w:val="clear" w:color="auto" w:fill="FFFFFF"/>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6.</w:t>
      </w:r>
      <w:r>
        <w:rPr>
          <w:rFonts w:hint="eastAsia" w:ascii="仿宋" w:hAnsi="仿宋" w:eastAsia="仿宋" w:cs="仿宋_GB2312"/>
          <w:color w:val="auto"/>
          <w:sz w:val="24"/>
          <w:szCs w:val="24"/>
          <w:highlight w:val="none"/>
          <w:lang w:bidi="ar"/>
        </w:rPr>
        <w:t>不得在系统中使用弱口令或掌握超级管理员账号。</w:t>
      </w:r>
    </w:p>
    <w:p w14:paraId="170D1E4C">
      <w:pPr>
        <w:shd w:val="clear" w:color="auto" w:fill="FFFFFF"/>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7.</w:t>
      </w:r>
      <w:r>
        <w:rPr>
          <w:rFonts w:hint="eastAsia" w:ascii="仿宋" w:hAnsi="仿宋" w:eastAsia="仿宋" w:cs="仿宋_GB2312"/>
          <w:color w:val="auto"/>
          <w:sz w:val="24"/>
          <w:szCs w:val="24"/>
          <w:highlight w:val="none"/>
          <w:lang w:bidi="ar"/>
        </w:rPr>
        <w:t>不得在系统中放置病毒程序、后门程序、挖矿程序。</w:t>
      </w:r>
    </w:p>
    <w:p w14:paraId="5CFF2AF7">
      <w:pPr>
        <w:shd w:val="clear" w:color="auto" w:fill="FFFFFF"/>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8.</w:t>
      </w:r>
      <w:r>
        <w:rPr>
          <w:rFonts w:hint="eastAsia" w:ascii="仿宋" w:hAnsi="仿宋" w:eastAsia="仿宋" w:cs="仿宋_GB2312"/>
          <w:color w:val="auto"/>
          <w:sz w:val="24"/>
          <w:szCs w:val="24"/>
          <w:highlight w:val="none"/>
          <w:lang w:bidi="ar"/>
        </w:rPr>
        <w:t>不得向其他第三方透露利益相关资料或机密信息，不得向</w:t>
      </w:r>
      <w:r>
        <w:rPr>
          <w:rFonts w:hint="eastAsia" w:ascii="仿宋" w:hAnsi="仿宋" w:eastAsia="仿宋" w:cs="仿宋_GB2312"/>
          <w:color w:val="auto"/>
          <w:sz w:val="24"/>
          <w:szCs w:val="24"/>
          <w:highlight w:val="none"/>
        </w:rPr>
        <w:t>甲方</w:t>
      </w:r>
      <w:r>
        <w:rPr>
          <w:rFonts w:hint="eastAsia" w:ascii="仿宋" w:hAnsi="仿宋" w:eastAsia="仿宋" w:cs="仿宋_GB2312"/>
          <w:color w:val="auto"/>
          <w:sz w:val="24"/>
          <w:szCs w:val="24"/>
          <w:highlight w:val="none"/>
          <w:lang w:bidi="ar"/>
        </w:rPr>
        <w:t>套取信息。</w:t>
      </w:r>
    </w:p>
    <w:p w14:paraId="614163C5">
      <w:pPr>
        <w:shd w:val="clear" w:color="auto" w:fill="FFFFFF"/>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9.</w:t>
      </w:r>
      <w:r>
        <w:rPr>
          <w:rFonts w:hint="eastAsia" w:ascii="仿宋" w:hAnsi="仿宋" w:eastAsia="仿宋" w:cs="仿宋_GB2312"/>
          <w:color w:val="auto"/>
          <w:sz w:val="24"/>
          <w:szCs w:val="24"/>
          <w:highlight w:val="none"/>
          <w:lang w:bidi="ar"/>
        </w:rPr>
        <w:t>不得将定制源代码私自用于申请软件著作权、专利等。</w:t>
      </w:r>
    </w:p>
    <w:p w14:paraId="2D9F59FE">
      <w:pPr>
        <w:shd w:val="clear" w:color="auto" w:fill="FFFFFF"/>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10.</w:t>
      </w:r>
      <w:r>
        <w:rPr>
          <w:rFonts w:hint="eastAsia" w:ascii="仿宋" w:hAnsi="仿宋" w:eastAsia="仿宋" w:cs="仿宋_GB2312"/>
          <w:color w:val="auto"/>
          <w:sz w:val="24"/>
          <w:szCs w:val="24"/>
          <w:highlight w:val="none"/>
          <w:lang w:bidi="ar"/>
        </w:rPr>
        <w:t>不得通过不正当渠道、非法手段窃取工作权限外的文件、材料、源码、数据等。</w:t>
      </w:r>
    </w:p>
    <w:p w14:paraId="6DBB3FD4">
      <w:pPr>
        <w:shd w:val="clear" w:color="auto" w:fill="FFFFFF"/>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11.</w:t>
      </w:r>
      <w:r>
        <w:rPr>
          <w:rFonts w:hint="eastAsia" w:ascii="仿宋" w:hAnsi="仿宋" w:eastAsia="仿宋" w:cs="仿宋_GB2312"/>
          <w:color w:val="auto"/>
          <w:sz w:val="24"/>
          <w:szCs w:val="24"/>
          <w:highlight w:val="none"/>
          <w:lang w:bidi="ar"/>
        </w:rPr>
        <w:t>不得将任何开发交付物、</w:t>
      </w:r>
      <w:r>
        <w:rPr>
          <w:rFonts w:hint="eastAsia" w:ascii="仿宋" w:hAnsi="仿宋" w:eastAsia="仿宋" w:cs="仿宋_GB2312"/>
          <w:color w:val="auto"/>
          <w:sz w:val="24"/>
          <w:szCs w:val="24"/>
          <w:highlight w:val="none"/>
          <w:lang w:eastAsia="zh-Hans" w:bidi="ar"/>
        </w:rPr>
        <w:t>文件、数据、</w:t>
      </w:r>
      <w:r>
        <w:rPr>
          <w:rFonts w:hint="eastAsia" w:ascii="仿宋" w:hAnsi="仿宋" w:eastAsia="仿宋" w:cs="仿宋_GB2312"/>
          <w:color w:val="auto"/>
          <w:sz w:val="24"/>
          <w:szCs w:val="24"/>
          <w:highlight w:val="none"/>
          <w:lang w:bidi="ar"/>
        </w:rPr>
        <w:t>内嵌套件、软件或其派生物与任何公共软件合并、结合或一同分发。</w:t>
      </w:r>
    </w:p>
    <w:p w14:paraId="54048FDB">
      <w:pPr>
        <w:shd w:val="clear" w:color="auto" w:fill="FFFFFF"/>
        <w:spacing w:line="420" w:lineRule="exact"/>
        <w:ind w:firstLine="480" w:firstLineChars="200"/>
        <w:rPr>
          <w:rFonts w:ascii="仿宋" w:hAnsi="仿宋" w:eastAsia="仿宋" w:cs="仿宋_GB2312"/>
          <w:color w:val="auto"/>
          <w:sz w:val="24"/>
          <w:szCs w:val="24"/>
          <w:highlight w:val="none"/>
        </w:rPr>
      </w:pPr>
      <w:r>
        <w:rPr>
          <w:rFonts w:ascii="仿宋" w:hAnsi="仿宋" w:eastAsia="仿宋" w:cs="仿宋_GB2312"/>
          <w:color w:val="auto"/>
          <w:sz w:val="24"/>
          <w:szCs w:val="24"/>
          <w:highlight w:val="none"/>
        </w:rPr>
        <w:t>12.</w:t>
      </w:r>
      <w:r>
        <w:rPr>
          <w:rFonts w:hint="eastAsia" w:ascii="仿宋" w:hAnsi="仿宋" w:eastAsia="仿宋" w:cs="仿宋_GB2312"/>
          <w:color w:val="auto"/>
          <w:sz w:val="24"/>
          <w:szCs w:val="24"/>
          <w:highlight w:val="none"/>
          <w:lang w:bidi="ar"/>
        </w:rPr>
        <w:t>需采取必要的安全措施保障项目相关源码、数据、文档安全，</w:t>
      </w:r>
      <w:r>
        <w:rPr>
          <w:rFonts w:hint="eastAsia" w:ascii="仿宋" w:hAnsi="仿宋" w:eastAsia="仿宋" w:cs="仿宋_GB2312"/>
          <w:color w:val="auto"/>
          <w:sz w:val="24"/>
          <w:szCs w:val="24"/>
          <w:highlight w:val="none"/>
          <w:lang w:eastAsia="zh-Hans" w:bidi="ar"/>
        </w:rPr>
        <w:t>防止</w:t>
      </w:r>
      <w:r>
        <w:rPr>
          <w:rFonts w:hint="eastAsia" w:ascii="仿宋" w:hAnsi="仿宋" w:eastAsia="仿宋" w:cs="仿宋_GB2312"/>
          <w:color w:val="auto"/>
          <w:sz w:val="24"/>
          <w:szCs w:val="24"/>
          <w:highlight w:val="none"/>
          <w:lang w:bidi="ar"/>
        </w:rPr>
        <w:t>相关源码、数据、文档</w:t>
      </w:r>
      <w:r>
        <w:rPr>
          <w:rFonts w:hint="eastAsia" w:ascii="仿宋" w:hAnsi="仿宋" w:eastAsia="仿宋" w:cs="仿宋_GB2312"/>
          <w:color w:val="auto"/>
          <w:sz w:val="24"/>
          <w:szCs w:val="24"/>
          <w:highlight w:val="none"/>
          <w:lang w:eastAsia="zh-Hans" w:bidi="ar"/>
        </w:rPr>
        <w:t>的丢失、破坏和失密，</w:t>
      </w:r>
      <w:r>
        <w:rPr>
          <w:rFonts w:hint="eastAsia" w:ascii="仿宋" w:hAnsi="仿宋" w:eastAsia="仿宋" w:cs="仿宋_GB2312"/>
          <w:color w:val="auto"/>
          <w:sz w:val="24"/>
          <w:szCs w:val="24"/>
          <w:highlight w:val="none"/>
          <w:lang w:bidi="ar"/>
        </w:rPr>
        <w:t>并提供签字盖章的安全承诺函，承担由此引发的一切责任。</w:t>
      </w:r>
    </w:p>
    <w:p w14:paraId="1E9CD9A7">
      <w:pPr>
        <w:shd w:val="clear" w:color="auto" w:fill="FFFFFF"/>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1</w:t>
      </w:r>
      <w:r>
        <w:rPr>
          <w:rFonts w:ascii="仿宋" w:hAnsi="仿宋" w:eastAsia="仿宋" w:cs="仿宋_GB2312"/>
          <w:color w:val="auto"/>
          <w:sz w:val="24"/>
          <w:szCs w:val="24"/>
          <w:highlight w:val="none"/>
        </w:rPr>
        <w:t>3.</w:t>
      </w:r>
      <w:r>
        <w:rPr>
          <w:rFonts w:hint="eastAsia" w:ascii="仿宋" w:hAnsi="仿宋" w:eastAsia="仿宋" w:cs="仿宋_GB2312"/>
          <w:color w:val="auto"/>
          <w:sz w:val="24"/>
          <w:szCs w:val="24"/>
          <w:highlight w:val="none"/>
          <w:lang w:bidi="ar"/>
        </w:rPr>
        <w:t>所有工作人员需严格遵守相关设备的操作流程，禁止工作人员进行与系统操作无关的工作。</w:t>
      </w:r>
    </w:p>
    <w:p w14:paraId="215AD0CB">
      <w:pPr>
        <w:shd w:val="clear" w:color="auto" w:fill="FFFFFF"/>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1</w:t>
      </w:r>
      <w:r>
        <w:rPr>
          <w:rFonts w:ascii="仿宋" w:hAnsi="仿宋" w:eastAsia="仿宋" w:cs="仿宋_GB2312"/>
          <w:color w:val="auto"/>
          <w:sz w:val="24"/>
          <w:szCs w:val="24"/>
          <w:highlight w:val="none"/>
        </w:rPr>
        <w:t>4.</w:t>
      </w:r>
      <w:r>
        <w:rPr>
          <w:rFonts w:hint="eastAsia" w:ascii="仿宋" w:hAnsi="仿宋" w:eastAsia="仿宋" w:cs="仿宋_GB2312"/>
          <w:color w:val="auto"/>
          <w:sz w:val="24"/>
          <w:szCs w:val="24"/>
          <w:highlight w:val="none"/>
          <w:lang w:bidi="ar"/>
        </w:rPr>
        <w:t>若乙方违反安全保证要求，应承担一切法律责任，按合同约定中的违约责任处置。</w:t>
      </w:r>
    </w:p>
    <w:p w14:paraId="7D401C83">
      <w:pPr>
        <w:spacing w:line="420" w:lineRule="exact"/>
        <w:ind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特此承诺。</w:t>
      </w:r>
    </w:p>
    <w:p w14:paraId="55B167C8">
      <w:pPr>
        <w:spacing w:line="420" w:lineRule="exact"/>
        <w:ind w:firstLine="480" w:firstLineChars="200"/>
        <w:rPr>
          <w:rFonts w:ascii="仿宋" w:hAnsi="仿宋" w:eastAsia="仿宋" w:cs="仿宋_GB2312"/>
          <w:color w:val="auto"/>
          <w:sz w:val="24"/>
          <w:szCs w:val="24"/>
          <w:highlight w:val="none"/>
        </w:rPr>
      </w:pPr>
    </w:p>
    <w:p w14:paraId="6AC7BCB7">
      <w:pPr>
        <w:spacing w:line="420" w:lineRule="exact"/>
        <w:ind w:left="3150" w:leftChars="1500"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公司名称：__________________（盖章）</w:t>
      </w:r>
    </w:p>
    <w:p w14:paraId="7ECA3F04">
      <w:pPr>
        <w:spacing w:line="420" w:lineRule="exact"/>
        <w:ind w:left="3150" w:leftChars="1500" w:firstLine="480" w:firstLineChars="200"/>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日期：</w:t>
      </w:r>
    </w:p>
    <w:p w14:paraId="1C9BEE1D">
      <w:pPr>
        <w:widowControl/>
        <w:spacing w:line="440" w:lineRule="exact"/>
        <w:rPr>
          <w:rFonts w:ascii="仿宋_GB2312" w:hAnsi="仿宋_GB2312" w:eastAsia="仿宋_GB2312" w:cs="仿宋_GB2312"/>
          <w:color w:val="auto"/>
          <w:sz w:val="24"/>
          <w:szCs w:val="24"/>
          <w:highlight w:val="none"/>
        </w:rPr>
      </w:pPr>
    </w:p>
    <w:p w14:paraId="146E9EEC">
      <w:pPr>
        <w:pStyle w:val="2"/>
        <w:rPr>
          <w:rFonts w:ascii="仿宋_GB2312" w:hAnsi="仿宋_GB2312" w:eastAsia="仿宋_GB2312" w:cs="仿宋_GB2312"/>
          <w:color w:val="auto"/>
          <w:sz w:val="24"/>
          <w:szCs w:val="24"/>
          <w:highlight w:val="none"/>
        </w:rPr>
      </w:pPr>
    </w:p>
    <w:p w14:paraId="2BFC79D3">
      <w:pPr>
        <w:pStyle w:val="2"/>
        <w:rPr>
          <w:rFonts w:ascii="仿宋_GB2312" w:hAnsi="仿宋_GB2312" w:eastAsia="仿宋_GB2312" w:cs="仿宋_GB2312"/>
          <w:color w:val="auto"/>
          <w:sz w:val="24"/>
          <w:szCs w:val="24"/>
          <w:highlight w:val="none"/>
        </w:rPr>
      </w:pPr>
    </w:p>
    <w:p w14:paraId="75CA7A26">
      <w:pPr>
        <w:spacing w:line="440" w:lineRule="exact"/>
        <w:outlineLvl w:val="0"/>
        <w:rPr>
          <w:rFonts w:hint="eastAsia" w:ascii="仿宋" w:hAnsi="仿宋" w:eastAsia="仿宋" w:cs="Times New Roman"/>
          <w:color w:val="auto"/>
          <w:sz w:val="24"/>
          <w:szCs w:val="24"/>
          <w:highlight w:val="none"/>
          <w:lang w:eastAsia="zh-CN"/>
        </w:rPr>
      </w:pPr>
      <w:r>
        <w:rPr>
          <w:rFonts w:hint="eastAsia" w:ascii="仿宋" w:hAnsi="仿宋" w:eastAsia="仿宋" w:cs="Times New Roman"/>
          <w:color w:val="auto"/>
          <w:sz w:val="24"/>
          <w:szCs w:val="24"/>
          <w:highlight w:val="none"/>
        </w:rPr>
        <w:t>附件</w:t>
      </w:r>
      <w:r>
        <w:rPr>
          <w:rFonts w:hint="eastAsia" w:ascii="仿宋" w:hAnsi="仿宋" w:eastAsia="仿宋" w:cs="Times New Roman"/>
          <w:color w:val="auto"/>
          <w:sz w:val="24"/>
          <w:szCs w:val="24"/>
          <w:highlight w:val="none"/>
          <w:lang w:val="en-US" w:eastAsia="zh-CN"/>
        </w:rPr>
        <w:t>五</w:t>
      </w:r>
    </w:p>
    <w:p w14:paraId="481B0B11">
      <w:pPr>
        <w:spacing w:line="440" w:lineRule="exact"/>
        <w:jc w:val="center"/>
        <w:rPr>
          <w:rFonts w:ascii="仿宋_GB2312" w:hAnsi="宋体" w:eastAsia="仿宋_GB2312" w:cs="Times New Roman"/>
          <w:b/>
          <w:bCs/>
          <w:color w:val="auto"/>
          <w:sz w:val="28"/>
          <w:szCs w:val="28"/>
          <w:highlight w:val="none"/>
        </w:rPr>
      </w:pPr>
      <w:r>
        <w:rPr>
          <w:rFonts w:hint="eastAsia" w:ascii="仿宋_GB2312" w:hAnsi="宋体" w:eastAsia="仿宋_GB2312" w:cs="Times New Roman"/>
          <w:b/>
          <w:bCs/>
          <w:color w:val="auto"/>
          <w:sz w:val="28"/>
          <w:szCs w:val="28"/>
          <w:highlight w:val="none"/>
        </w:rPr>
        <w:t>初步/最终/期满验收合格单（模板）</w:t>
      </w:r>
    </w:p>
    <w:p w14:paraId="13967117">
      <w:pPr>
        <w:spacing w:line="440" w:lineRule="exact"/>
        <w:jc w:val="center"/>
        <w:rPr>
          <w:rFonts w:ascii="仿宋_GB2312" w:hAnsi="宋体" w:eastAsia="仿宋_GB2312" w:cs="Times New Roman"/>
          <w:b/>
          <w:bCs/>
          <w:color w:val="auto"/>
          <w:sz w:val="28"/>
          <w:szCs w:val="28"/>
          <w:highlight w:val="none"/>
        </w:rPr>
      </w:pPr>
    </w:p>
    <w:tbl>
      <w:tblPr>
        <w:tblStyle w:val="2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2272"/>
        <w:gridCol w:w="138"/>
        <w:gridCol w:w="1984"/>
        <w:gridCol w:w="2131"/>
      </w:tblGrid>
      <w:tr w14:paraId="0EA96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1980" w:type="dxa"/>
            <w:shd w:val="clear" w:color="auto" w:fill="E6E6E6"/>
            <w:vAlign w:val="center"/>
          </w:tcPr>
          <w:p w14:paraId="53255066">
            <w:pPr>
              <w:jc w:val="center"/>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合同名称</w:t>
            </w:r>
          </w:p>
        </w:tc>
        <w:tc>
          <w:tcPr>
            <w:tcW w:w="6525" w:type="dxa"/>
            <w:gridSpan w:val="4"/>
            <w:vAlign w:val="center"/>
          </w:tcPr>
          <w:p w14:paraId="2BC9C146">
            <w:pPr>
              <w:widowControl/>
              <w:spacing w:before="100" w:beforeAutospacing="1" w:after="100" w:afterAutospacing="1"/>
              <w:rPr>
                <w:rFonts w:ascii="仿宋" w:hAnsi="仿宋" w:eastAsia="仿宋" w:cs="仿宋_GB2312"/>
                <w:color w:val="auto"/>
                <w:kern w:val="0"/>
                <w:sz w:val="24"/>
                <w:szCs w:val="24"/>
                <w:highlight w:val="none"/>
              </w:rPr>
            </w:pPr>
            <w:r>
              <w:rPr>
                <w:rFonts w:hint="eastAsia" w:ascii="仿宋" w:hAnsi="仿宋" w:eastAsia="仿宋" w:cs="仿宋_GB2312"/>
                <w:color w:val="auto"/>
                <w:kern w:val="0"/>
                <w:sz w:val="24"/>
                <w:szCs w:val="24"/>
                <w:highlight w:val="none"/>
              </w:rPr>
              <w:t>成方金融科技有限公司</w:t>
            </w:r>
            <w:r>
              <w:rPr>
                <w:rFonts w:hint="eastAsia" w:ascii="仿宋" w:hAnsi="仿宋" w:eastAsia="仿宋" w:cs="仿宋_GB2312"/>
                <w:color w:val="auto"/>
                <w:kern w:val="0"/>
                <w:sz w:val="24"/>
                <w:szCs w:val="24"/>
                <w:highlight w:val="none"/>
                <w:lang w:val="en-US" w:eastAsia="zh-CN"/>
              </w:rPr>
              <w:t>上海分公司</w:t>
            </w:r>
            <w:r>
              <w:rPr>
                <w:rFonts w:hint="eastAsia" w:ascii="仿宋" w:hAnsi="仿宋" w:eastAsia="仿宋" w:cs="仿宋_GB2312"/>
                <w:color w:val="auto"/>
                <w:kern w:val="0"/>
                <w:sz w:val="24"/>
                <w:szCs w:val="24"/>
                <w:highlight w:val="none"/>
              </w:rPr>
              <w:t>数据平台系统实时监测技术服务项目采购合同</w:t>
            </w:r>
          </w:p>
        </w:tc>
      </w:tr>
      <w:tr w14:paraId="3B555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shd w:val="clear" w:color="auto" w:fill="E6E6E6"/>
            <w:vAlign w:val="center"/>
          </w:tcPr>
          <w:p w14:paraId="078337F0">
            <w:pPr>
              <w:jc w:val="center"/>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合同编号</w:t>
            </w:r>
          </w:p>
        </w:tc>
        <w:tc>
          <w:tcPr>
            <w:tcW w:w="6525" w:type="dxa"/>
            <w:gridSpan w:val="4"/>
            <w:vAlign w:val="center"/>
          </w:tcPr>
          <w:p w14:paraId="51ADC010">
            <w:pPr>
              <w:widowControl/>
              <w:spacing w:before="100" w:beforeAutospacing="1" w:after="100" w:afterAutospacing="1"/>
              <w:rPr>
                <w:rFonts w:ascii="仿宋" w:hAnsi="仿宋" w:eastAsia="仿宋" w:cs="仿宋_GB2312"/>
                <w:color w:val="auto"/>
                <w:kern w:val="0"/>
                <w:sz w:val="24"/>
                <w:szCs w:val="24"/>
                <w:highlight w:val="none"/>
              </w:rPr>
            </w:pPr>
          </w:p>
        </w:tc>
      </w:tr>
      <w:tr w14:paraId="59458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shd w:val="clear" w:color="auto" w:fill="E6E6E6"/>
            <w:vAlign w:val="center"/>
          </w:tcPr>
          <w:p w14:paraId="4496F5FD">
            <w:pPr>
              <w:jc w:val="center"/>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验收部门</w:t>
            </w:r>
          </w:p>
        </w:tc>
        <w:tc>
          <w:tcPr>
            <w:tcW w:w="6525" w:type="dxa"/>
            <w:gridSpan w:val="4"/>
            <w:vAlign w:val="center"/>
          </w:tcPr>
          <w:p w14:paraId="3F31A486">
            <w:pPr>
              <w:rPr>
                <w:rFonts w:ascii="仿宋" w:hAnsi="仿宋" w:eastAsia="仿宋" w:cs="仿宋_GB2312"/>
                <w:color w:val="auto"/>
                <w:sz w:val="24"/>
                <w:szCs w:val="24"/>
                <w:highlight w:val="none"/>
              </w:rPr>
            </w:pPr>
          </w:p>
        </w:tc>
      </w:tr>
      <w:tr w14:paraId="33D21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shd w:val="clear" w:color="auto" w:fill="E6E6E6"/>
            <w:vAlign w:val="center"/>
          </w:tcPr>
          <w:p w14:paraId="750AC1D5">
            <w:pPr>
              <w:jc w:val="center"/>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本阶段起始时间</w:t>
            </w:r>
          </w:p>
        </w:tc>
        <w:tc>
          <w:tcPr>
            <w:tcW w:w="2410" w:type="dxa"/>
            <w:gridSpan w:val="2"/>
            <w:shd w:val="clear" w:color="auto" w:fill="auto"/>
            <w:vAlign w:val="center"/>
          </w:tcPr>
          <w:p w14:paraId="60BCD578">
            <w:pPr>
              <w:rPr>
                <w:rFonts w:ascii="仿宋" w:hAnsi="仿宋" w:eastAsia="仿宋" w:cs="仿宋_GB2312"/>
                <w:color w:val="auto"/>
                <w:sz w:val="24"/>
                <w:szCs w:val="24"/>
                <w:highlight w:val="none"/>
              </w:rPr>
            </w:pPr>
          </w:p>
        </w:tc>
        <w:tc>
          <w:tcPr>
            <w:tcW w:w="1984" w:type="dxa"/>
            <w:shd w:val="clear" w:color="auto" w:fill="E0E0E0"/>
            <w:vAlign w:val="center"/>
          </w:tcPr>
          <w:p w14:paraId="38F6A86F">
            <w:pPr>
              <w:jc w:val="center"/>
              <w:rPr>
                <w:rFonts w:ascii="仿宋" w:hAnsi="仿宋" w:eastAsia="仿宋" w:cs="仿宋_GB2312"/>
                <w:color w:val="auto"/>
                <w:sz w:val="24"/>
                <w:szCs w:val="24"/>
                <w:highlight w:val="none"/>
                <w:lang w:val="zh-CN"/>
              </w:rPr>
            </w:pPr>
            <w:r>
              <w:rPr>
                <w:rFonts w:hint="eastAsia" w:ascii="仿宋" w:hAnsi="仿宋" w:eastAsia="仿宋" w:cs="仿宋_GB2312"/>
                <w:color w:val="auto"/>
                <w:sz w:val="24"/>
                <w:szCs w:val="24"/>
                <w:highlight w:val="none"/>
                <w:lang w:val="zh-CN"/>
              </w:rPr>
              <w:t>本阶段终止时间</w:t>
            </w:r>
          </w:p>
        </w:tc>
        <w:tc>
          <w:tcPr>
            <w:tcW w:w="2131" w:type="dxa"/>
            <w:vAlign w:val="center"/>
          </w:tcPr>
          <w:p w14:paraId="4A1AE855">
            <w:pPr>
              <w:rPr>
                <w:rFonts w:ascii="仿宋" w:hAnsi="仿宋" w:eastAsia="仿宋" w:cs="仿宋_GB2312"/>
                <w:color w:val="auto"/>
                <w:sz w:val="24"/>
                <w:szCs w:val="24"/>
                <w:highlight w:val="none"/>
                <w:lang w:val="zh-CN"/>
              </w:rPr>
            </w:pPr>
          </w:p>
        </w:tc>
      </w:tr>
      <w:tr w14:paraId="362AA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shd w:val="clear" w:color="auto" w:fill="E6E6E6"/>
            <w:vAlign w:val="center"/>
          </w:tcPr>
          <w:p w14:paraId="387540FE">
            <w:pPr>
              <w:jc w:val="center"/>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验收时间</w:t>
            </w:r>
          </w:p>
        </w:tc>
        <w:tc>
          <w:tcPr>
            <w:tcW w:w="2410" w:type="dxa"/>
            <w:gridSpan w:val="2"/>
            <w:shd w:val="clear" w:color="auto" w:fill="auto"/>
            <w:vAlign w:val="center"/>
          </w:tcPr>
          <w:p w14:paraId="654E6235">
            <w:pPr>
              <w:rPr>
                <w:rFonts w:ascii="仿宋" w:hAnsi="仿宋" w:eastAsia="仿宋" w:cs="仿宋_GB2312"/>
                <w:color w:val="auto"/>
                <w:sz w:val="24"/>
                <w:szCs w:val="24"/>
                <w:highlight w:val="none"/>
              </w:rPr>
            </w:pPr>
          </w:p>
        </w:tc>
        <w:tc>
          <w:tcPr>
            <w:tcW w:w="1984" w:type="dxa"/>
            <w:shd w:val="clear" w:color="auto" w:fill="E0E0E0"/>
            <w:vAlign w:val="center"/>
          </w:tcPr>
          <w:p w14:paraId="5E1E0613">
            <w:pPr>
              <w:jc w:val="center"/>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验收</w:t>
            </w:r>
            <w:r>
              <w:rPr>
                <w:rFonts w:hint="eastAsia" w:ascii="仿宋" w:hAnsi="仿宋" w:eastAsia="仿宋" w:cs="仿宋_GB2312"/>
                <w:color w:val="auto"/>
                <w:sz w:val="24"/>
                <w:szCs w:val="24"/>
                <w:highlight w:val="none"/>
                <w:lang w:val="zh-CN"/>
              </w:rPr>
              <w:t>地点</w:t>
            </w:r>
          </w:p>
        </w:tc>
        <w:tc>
          <w:tcPr>
            <w:tcW w:w="2131" w:type="dxa"/>
            <w:vAlign w:val="center"/>
          </w:tcPr>
          <w:p w14:paraId="2562E9B2">
            <w:pPr>
              <w:rPr>
                <w:rFonts w:ascii="仿宋" w:hAnsi="仿宋" w:eastAsia="仿宋" w:cs="仿宋_GB2312"/>
                <w:color w:val="auto"/>
                <w:sz w:val="24"/>
                <w:szCs w:val="24"/>
                <w:highlight w:val="none"/>
                <w:lang w:val="zh-CN"/>
              </w:rPr>
            </w:pPr>
          </w:p>
        </w:tc>
      </w:tr>
      <w:tr w14:paraId="5FDF9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0" w:hRule="atLeast"/>
          <w:jc w:val="center"/>
        </w:trPr>
        <w:tc>
          <w:tcPr>
            <w:tcW w:w="8505" w:type="dxa"/>
            <w:gridSpan w:val="5"/>
          </w:tcPr>
          <w:p w14:paraId="3E358B22">
            <w:pPr>
              <w:spacing w:line="440" w:lineRule="exact"/>
              <w:rPr>
                <w:rFonts w:ascii="仿宋" w:hAnsi="仿宋" w:eastAsia="仿宋" w:cs="Times New Roman"/>
                <w:b/>
                <w:color w:val="auto"/>
                <w:sz w:val="24"/>
                <w:szCs w:val="24"/>
                <w:highlight w:val="none"/>
              </w:rPr>
            </w:pPr>
          </w:p>
          <w:p w14:paraId="7171914D">
            <w:pPr>
              <w:spacing w:line="440" w:lineRule="exact"/>
              <w:rPr>
                <w:rFonts w:ascii="仿宋" w:hAnsi="仿宋" w:eastAsia="仿宋" w:cs="Times New Roman"/>
                <w:b/>
                <w:color w:val="auto"/>
                <w:sz w:val="24"/>
                <w:szCs w:val="24"/>
                <w:highlight w:val="none"/>
              </w:rPr>
            </w:pPr>
            <w:r>
              <w:rPr>
                <w:rFonts w:hint="eastAsia" w:ascii="仿宋" w:hAnsi="仿宋" w:eastAsia="仿宋" w:cs="Times New Roman"/>
                <w:b/>
                <w:color w:val="auto"/>
                <w:sz w:val="24"/>
                <w:szCs w:val="24"/>
                <w:highlight w:val="none"/>
              </w:rPr>
              <w:t>实施情况：</w:t>
            </w:r>
          </w:p>
          <w:p w14:paraId="3322F0E0">
            <w:pPr>
              <w:spacing w:line="440" w:lineRule="exact"/>
              <w:rPr>
                <w:rFonts w:ascii="Calibri" w:hAnsi="Calibri" w:eastAsia="宋体" w:cs="Times New Roman"/>
                <w:color w:val="auto"/>
                <w:szCs w:val="24"/>
                <w:highlight w:val="none"/>
              </w:rPr>
            </w:pPr>
          </w:p>
          <w:p w14:paraId="6D330654">
            <w:pPr>
              <w:spacing w:line="440" w:lineRule="exact"/>
              <w:rPr>
                <w:rFonts w:ascii="Calibri" w:hAnsi="Calibri" w:eastAsia="宋体" w:cs="Times New Roman"/>
                <w:color w:val="auto"/>
                <w:szCs w:val="24"/>
                <w:highlight w:val="none"/>
              </w:rPr>
            </w:pPr>
          </w:p>
          <w:p w14:paraId="11B78630">
            <w:pPr>
              <w:spacing w:line="440" w:lineRule="exact"/>
              <w:rPr>
                <w:rFonts w:ascii="仿宋" w:hAnsi="仿宋" w:eastAsia="仿宋" w:cs="仿宋"/>
                <w:color w:val="auto"/>
                <w:szCs w:val="24"/>
                <w:highlight w:val="none"/>
              </w:rPr>
            </w:pPr>
          </w:p>
          <w:p w14:paraId="11A54A4F">
            <w:pPr>
              <w:spacing w:line="440" w:lineRule="exact"/>
              <w:ind w:firstLine="3840" w:firstLineChars="1600"/>
              <w:rPr>
                <w:rFonts w:ascii="仿宋" w:hAnsi="仿宋" w:eastAsia="仿宋" w:cs="Times New Roman"/>
                <w:color w:val="auto"/>
                <w:sz w:val="24"/>
                <w:szCs w:val="24"/>
                <w:highlight w:val="none"/>
              </w:rPr>
            </w:pPr>
            <w:r>
              <w:rPr>
                <w:rFonts w:hint="eastAsia" w:ascii="仿宋" w:hAnsi="仿宋" w:eastAsia="仿宋" w:cs="Times New Roman"/>
                <w:color w:val="auto"/>
                <w:sz w:val="24"/>
                <w:szCs w:val="24"/>
                <w:highlight w:val="none"/>
              </w:rPr>
              <w:t>乙方签字：</w:t>
            </w:r>
          </w:p>
          <w:p w14:paraId="3C7B220F">
            <w:pPr>
              <w:spacing w:line="440" w:lineRule="exact"/>
              <w:ind w:firstLine="3840" w:firstLineChars="1600"/>
              <w:rPr>
                <w:rFonts w:ascii="Calibri" w:hAnsi="Calibri" w:eastAsia="宋体" w:cs="Times New Roman"/>
                <w:color w:val="auto"/>
                <w:szCs w:val="24"/>
                <w:highlight w:val="none"/>
              </w:rPr>
            </w:pPr>
            <w:r>
              <w:rPr>
                <w:rFonts w:hint="eastAsia" w:ascii="仿宋" w:hAnsi="仿宋" w:eastAsia="仿宋" w:cs="Times New Roman"/>
                <w:color w:val="auto"/>
                <w:sz w:val="24"/>
                <w:szCs w:val="24"/>
                <w:highlight w:val="none"/>
              </w:rPr>
              <w:t>日期：</w:t>
            </w:r>
          </w:p>
        </w:tc>
      </w:tr>
      <w:tr w14:paraId="20B9B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5" w:hRule="atLeast"/>
          <w:jc w:val="center"/>
        </w:trPr>
        <w:tc>
          <w:tcPr>
            <w:tcW w:w="8505" w:type="dxa"/>
            <w:gridSpan w:val="5"/>
          </w:tcPr>
          <w:p w14:paraId="6B68A5F1">
            <w:pPr>
              <w:spacing w:line="440" w:lineRule="exact"/>
              <w:rPr>
                <w:rFonts w:ascii="仿宋" w:hAnsi="仿宋" w:eastAsia="仿宋" w:cs="Times New Roman"/>
                <w:b/>
                <w:color w:val="auto"/>
                <w:sz w:val="24"/>
                <w:szCs w:val="24"/>
                <w:highlight w:val="none"/>
              </w:rPr>
            </w:pPr>
          </w:p>
          <w:p w14:paraId="79BAFCB4">
            <w:pPr>
              <w:spacing w:line="440" w:lineRule="exact"/>
              <w:rPr>
                <w:rFonts w:ascii="仿宋" w:hAnsi="仿宋" w:eastAsia="仿宋" w:cs="Times New Roman"/>
                <w:b/>
                <w:color w:val="auto"/>
                <w:sz w:val="24"/>
                <w:szCs w:val="24"/>
                <w:highlight w:val="none"/>
              </w:rPr>
            </w:pPr>
            <w:r>
              <w:rPr>
                <w:rFonts w:hint="eastAsia" w:ascii="仿宋" w:hAnsi="仿宋" w:eastAsia="仿宋" w:cs="Times New Roman"/>
                <w:b/>
                <w:color w:val="auto"/>
                <w:sz w:val="24"/>
                <w:szCs w:val="24"/>
                <w:highlight w:val="none"/>
              </w:rPr>
              <w:t>验收意见：</w:t>
            </w:r>
          </w:p>
          <w:p w14:paraId="4358C3C2">
            <w:pPr>
              <w:spacing w:line="440" w:lineRule="exac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ascii="仿宋" w:hAnsi="仿宋" w:eastAsia="仿宋" w:cs="仿宋"/>
                <w:color w:val="auto"/>
                <w:sz w:val="24"/>
                <w:szCs w:val="24"/>
                <w:highlight w:val="none"/>
              </w:rPr>
              <w:t>.</w:t>
            </w:r>
            <w:r>
              <w:rPr>
                <w:rFonts w:hint="eastAsia" w:ascii="仿宋" w:hAnsi="仿宋" w:eastAsia="仿宋" w:cs="仿宋"/>
                <w:color w:val="auto"/>
                <w:sz w:val="24"/>
                <w:szCs w:val="24"/>
                <w:highlight w:val="none"/>
              </w:rPr>
              <w:t xml:space="preserve">按照合同要求完成本阶段服务内容： </w:t>
            </w:r>
            <w:r>
              <w:rPr>
                <w:rFonts w:ascii="仿宋" w:hAnsi="仿宋" w:eastAsia="仿宋" w:cs="仿宋"/>
                <w:color w:val="auto"/>
                <w:sz w:val="24"/>
                <w:szCs w:val="24"/>
                <w:highlight w:val="none"/>
              </w:rPr>
              <w:t xml:space="preserve">    </w:t>
            </w:r>
            <w:r>
              <w:rPr>
                <w:rFonts w:hint="eastAsia" w:ascii="仿宋" w:hAnsi="仿宋" w:eastAsia="仿宋" w:cs="仿宋_GB2312"/>
                <w:color w:val="auto"/>
                <w:sz w:val="24"/>
                <w:szCs w:val="24"/>
                <w:highlight w:val="none"/>
              </w:rPr>
              <w:t>是[   ]   否[   ]</w:t>
            </w:r>
          </w:p>
          <w:p w14:paraId="660D1AFD">
            <w:pPr>
              <w:spacing w:line="440" w:lineRule="exac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ascii="仿宋" w:hAnsi="仿宋" w:eastAsia="仿宋" w:cs="仿宋"/>
                <w:color w:val="auto"/>
                <w:sz w:val="24"/>
                <w:szCs w:val="24"/>
                <w:highlight w:val="none"/>
              </w:rPr>
              <w:t>.</w:t>
            </w:r>
            <w:r>
              <w:rPr>
                <w:rFonts w:hint="eastAsia" w:ascii="仿宋" w:hAnsi="仿宋" w:eastAsia="仿宋" w:cs="仿宋"/>
                <w:color w:val="auto"/>
                <w:sz w:val="24"/>
                <w:szCs w:val="24"/>
                <w:highlight w:val="none"/>
              </w:rPr>
              <w:t xml:space="preserve">本阶段供应商服务情况： </w:t>
            </w:r>
            <w:r>
              <w:rPr>
                <w:rFonts w:ascii="仿宋" w:hAnsi="仿宋" w:eastAsia="仿宋" w:cs="仿宋"/>
                <w:color w:val="auto"/>
                <w:sz w:val="24"/>
                <w:szCs w:val="24"/>
                <w:highlight w:val="none"/>
              </w:rPr>
              <w:t xml:space="preserve">        </w:t>
            </w:r>
            <w:r>
              <w:rPr>
                <w:rFonts w:hint="eastAsia" w:ascii="仿宋" w:hAnsi="仿宋" w:eastAsia="仿宋" w:cs="仿宋_GB2312"/>
                <w:color w:val="auto"/>
                <w:sz w:val="24"/>
                <w:szCs w:val="24"/>
                <w:highlight w:val="none"/>
              </w:rPr>
              <w:t>合格[   ]   不合格[   ]</w:t>
            </w:r>
          </w:p>
          <w:p w14:paraId="639A8E12">
            <w:pPr>
              <w:spacing w:line="440" w:lineRule="exact"/>
              <w:rPr>
                <w:rFonts w:ascii="仿宋" w:hAnsi="仿宋" w:eastAsia="仿宋" w:cs="仿宋"/>
                <w:color w:val="auto"/>
                <w:sz w:val="24"/>
                <w:szCs w:val="24"/>
                <w:highlight w:val="none"/>
              </w:rPr>
            </w:pPr>
            <w:r>
              <w:rPr>
                <w:rFonts w:ascii="仿宋" w:hAnsi="仿宋" w:eastAsia="仿宋" w:cs="仿宋"/>
                <w:color w:val="auto"/>
                <w:sz w:val="24"/>
                <w:szCs w:val="24"/>
                <w:highlight w:val="none"/>
              </w:rPr>
              <w:t>3.</w:t>
            </w:r>
            <w:r>
              <w:rPr>
                <w:rFonts w:hint="eastAsia" w:ascii="仿宋" w:hAnsi="仿宋" w:eastAsia="仿宋" w:cs="仿宋"/>
                <w:color w:val="auto"/>
                <w:sz w:val="24"/>
                <w:szCs w:val="24"/>
                <w:highlight w:val="none"/>
              </w:rPr>
              <w:t xml:space="preserve">本阶段验收结论： </w:t>
            </w:r>
            <w:r>
              <w:rPr>
                <w:rFonts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rPr>
              <w:t xml:space="preserve"> </w:t>
            </w:r>
            <w:r>
              <w:rPr>
                <w:rFonts w:ascii="仿宋" w:hAnsi="仿宋" w:eastAsia="仿宋" w:cs="仿宋"/>
                <w:color w:val="auto"/>
                <w:sz w:val="24"/>
                <w:szCs w:val="24"/>
                <w:highlight w:val="none"/>
              </w:rPr>
              <w:t xml:space="preserve">            </w:t>
            </w:r>
            <w:r>
              <w:rPr>
                <w:rFonts w:hint="eastAsia" w:ascii="仿宋" w:hAnsi="仿宋" w:eastAsia="仿宋" w:cs="仿宋_GB2312"/>
                <w:color w:val="auto"/>
                <w:sz w:val="24"/>
                <w:szCs w:val="24"/>
                <w:highlight w:val="none"/>
              </w:rPr>
              <w:t>合格[   ]   不合格[   ]</w:t>
            </w:r>
          </w:p>
          <w:p w14:paraId="5CB1AB39">
            <w:pPr>
              <w:spacing w:line="440" w:lineRule="exac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r>
              <w:rPr>
                <w:rFonts w:ascii="仿宋" w:hAnsi="仿宋" w:eastAsia="仿宋" w:cs="仿宋"/>
                <w:color w:val="auto"/>
                <w:sz w:val="24"/>
                <w:szCs w:val="24"/>
                <w:highlight w:val="none"/>
              </w:rPr>
              <w:t>.</w:t>
            </w:r>
            <w:r>
              <w:rPr>
                <w:rFonts w:hint="eastAsia" w:ascii="仿宋" w:hAnsi="仿宋" w:eastAsia="仿宋" w:cs="仿宋"/>
                <w:color w:val="auto"/>
                <w:sz w:val="24"/>
                <w:szCs w:val="24"/>
                <w:highlight w:val="none"/>
              </w:rPr>
              <w:t>供应商履约评价结果（最终付款验收时填写，与所附供应商履约评价表一致，首付款、中期付款验收单中可删除此项）：</w:t>
            </w:r>
          </w:p>
          <w:p w14:paraId="2A82CD86">
            <w:pPr>
              <w:spacing w:line="400" w:lineRule="exact"/>
              <w:ind w:firstLine="240" w:firstLineChars="100"/>
              <w:rPr>
                <w:rFonts w:ascii="仿宋" w:hAnsi="仿宋" w:eastAsia="仿宋" w:cs="仿宋_GB2312"/>
                <w:color w:val="auto"/>
                <w:sz w:val="24"/>
                <w:szCs w:val="24"/>
                <w:highlight w:val="none"/>
              </w:rPr>
            </w:pPr>
            <w:r>
              <w:rPr>
                <w:rFonts w:hint="eastAsia" w:ascii="仿宋" w:hAnsi="仿宋" w:eastAsia="仿宋" w:cs="仿宋"/>
                <w:color w:val="auto"/>
                <w:sz w:val="24"/>
                <w:szCs w:val="24"/>
                <w:highlight w:val="none"/>
              </w:rPr>
              <w:t>优秀</w:t>
            </w:r>
            <w:r>
              <w:rPr>
                <w:rFonts w:hint="eastAsia" w:ascii="仿宋" w:hAnsi="仿宋" w:eastAsia="仿宋" w:cs="仿宋_GB2312"/>
                <w:color w:val="auto"/>
                <w:sz w:val="24"/>
                <w:szCs w:val="24"/>
                <w:highlight w:val="none"/>
              </w:rPr>
              <w:t>[   ]</w:t>
            </w:r>
            <w:r>
              <w:rPr>
                <w:rFonts w:ascii="仿宋" w:hAnsi="仿宋" w:eastAsia="仿宋" w:cs="仿宋_GB2312"/>
                <w:color w:val="auto"/>
                <w:sz w:val="24"/>
                <w:szCs w:val="24"/>
                <w:highlight w:val="none"/>
              </w:rPr>
              <w:t xml:space="preserve"> </w:t>
            </w:r>
            <w:r>
              <w:rPr>
                <w:rFonts w:hint="eastAsia" w:ascii="仿宋" w:hAnsi="仿宋" w:eastAsia="仿宋" w:cs="仿宋_GB2312"/>
                <w:color w:val="auto"/>
                <w:sz w:val="24"/>
                <w:szCs w:val="24"/>
                <w:highlight w:val="none"/>
              </w:rPr>
              <w:t xml:space="preserve">   </w:t>
            </w:r>
            <w:r>
              <w:rPr>
                <w:rFonts w:ascii="仿宋" w:hAnsi="仿宋" w:eastAsia="仿宋" w:cs="仿宋_GB2312"/>
                <w:color w:val="auto"/>
                <w:sz w:val="24"/>
                <w:szCs w:val="24"/>
                <w:highlight w:val="none"/>
              </w:rPr>
              <w:t xml:space="preserve"> </w:t>
            </w:r>
            <w:r>
              <w:rPr>
                <w:rFonts w:hint="eastAsia" w:ascii="仿宋" w:hAnsi="仿宋" w:eastAsia="仿宋" w:cs="仿宋_GB2312"/>
                <w:color w:val="auto"/>
                <w:sz w:val="24"/>
                <w:szCs w:val="24"/>
                <w:highlight w:val="none"/>
              </w:rPr>
              <w:t>一般[   ]</w:t>
            </w:r>
            <w:r>
              <w:rPr>
                <w:rFonts w:ascii="仿宋" w:hAnsi="仿宋" w:eastAsia="仿宋" w:cs="仿宋_GB2312"/>
                <w:color w:val="auto"/>
                <w:sz w:val="24"/>
                <w:szCs w:val="24"/>
                <w:highlight w:val="none"/>
              </w:rPr>
              <w:t xml:space="preserve"> </w:t>
            </w:r>
            <w:r>
              <w:rPr>
                <w:rFonts w:hint="eastAsia" w:ascii="仿宋" w:hAnsi="仿宋" w:eastAsia="仿宋" w:cs="仿宋_GB2312"/>
                <w:color w:val="auto"/>
                <w:sz w:val="24"/>
                <w:szCs w:val="24"/>
                <w:highlight w:val="none"/>
              </w:rPr>
              <w:t xml:space="preserve">   </w:t>
            </w:r>
            <w:r>
              <w:rPr>
                <w:rFonts w:ascii="仿宋" w:hAnsi="仿宋" w:eastAsia="仿宋" w:cs="仿宋_GB2312"/>
                <w:color w:val="auto"/>
                <w:sz w:val="24"/>
                <w:szCs w:val="24"/>
                <w:highlight w:val="none"/>
              </w:rPr>
              <w:t xml:space="preserve"> </w:t>
            </w:r>
            <w:r>
              <w:rPr>
                <w:rFonts w:hint="eastAsia" w:ascii="仿宋" w:hAnsi="仿宋" w:eastAsia="仿宋" w:cs="仿宋_GB2312"/>
                <w:color w:val="auto"/>
                <w:sz w:val="24"/>
                <w:szCs w:val="24"/>
                <w:highlight w:val="none"/>
              </w:rPr>
              <w:t>较差[   ]</w:t>
            </w:r>
          </w:p>
          <w:p w14:paraId="732C0A74">
            <w:pPr>
              <w:spacing w:line="400" w:lineRule="exact"/>
              <w:rPr>
                <w:rFonts w:ascii="仿宋" w:hAnsi="仿宋" w:cs="仿宋"/>
                <w:color w:val="auto"/>
                <w:sz w:val="24"/>
                <w:szCs w:val="24"/>
                <w:highlight w:val="none"/>
              </w:rPr>
            </w:pPr>
            <w:r>
              <w:rPr>
                <w:rFonts w:hint="eastAsia" w:ascii="仿宋" w:hAnsi="仿宋" w:eastAsia="仿宋" w:cs="仿宋"/>
                <w:color w:val="auto"/>
                <w:sz w:val="24"/>
                <w:szCs w:val="24"/>
                <w:highlight w:val="none"/>
              </w:rPr>
              <w:t xml:space="preserve">5.是否配合开展风险评估、配合提供工商信息变更、企业股权变动、管理人员变动、财务经营、涉诉纠纷等经营监测信息： </w:t>
            </w:r>
            <w:r>
              <w:rPr>
                <w:rFonts w:hint="eastAsia" w:ascii="仿宋" w:hAnsi="仿宋" w:eastAsia="仿宋" w:cs="仿宋_GB2312"/>
                <w:color w:val="auto"/>
                <w:sz w:val="24"/>
                <w:szCs w:val="24"/>
                <w:highlight w:val="none"/>
              </w:rPr>
              <w:t>是[   ]  否[   ]</w:t>
            </w:r>
            <w:r>
              <w:rPr>
                <w:rFonts w:hint="eastAsia"/>
                <w:color w:val="auto"/>
                <w:highlight w:val="none"/>
              </w:rPr>
              <w:t xml:space="preserve">  </w:t>
            </w:r>
            <w:r>
              <w:rPr>
                <w:rFonts w:hint="eastAsia" w:ascii="仿宋" w:hAnsi="仿宋" w:eastAsia="仿宋" w:cs="仿宋_GB2312"/>
                <w:color w:val="auto"/>
                <w:sz w:val="24"/>
                <w:szCs w:val="24"/>
                <w:highlight w:val="none"/>
              </w:rPr>
              <w:t>不涉及[   ]</w:t>
            </w:r>
          </w:p>
          <w:p w14:paraId="07A1B668">
            <w:pPr>
              <w:spacing w:line="440" w:lineRule="exact"/>
              <w:rPr>
                <w:rFonts w:ascii="仿宋" w:hAnsi="仿宋" w:eastAsia="仿宋" w:cs="Times New Roman"/>
                <w:color w:val="auto"/>
                <w:sz w:val="24"/>
                <w:szCs w:val="24"/>
                <w:highlight w:val="none"/>
              </w:rPr>
            </w:pPr>
            <w:r>
              <w:rPr>
                <w:rFonts w:hint="eastAsia" w:ascii="仿宋" w:hAnsi="仿宋" w:eastAsia="仿宋" w:cs="仿宋"/>
                <w:color w:val="auto"/>
                <w:sz w:val="24"/>
                <w:szCs w:val="24"/>
                <w:highlight w:val="none"/>
              </w:rPr>
              <w:t>6</w:t>
            </w:r>
            <w:r>
              <w:rPr>
                <w:rFonts w:ascii="仿宋" w:hAnsi="仿宋" w:eastAsia="仿宋" w:cs="仿宋"/>
                <w:color w:val="auto"/>
                <w:sz w:val="24"/>
                <w:szCs w:val="24"/>
                <w:highlight w:val="none"/>
              </w:rPr>
              <w:t>.</w:t>
            </w:r>
            <w:r>
              <w:rPr>
                <w:rFonts w:hint="eastAsia" w:ascii="仿宋" w:hAnsi="仿宋" w:eastAsia="仿宋" w:cs="仿宋"/>
                <w:color w:val="auto"/>
                <w:sz w:val="24"/>
                <w:szCs w:val="24"/>
                <w:highlight w:val="none"/>
              </w:rPr>
              <w:t xml:space="preserve">其他意见： </w:t>
            </w:r>
          </w:p>
          <w:p w14:paraId="165A9B08">
            <w:pPr>
              <w:spacing w:line="440" w:lineRule="exact"/>
              <w:rPr>
                <w:rFonts w:ascii="仿宋" w:hAnsi="仿宋" w:eastAsia="仿宋" w:cs="Times New Roman"/>
                <w:color w:val="auto"/>
                <w:sz w:val="24"/>
                <w:szCs w:val="24"/>
                <w:highlight w:val="none"/>
              </w:rPr>
            </w:pPr>
          </w:p>
        </w:tc>
      </w:tr>
      <w:tr w14:paraId="03211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5" w:hRule="atLeast"/>
          <w:jc w:val="center"/>
        </w:trPr>
        <w:tc>
          <w:tcPr>
            <w:tcW w:w="4252" w:type="dxa"/>
            <w:gridSpan w:val="2"/>
          </w:tcPr>
          <w:p w14:paraId="1EB50C6A">
            <w:pPr>
              <w:spacing w:line="360" w:lineRule="auto"/>
              <w:rPr>
                <w:rFonts w:ascii="仿宋" w:hAnsi="仿宋" w:eastAsia="仿宋" w:cs="仿宋_GB2312"/>
                <w:color w:val="auto"/>
                <w:sz w:val="24"/>
                <w:szCs w:val="24"/>
                <w:highlight w:val="none"/>
              </w:rPr>
            </w:pPr>
          </w:p>
          <w:p w14:paraId="5855C595">
            <w:pPr>
              <w:spacing w:line="360" w:lineRule="auto"/>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甲方：成方金融科技有限公司</w:t>
            </w:r>
            <w:r>
              <w:rPr>
                <w:rFonts w:hint="eastAsia" w:ascii="仿宋" w:hAnsi="仿宋" w:eastAsia="仿宋" w:cs="仿宋_GB2312"/>
                <w:color w:val="auto"/>
                <w:sz w:val="24"/>
                <w:szCs w:val="24"/>
                <w:highlight w:val="none"/>
                <w:lang w:val="en-US" w:eastAsia="zh-CN"/>
              </w:rPr>
              <w:t>上海分公司</w:t>
            </w:r>
            <w:r>
              <w:rPr>
                <w:rFonts w:hint="eastAsia" w:ascii="仿宋" w:hAnsi="仿宋" w:eastAsia="仿宋" w:cs="仿宋_GB2312"/>
                <w:color w:val="auto"/>
                <w:sz w:val="24"/>
                <w:szCs w:val="24"/>
                <w:highlight w:val="none"/>
              </w:rPr>
              <w:t>（盖章）</w:t>
            </w:r>
          </w:p>
          <w:p w14:paraId="2E585094">
            <w:pPr>
              <w:spacing w:line="360" w:lineRule="auto"/>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经办人（双人）签字：</w:t>
            </w:r>
          </w:p>
          <w:p w14:paraId="0B12EBE3">
            <w:pPr>
              <w:spacing w:line="440" w:lineRule="exact"/>
              <w:rPr>
                <w:rFonts w:ascii="仿宋" w:hAnsi="仿宋" w:eastAsia="仿宋" w:cs="Times New Roman"/>
                <w:b/>
                <w:color w:val="auto"/>
                <w:sz w:val="24"/>
                <w:szCs w:val="24"/>
                <w:highlight w:val="none"/>
              </w:rPr>
            </w:pPr>
            <w:r>
              <w:rPr>
                <w:rFonts w:hint="eastAsia" w:ascii="仿宋" w:hAnsi="仿宋" w:eastAsia="仿宋" w:cs="仿宋_GB2312"/>
                <w:color w:val="auto"/>
                <w:sz w:val="24"/>
                <w:szCs w:val="24"/>
                <w:highlight w:val="none"/>
              </w:rPr>
              <w:t>日期：</w:t>
            </w:r>
          </w:p>
        </w:tc>
        <w:tc>
          <w:tcPr>
            <w:tcW w:w="4253" w:type="dxa"/>
            <w:gridSpan w:val="3"/>
          </w:tcPr>
          <w:p w14:paraId="25B3164A">
            <w:pPr>
              <w:spacing w:line="360" w:lineRule="auto"/>
              <w:rPr>
                <w:rFonts w:ascii="仿宋" w:hAnsi="仿宋" w:eastAsia="仿宋" w:cs="仿宋_GB2312"/>
                <w:color w:val="auto"/>
                <w:sz w:val="24"/>
                <w:szCs w:val="24"/>
                <w:highlight w:val="none"/>
              </w:rPr>
            </w:pPr>
          </w:p>
          <w:p w14:paraId="38AECB62">
            <w:pPr>
              <w:spacing w:line="360" w:lineRule="auto"/>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乙方：__________________（盖章）</w:t>
            </w:r>
          </w:p>
          <w:p w14:paraId="52500FB5">
            <w:pPr>
              <w:spacing w:line="360" w:lineRule="auto"/>
              <w:rPr>
                <w:rFonts w:ascii="仿宋" w:hAnsi="仿宋" w:eastAsia="仿宋" w:cs="仿宋_GB2312"/>
                <w:color w:val="auto"/>
                <w:sz w:val="24"/>
                <w:szCs w:val="24"/>
                <w:highlight w:val="none"/>
              </w:rPr>
            </w:pPr>
            <w:r>
              <w:rPr>
                <w:rFonts w:hint="eastAsia" w:ascii="仿宋" w:hAnsi="仿宋" w:eastAsia="仿宋" w:cs="仿宋_GB2312"/>
                <w:color w:val="auto"/>
                <w:sz w:val="24"/>
                <w:szCs w:val="24"/>
                <w:highlight w:val="none"/>
              </w:rPr>
              <w:t>经办人签字：</w:t>
            </w:r>
          </w:p>
          <w:p w14:paraId="4A66840E">
            <w:pPr>
              <w:spacing w:line="440" w:lineRule="exact"/>
              <w:rPr>
                <w:rFonts w:ascii="仿宋" w:hAnsi="仿宋" w:eastAsia="仿宋" w:cs="Times New Roman"/>
                <w:b/>
                <w:color w:val="auto"/>
                <w:sz w:val="24"/>
                <w:szCs w:val="24"/>
                <w:highlight w:val="none"/>
              </w:rPr>
            </w:pPr>
            <w:r>
              <w:rPr>
                <w:rFonts w:hint="eastAsia" w:ascii="仿宋" w:hAnsi="仿宋" w:eastAsia="仿宋" w:cs="仿宋_GB2312"/>
                <w:color w:val="auto"/>
                <w:sz w:val="24"/>
                <w:szCs w:val="24"/>
                <w:highlight w:val="none"/>
              </w:rPr>
              <w:t>日期：</w:t>
            </w:r>
          </w:p>
        </w:tc>
      </w:tr>
    </w:tbl>
    <w:p w14:paraId="2473818D">
      <w:pPr>
        <w:rPr>
          <w:color w:val="auto"/>
          <w:highlight w:val="none"/>
        </w:rPr>
      </w:pPr>
      <w:r>
        <w:rPr>
          <w:rFonts w:hint="eastAsia" w:ascii="仿宋" w:hAnsi="仿宋" w:eastAsia="仿宋" w:cs="Times New Roman"/>
          <w:color w:val="auto"/>
          <w:sz w:val="24"/>
          <w:szCs w:val="24"/>
          <w:highlight w:val="none"/>
        </w:rPr>
        <w:t>注：可根据实际情况调整验收合格单内容。</w:t>
      </w:r>
    </w:p>
    <w:p w14:paraId="120DD75D">
      <w:pPr>
        <w:spacing w:line="800" w:lineRule="exact"/>
        <w:rPr>
          <w:rFonts w:ascii="仿宋_GB2312" w:hAnsi="Calibri" w:eastAsia="仿宋_GB2312" w:cs="Times New Roman"/>
          <w:color w:val="000000" w:themeColor="text1"/>
          <w:szCs w:val="24"/>
          <w:highlight w:val="none"/>
          <w14:textFill>
            <w14:solidFill>
              <w14:schemeClr w14:val="tx1"/>
            </w14:solidFill>
          </w14:textFill>
        </w:rPr>
      </w:pPr>
    </w:p>
    <w:p w14:paraId="351A74C5">
      <w:pPr>
        <w:spacing w:line="800" w:lineRule="exact"/>
        <w:rPr>
          <w:rFonts w:ascii="仿宋_GB2312" w:hAnsi="Calibri" w:eastAsia="仿宋_GB2312" w:cs="Times New Roman"/>
          <w:color w:val="000000" w:themeColor="text1"/>
          <w:szCs w:val="24"/>
          <w:highlight w:val="none"/>
          <w14:textFill>
            <w14:solidFill>
              <w14:schemeClr w14:val="tx1"/>
            </w14:solidFill>
          </w14:textFill>
        </w:rPr>
      </w:pPr>
    </w:p>
    <w:p w14:paraId="0114757E">
      <w:pPr>
        <w:spacing w:line="800" w:lineRule="exact"/>
        <w:rPr>
          <w:rFonts w:ascii="仿宋_GB2312" w:hAnsi="Calibri" w:eastAsia="仿宋_GB2312" w:cs="Times New Roman"/>
          <w:color w:val="000000" w:themeColor="text1"/>
          <w:szCs w:val="24"/>
          <w:highlight w:val="none"/>
          <w14:textFill>
            <w14:solidFill>
              <w14:schemeClr w14:val="tx1"/>
            </w14:solidFill>
          </w14:textFill>
        </w:rPr>
      </w:pPr>
    </w:p>
    <w:bookmarkEnd w:id="55"/>
    <w:bookmarkEnd w:id="56"/>
    <w:p w14:paraId="690473C6">
      <w:pPr>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pPr>
      <w:bookmarkStart w:id="100" w:name="_Toc112522732"/>
      <w:bookmarkStart w:id="101" w:name="_Toc135999005"/>
      <w:bookmarkStart w:id="102" w:name="_Toc161767427"/>
      <w:bookmarkStart w:id="103" w:name="_Toc198090559"/>
      <w:r>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br w:type="page"/>
      </w:r>
    </w:p>
    <w:p w14:paraId="4D791846">
      <w:pPr>
        <w:pStyle w:val="3"/>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sectPr>
          <w:footerReference r:id="rId8" w:type="default"/>
          <w:pgSz w:w="11905" w:h="16838"/>
          <w:pgMar w:top="1440" w:right="1417" w:bottom="1440" w:left="1417" w:header="850" w:footer="992" w:gutter="0"/>
          <w:pgNumType w:fmt="decimal"/>
          <w:cols w:space="720" w:num="1"/>
          <w:docGrid w:type="lines" w:linePitch="317" w:charSpace="0"/>
        </w:sectPr>
      </w:pPr>
      <w:r>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t>第五章 技术/服务需求书</w:t>
      </w:r>
      <w:bookmarkEnd w:id="100"/>
    </w:p>
    <w:p w14:paraId="09B965DB">
      <w:pPr>
        <w:spacing w:line="360" w:lineRule="auto"/>
        <w:ind w:firstLine="482" w:firstLineChars="200"/>
        <w:jc w:val="left"/>
        <w:outlineLvl w:val="1"/>
        <w:rPr>
          <w:rFonts w:hint="default" w:ascii="Times New Roman Regular" w:hAnsi="Times New Roman Regular" w:eastAsia="宋体" w:cs="Times New Roman Regular"/>
          <w:b/>
          <w:bCs/>
          <w:i/>
          <w:iCs/>
          <w:color w:val="000000" w:themeColor="text1"/>
          <w:sz w:val="24"/>
          <w:szCs w:val="24"/>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 w:val="24"/>
          <w:szCs w:val="24"/>
          <w:highlight w:val="none"/>
          <w14:textFill>
            <w14:solidFill>
              <w14:schemeClr w14:val="tx1"/>
            </w14:solidFill>
          </w14:textFill>
        </w:rPr>
        <w:t>（一）项目概况</w:t>
      </w:r>
    </w:p>
    <w:tbl>
      <w:tblPr>
        <w:tblStyle w:val="2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1533"/>
        <w:gridCol w:w="6917"/>
      </w:tblGrid>
      <w:tr w14:paraId="3C07F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50" w:type="pct"/>
            <w:shd w:val="clear" w:color="auto" w:fill="FFFFFF" w:themeFill="background1"/>
            <w:vAlign w:val="center"/>
          </w:tcPr>
          <w:p w14:paraId="28854506">
            <w:pPr>
              <w:spacing w:line="360" w:lineRule="auto"/>
              <w:jc w:val="cente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t>序号</w:t>
            </w:r>
          </w:p>
        </w:tc>
        <w:tc>
          <w:tcPr>
            <w:tcW w:w="825" w:type="pct"/>
            <w:shd w:val="clear" w:color="auto" w:fill="FFFFFF" w:themeFill="background1"/>
            <w:vAlign w:val="center"/>
          </w:tcPr>
          <w:p w14:paraId="1BB5AF14">
            <w:pPr>
              <w:spacing w:line="360" w:lineRule="auto"/>
              <w:jc w:val="cente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t>内 容</w:t>
            </w:r>
          </w:p>
        </w:tc>
        <w:tc>
          <w:tcPr>
            <w:tcW w:w="3723" w:type="pct"/>
            <w:shd w:val="clear" w:color="auto" w:fill="FFFFFF" w:themeFill="background1"/>
            <w:vAlign w:val="center"/>
          </w:tcPr>
          <w:p w14:paraId="240A5913">
            <w:pPr>
              <w:spacing w:line="360" w:lineRule="auto"/>
              <w:jc w:val="cente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t>说    明</w:t>
            </w:r>
          </w:p>
        </w:tc>
      </w:tr>
      <w:tr w14:paraId="62497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50" w:type="pct"/>
            <w:vAlign w:val="center"/>
          </w:tcPr>
          <w:p w14:paraId="191B4CD9">
            <w:pPr>
              <w:spacing w:line="360" w:lineRule="auto"/>
              <w:jc w:val="cente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1</w:t>
            </w:r>
          </w:p>
        </w:tc>
        <w:tc>
          <w:tcPr>
            <w:tcW w:w="825" w:type="pct"/>
            <w:vAlign w:val="center"/>
          </w:tcPr>
          <w:p w14:paraId="475FDCA0">
            <w:pPr>
              <w:spacing w:line="360" w:lineRule="auto"/>
              <w:jc w:val="cente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项目目标</w:t>
            </w:r>
          </w:p>
        </w:tc>
        <w:tc>
          <w:tcPr>
            <w:tcW w:w="3723" w:type="pct"/>
            <w:vAlign w:val="center"/>
          </w:tcPr>
          <w:p w14:paraId="4541CD75">
            <w:pPr>
              <w:spacing w:line="360" w:lineRule="auto"/>
              <w:jc w:val="left"/>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在数据平台系统实现债券、外汇、利率、大宗、信用等公司各业务系统数据通过数据同步软件功能实现实时接入、实时监测、实时分析相关功能。</w:t>
            </w:r>
          </w:p>
        </w:tc>
      </w:tr>
      <w:tr w14:paraId="1BAF8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450" w:type="pct"/>
            <w:vAlign w:val="center"/>
          </w:tcPr>
          <w:p w14:paraId="1537B4F8">
            <w:pPr>
              <w:spacing w:line="360" w:lineRule="auto"/>
              <w:jc w:val="cente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2</w:t>
            </w:r>
          </w:p>
        </w:tc>
        <w:tc>
          <w:tcPr>
            <w:tcW w:w="825" w:type="pct"/>
            <w:vAlign w:val="center"/>
          </w:tcPr>
          <w:p w14:paraId="152654D4">
            <w:pPr>
              <w:spacing w:line="360" w:lineRule="auto"/>
              <w:jc w:val="cente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项目内容</w:t>
            </w:r>
          </w:p>
        </w:tc>
        <w:tc>
          <w:tcPr>
            <w:tcW w:w="3723" w:type="pct"/>
            <w:vAlign w:val="center"/>
          </w:tcPr>
          <w:p w14:paraId="40C3DCFE">
            <w:pPr>
              <w:spacing w:line="360" w:lineRule="auto"/>
              <w:ind w:firstLine="0" w:firstLineChars="0"/>
              <w:jc w:val="left"/>
              <w:rPr>
                <w:rFonts w:hint="eastAsia" w:ascii="Times New Roman Regular" w:hAnsi="Times New Roman Regular" w:eastAsia="宋体" w:cs="Times New Roman Regular"/>
                <w:color w:val="000000" w:themeColor="text1"/>
                <w:sz w:val="21"/>
                <w:szCs w:val="21"/>
                <w:highlight w:val="none"/>
                <w:lang w:eastAsia="zh-CN"/>
                <w14:textFill>
                  <w14:solidFill>
                    <w14:schemeClr w14:val="tx1"/>
                  </w14:solidFill>
                </w14:textFill>
              </w:rPr>
            </w:pPr>
            <w:r>
              <w:rPr>
                <w:rFonts w:hint="eastAsia" w:ascii="Times New Roman Regular" w:hAnsi="Times New Roman Regular" w:eastAsia="宋体" w:cs="Times New Roman Regular"/>
                <w:color w:val="000000" w:themeColor="text1"/>
                <w:sz w:val="21"/>
                <w:szCs w:val="21"/>
                <w:highlight w:val="none"/>
                <w:lang w:eastAsia="zh-CN"/>
                <w14:textFill>
                  <w14:solidFill>
                    <w14:schemeClr w14:val="tx1"/>
                  </w14:solidFill>
                </w14:textFill>
              </w:rPr>
              <w:t>数据平台系统数据质量管理模块的升级改造系统建设。一是数据同步软件；二是技术开发服务（含1年免费维保），实现数据的实时分析和实时监测。</w:t>
            </w:r>
          </w:p>
        </w:tc>
      </w:tr>
      <w:tr w14:paraId="023E6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50" w:type="pct"/>
            <w:vAlign w:val="center"/>
          </w:tcPr>
          <w:p w14:paraId="385FDFE8">
            <w:pPr>
              <w:spacing w:line="360" w:lineRule="auto"/>
              <w:jc w:val="cente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3</w:t>
            </w:r>
          </w:p>
        </w:tc>
        <w:tc>
          <w:tcPr>
            <w:tcW w:w="825" w:type="pct"/>
            <w:vAlign w:val="center"/>
          </w:tcPr>
          <w:p w14:paraId="511D979B">
            <w:pPr>
              <w:spacing w:line="360" w:lineRule="auto"/>
              <w:jc w:val="cente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项目范围</w:t>
            </w:r>
          </w:p>
        </w:tc>
        <w:tc>
          <w:tcPr>
            <w:tcW w:w="3723" w:type="pct"/>
            <w:vAlign w:val="center"/>
          </w:tcPr>
          <w:p w14:paraId="49901010">
            <w:pPr>
              <w:spacing w:line="360" w:lineRule="auto"/>
              <w:ind w:firstLine="0" w:firstLineChars="0"/>
              <w:jc w:val="left"/>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完成数据平台系统实时监测项目研发编码、单元自测、技术测试支持、验收测试支持、投产及上线技术支持等工作。</w:t>
            </w:r>
          </w:p>
        </w:tc>
      </w:tr>
    </w:tbl>
    <w:p w14:paraId="511CC9E4">
      <w:pPr>
        <w:numPr>
          <w:ilvl w:val="0"/>
          <w:numId w:val="0"/>
        </w:numPr>
        <w:spacing w:line="360" w:lineRule="auto"/>
        <w:ind w:firstLine="420" w:firstLineChars="200"/>
        <w:jc w:val="left"/>
        <w:outlineLvl w:val="1"/>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2"/>
          <w:sz w:val="21"/>
          <w:highlight w:val="none"/>
          <w:lang w:val="en-US" w:eastAsia="zh-CN" w:bidi="ar-SA"/>
          <w14:textFill>
            <w14:solidFill>
              <w14:schemeClr w14:val="tx1"/>
            </w14:solidFill>
          </w14:textFill>
        </w:rPr>
        <w:t>（二）</w:t>
      </w:r>
      <w:r>
        <w:rPr>
          <w:rFonts w:hint="default" w:ascii="Times New Roman Regular" w:hAnsi="Times New Roman Regular" w:eastAsia="宋体" w:cs="Times New Roman Regular"/>
          <w:b/>
          <w:bCs/>
          <w:color w:val="000000" w:themeColor="text1"/>
          <w:sz w:val="24"/>
          <w:szCs w:val="24"/>
          <w:highlight w:val="none"/>
          <w14:textFill>
            <w14:solidFill>
              <w14:schemeClr w14:val="tx1"/>
            </w14:solidFill>
          </w14:textFill>
        </w:rPr>
        <w:t>采购标的汇总表</w:t>
      </w:r>
    </w:p>
    <w:tbl>
      <w:tblPr>
        <w:tblStyle w:val="2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1388"/>
        <w:gridCol w:w="1503"/>
        <w:gridCol w:w="957"/>
        <w:gridCol w:w="806"/>
        <w:gridCol w:w="901"/>
        <w:gridCol w:w="1118"/>
        <w:gridCol w:w="1867"/>
      </w:tblGrid>
      <w:tr w14:paraId="7EB7F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7" w:hRule="atLeast"/>
          <w:jc w:val="center"/>
        </w:trPr>
        <w:tc>
          <w:tcPr>
            <w:tcW w:w="399" w:type="pct"/>
            <w:vAlign w:val="center"/>
          </w:tcPr>
          <w:p w14:paraId="0B76843D">
            <w:pPr>
              <w:spacing w:line="360" w:lineRule="auto"/>
              <w:ind w:firstLine="0"/>
              <w:jc w:val="cente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t>序号</w:t>
            </w:r>
          </w:p>
        </w:tc>
        <w:tc>
          <w:tcPr>
            <w:tcW w:w="747" w:type="pct"/>
            <w:vAlign w:val="center"/>
          </w:tcPr>
          <w:p w14:paraId="5CBBC963">
            <w:pPr>
              <w:spacing w:line="360" w:lineRule="auto"/>
              <w:ind w:firstLine="0"/>
              <w:jc w:val="cente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t>标的名称</w:t>
            </w:r>
          </w:p>
        </w:tc>
        <w:tc>
          <w:tcPr>
            <w:tcW w:w="809" w:type="pct"/>
            <w:vAlign w:val="center"/>
          </w:tcPr>
          <w:p w14:paraId="2B29C1C5">
            <w:pPr>
              <w:spacing w:line="360" w:lineRule="auto"/>
              <w:ind w:firstLine="0"/>
              <w:jc w:val="cente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t>品目分类编码</w:t>
            </w:r>
          </w:p>
        </w:tc>
        <w:tc>
          <w:tcPr>
            <w:tcW w:w="515" w:type="pct"/>
            <w:vAlign w:val="center"/>
          </w:tcPr>
          <w:p w14:paraId="7BFB5E22">
            <w:pPr>
              <w:spacing w:line="360" w:lineRule="auto"/>
              <w:ind w:firstLine="0"/>
              <w:jc w:val="cente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t>计量单位</w:t>
            </w:r>
          </w:p>
        </w:tc>
        <w:tc>
          <w:tcPr>
            <w:tcW w:w="434" w:type="pct"/>
            <w:vAlign w:val="center"/>
          </w:tcPr>
          <w:p w14:paraId="755727B3">
            <w:pPr>
              <w:spacing w:line="360" w:lineRule="auto"/>
              <w:ind w:firstLine="0"/>
              <w:jc w:val="cente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t>数量</w:t>
            </w:r>
          </w:p>
        </w:tc>
        <w:tc>
          <w:tcPr>
            <w:tcW w:w="485" w:type="pct"/>
            <w:vAlign w:val="center"/>
          </w:tcPr>
          <w:p w14:paraId="2B9AE6DB">
            <w:pPr>
              <w:spacing w:line="360" w:lineRule="auto"/>
              <w:ind w:firstLine="0"/>
              <w:jc w:val="cente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t>是否进口</w:t>
            </w:r>
          </w:p>
        </w:tc>
        <w:tc>
          <w:tcPr>
            <w:tcW w:w="602" w:type="pct"/>
            <w:vAlign w:val="center"/>
          </w:tcPr>
          <w:p w14:paraId="70971787">
            <w:pPr>
              <w:spacing w:line="360" w:lineRule="auto"/>
              <w:ind w:firstLine="0"/>
              <w:jc w:val="cente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t>是否核心产品</w:t>
            </w:r>
          </w:p>
        </w:tc>
        <w:tc>
          <w:tcPr>
            <w:tcW w:w="1005" w:type="pct"/>
            <w:vAlign w:val="center"/>
          </w:tcPr>
          <w:p w14:paraId="6F6E8A2E">
            <w:pPr>
              <w:spacing w:line="360" w:lineRule="auto"/>
              <w:ind w:firstLine="0"/>
              <w:jc w:val="cente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t>最高限价</w:t>
            </w:r>
          </w:p>
        </w:tc>
      </w:tr>
      <w:tr w14:paraId="6172B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741" w:type="dxa"/>
            <w:vAlign w:val="center"/>
          </w:tcPr>
          <w:p w14:paraId="72532EC1">
            <w:pPr>
              <w:spacing w:line="360" w:lineRule="auto"/>
              <w:ind w:firstLine="0"/>
              <w:jc w:val="center"/>
              <w:rPr>
                <w:rFonts w:hint="default"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pPr>
            <w:r>
              <w:rPr>
                <w:rFonts w:hint="eastAsia" w:ascii="Times New Roman Regular" w:hAnsi="Times New Roman Regular" w:eastAsia="宋体" w:cs="Times New Roman Regular"/>
                <w:b w:val="0"/>
                <w:bCs/>
                <w:color w:val="000000" w:themeColor="text1"/>
                <w:sz w:val="21"/>
                <w:szCs w:val="21"/>
                <w:highlight w:val="none"/>
                <w14:textFill>
                  <w14:solidFill>
                    <w14:schemeClr w14:val="tx1"/>
                  </w14:solidFill>
                </w14:textFill>
              </w:rPr>
              <w:t>1</w:t>
            </w:r>
          </w:p>
        </w:tc>
        <w:tc>
          <w:tcPr>
            <w:tcW w:w="1388" w:type="dxa"/>
            <w:vAlign w:val="center"/>
          </w:tcPr>
          <w:p w14:paraId="7C35A5E9">
            <w:pPr>
              <w:spacing w:line="360" w:lineRule="auto"/>
              <w:ind w:firstLine="0"/>
              <w:jc w:val="center"/>
              <w:rPr>
                <w:rFonts w:hint="default"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pPr>
            <w:r>
              <w:rPr>
                <w:rFonts w:hint="eastAsia" w:ascii="Times New Roman Regular" w:hAnsi="Times New Roman Regular" w:eastAsia="宋体" w:cs="Times New Roman Regular"/>
                <w:b w:val="0"/>
                <w:bCs/>
                <w:color w:val="000000" w:themeColor="text1"/>
                <w:sz w:val="21"/>
                <w:szCs w:val="21"/>
                <w:highlight w:val="none"/>
                <w14:textFill>
                  <w14:solidFill>
                    <w14:schemeClr w14:val="tx1"/>
                  </w14:solidFill>
                </w14:textFill>
              </w:rPr>
              <w:t>行业应用软件开发服务</w:t>
            </w:r>
          </w:p>
        </w:tc>
        <w:tc>
          <w:tcPr>
            <w:tcW w:w="1503" w:type="dxa"/>
            <w:vAlign w:val="center"/>
          </w:tcPr>
          <w:p w14:paraId="312AC8F7">
            <w:pPr>
              <w:spacing w:line="360" w:lineRule="auto"/>
              <w:ind w:firstLine="0"/>
              <w:jc w:val="center"/>
              <w:rPr>
                <w:rFonts w:hint="default"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pPr>
            <w:r>
              <w:rPr>
                <w:rFonts w:hint="default" w:ascii="Times New Roman Regular" w:hAnsi="Times New Roman Regular" w:eastAsia="宋体" w:cs="Times New Roman Regular"/>
                <w:b w:val="0"/>
                <w:bCs/>
                <w:color w:val="000000" w:themeColor="text1"/>
                <w:sz w:val="21"/>
                <w:szCs w:val="21"/>
                <w:highlight w:val="none"/>
                <w14:textFill>
                  <w14:solidFill>
                    <w14:schemeClr w14:val="tx1"/>
                  </w14:solidFill>
                </w14:textFill>
              </w:rPr>
              <w:t>C16010302</w:t>
            </w:r>
          </w:p>
        </w:tc>
        <w:tc>
          <w:tcPr>
            <w:tcW w:w="957" w:type="dxa"/>
            <w:vAlign w:val="center"/>
          </w:tcPr>
          <w:p w14:paraId="516C862B">
            <w:pPr>
              <w:spacing w:line="360" w:lineRule="auto"/>
              <w:ind w:firstLine="0"/>
              <w:jc w:val="center"/>
              <w:rPr>
                <w:rFonts w:hint="default"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pPr>
            <w:r>
              <w:rPr>
                <w:rFonts w:hint="eastAsia" w:ascii="Times New Roman Regular" w:hAnsi="Times New Roman Regular" w:eastAsia="宋体" w:cs="Times New Roman Regular"/>
                <w:b w:val="0"/>
                <w:bCs/>
                <w:color w:val="000000" w:themeColor="text1"/>
                <w:sz w:val="21"/>
                <w:szCs w:val="21"/>
                <w:highlight w:val="none"/>
                <w14:textFill>
                  <w14:solidFill>
                    <w14:schemeClr w14:val="tx1"/>
                  </w14:solidFill>
                </w14:textFill>
              </w:rPr>
              <w:t>项</w:t>
            </w:r>
          </w:p>
        </w:tc>
        <w:tc>
          <w:tcPr>
            <w:tcW w:w="806" w:type="dxa"/>
            <w:vAlign w:val="center"/>
          </w:tcPr>
          <w:p w14:paraId="4B6402AD">
            <w:pPr>
              <w:spacing w:line="360" w:lineRule="auto"/>
              <w:ind w:firstLine="0"/>
              <w:jc w:val="center"/>
              <w:rPr>
                <w:rFonts w:hint="default"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pPr>
            <w:r>
              <w:rPr>
                <w:rFonts w:hint="eastAsia" w:ascii="Times New Roman Regular" w:hAnsi="Times New Roman Regular" w:eastAsia="宋体" w:cs="Times New Roman Regular"/>
                <w:b w:val="0"/>
                <w:bCs/>
                <w:color w:val="000000" w:themeColor="text1"/>
                <w:sz w:val="21"/>
                <w:szCs w:val="21"/>
                <w:highlight w:val="none"/>
                <w14:textFill>
                  <w14:solidFill>
                    <w14:schemeClr w14:val="tx1"/>
                  </w14:solidFill>
                </w14:textFill>
              </w:rPr>
              <w:t>1</w:t>
            </w:r>
          </w:p>
        </w:tc>
        <w:tc>
          <w:tcPr>
            <w:tcW w:w="901" w:type="dxa"/>
            <w:vAlign w:val="center"/>
          </w:tcPr>
          <w:p w14:paraId="56C785A2">
            <w:pPr>
              <w:spacing w:line="360" w:lineRule="auto"/>
              <w:ind w:firstLine="0"/>
              <w:jc w:val="center"/>
              <w:rPr>
                <w:rFonts w:hint="default"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pPr>
            <w:r>
              <w:rPr>
                <w:rFonts w:hint="eastAsia" w:ascii="Times New Roman Regular" w:hAnsi="Times New Roman Regular" w:eastAsia="宋体" w:cs="Times New Roman Regular"/>
                <w:b w:val="0"/>
                <w:bCs/>
                <w:color w:val="000000" w:themeColor="text1"/>
                <w:sz w:val="21"/>
                <w:szCs w:val="21"/>
                <w:highlight w:val="none"/>
                <w14:textFill>
                  <w14:solidFill>
                    <w14:schemeClr w14:val="tx1"/>
                  </w14:solidFill>
                </w14:textFill>
              </w:rPr>
              <w:t>否</w:t>
            </w:r>
          </w:p>
        </w:tc>
        <w:tc>
          <w:tcPr>
            <w:tcW w:w="1118" w:type="dxa"/>
            <w:vAlign w:val="center"/>
          </w:tcPr>
          <w:p w14:paraId="3F5E6913">
            <w:pPr>
              <w:spacing w:line="360" w:lineRule="auto"/>
              <w:ind w:firstLine="0"/>
              <w:jc w:val="center"/>
              <w:rPr>
                <w:rFonts w:hint="default"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pPr>
            <w:r>
              <w:rPr>
                <w:rFonts w:hint="eastAsia" w:ascii="Times New Roman Regular" w:hAnsi="Times New Roman Regular" w:eastAsia="宋体" w:cs="Times New Roman Regular"/>
                <w:b w:val="0"/>
                <w:bCs/>
                <w:color w:val="000000" w:themeColor="text1"/>
                <w:sz w:val="21"/>
                <w:szCs w:val="21"/>
                <w:highlight w:val="none"/>
                <w14:textFill>
                  <w14:solidFill>
                    <w14:schemeClr w14:val="tx1"/>
                  </w14:solidFill>
                </w14:textFill>
              </w:rPr>
              <w:t>否</w:t>
            </w:r>
          </w:p>
        </w:tc>
        <w:tc>
          <w:tcPr>
            <w:tcW w:w="1867" w:type="dxa"/>
            <w:vAlign w:val="center"/>
          </w:tcPr>
          <w:p w14:paraId="0F58EC6C">
            <w:pPr>
              <w:spacing w:line="360" w:lineRule="auto"/>
              <w:ind w:firstLine="0"/>
              <w:jc w:val="center"/>
              <w:rPr>
                <w:rFonts w:hint="default"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pPr>
            <w:r>
              <w:rPr>
                <w:rFonts w:hint="eastAsia"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t>124</w:t>
            </w:r>
            <w:r>
              <w:rPr>
                <w:rFonts w:hint="eastAsia" w:ascii="Times New Roman Regular" w:hAnsi="Times New Roman Regular" w:eastAsia="宋体" w:cs="Times New Roman Regular"/>
                <w:b w:val="0"/>
                <w:bCs/>
                <w:color w:val="000000" w:themeColor="text1"/>
                <w:sz w:val="21"/>
                <w:szCs w:val="21"/>
                <w:highlight w:val="none"/>
                <w14:textFill>
                  <w14:solidFill>
                    <w14:schemeClr w14:val="tx1"/>
                  </w14:solidFill>
                </w14:textFill>
              </w:rPr>
              <w:t>.56万元</w:t>
            </w:r>
          </w:p>
        </w:tc>
      </w:tr>
      <w:tr w14:paraId="0D97B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741" w:type="dxa"/>
            <w:vAlign w:val="center"/>
          </w:tcPr>
          <w:p w14:paraId="3FD72101">
            <w:pPr>
              <w:spacing w:line="360" w:lineRule="auto"/>
              <w:ind w:firstLine="0"/>
              <w:jc w:val="center"/>
              <w:rPr>
                <w:rFonts w:hint="default"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pPr>
            <w:r>
              <w:rPr>
                <w:rFonts w:hint="eastAsia"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t>2</w:t>
            </w:r>
          </w:p>
        </w:tc>
        <w:tc>
          <w:tcPr>
            <w:tcW w:w="1388" w:type="dxa"/>
            <w:vAlign w:val="center"/>
          </w:tcPr>
          <w:p w14:paraId="6A722C21">
            <w:pPr>
              <w:spacing w:line="360" w:lineRule="auto"/>
              <w:ind w:firstLine="0"/>
              <w:jc w:val="center"/>
              <w:rPr>
                <w:rFonts w:hint="default"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pPr>
            <w:r>
              <w:rPr>
                <w:rFonts w:hint="eastAsia"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t>应用软件</w:t>
            </w:r>
          </w:p>
        </w:tc>
        <w:tc>
          <w:tcPr>
            <w:tcW w:w="1503" w:type="dxa"/>
            <w:vAlign w:val="center"/>
          </w:tcPr>
          <w:p w14:paraId="4888264F">
            <w:pPr>
              <w:spacing w:line="360" w:lineRule="auto"/>
              <w:ind w:firstLine="0"/>
              <w:jc w:val="center"/>
              <w:rPr>
                <w:rFonts w:hint="default"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pPr>
            <w:r>
              <w:rPr>
                <w:rFonts w:hint="eastAsia" w:ascii="Times New Roman Regular" w:hAnsi="Times New Roman Regular" w:eastAsia="宋体" w:cs="Times New Roman Regular"/>
                <w:b w:val="0"/>
                <w:bCs/>
                <w:color w:val="000000" w:themeColor="text1"/>
                <w:sz w:val="21"/>
                <w:szCs w:val="21"/>
                <w:highlight w:val="none"/>
                <w14:textFill>
                  <w14:solidFill>
                    <w14:schemeClr w14:val="tx1"/>
                  </w14:solidFill>
                </w14:textFill>
              </w:rPr>
              <w:t>A08060303</w:t>
            </w:r>
          </w:p>
        </w:tc>
        <w:tc>
          <w:tcPr>
            <w:tcW w:w="957" w:type="dxa"/>
            <w:vAlign w:val="center"/>
          </w:tcPr>
          <w:p w14:paraId="0DD67C4A">
            <w:pPr>
              <w:spacing w:line="360" w:lineRule="auto"/>
              <w:ind w:firstLine="0"/>
              <w:jc w:val="center"/>
              <w:rPr>
                <w:rFonts w:hint="default"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pPr>
            <w:r>
              <w:rPr>
                <w:rFonts w:hint="eastAsia" w:ascii="Times New Roman Regular" w:hAnsi="Times New Roman Regular" w:eastAsia="宋体" w:cs="Times New Roman Regular"/>
                <w:b w:val="0"/>
                <w:bCs/>
                <w:color w:val="000000" w:themeColor="text1"/>
                <w:sz w:val="21"/>
                <w:szCs w:val="21"/>
                <w:highlight w:val="none"/>
                <w14:textFill>
                  <w14:solidFill>
                    <w14:schemeClr w14:val="tx1"/>
                  </w14:solidFill>
                </w14:textFill>
              </w:rPr>
              <w:t>项</w:t>
            </w:r>
          </w:p>
        </w:tc>
        <w:tc>
          <w:tcPr>
            <w:tcW w:w="806" w:type="dxa"/>
            <w:vAlign w:val="center"/>
          </w:tcPr>
          <w:p w14:paraId="2F35C15B">
            <w:pPr>
              <w:spacing w:line="360" w:lineRule="auto"/>
              <w:ind w:firstLine="0"/>
              <w:jc w:val="center"/>
              <w:rPr>
                <w:rFonts w:hint="eastAsia"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pPr>
            <w:r>
              <w:rPr>
                <w:rFonts w:hint="eastAsia"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t>1</w:t>
            </w:r>
          </w:p>
        </w:tc>
        <w:tc>
          <w:tcPr>
            <w:tcW w:w="901" w:type="dxa"/>
            <w:vAlign w:val="center"/>
          </w:tcPr>
          <w:p w14:paraId="5D03B0CC">
            <w:pPr>
              <w:spacing w:line="360" w:lineRule="auto"/>
              <w:ind w:firstLine="0"/>
              <w:jc w:val="center"/>
              <w:rPr>
                <w:rFonts w:hint="eastAsia"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pPr>
            <w:r>
              <w:rPr>
                <w:rFonts w:hint="eastAsia" w:ascii="Times New Roman Regular" w:hAnsi="Times New Roman Regular" w:eastAsia="宋体" w:cs="Times New Roman Regular"/>
                <w:b w:val="0"/>
                <w:bCs/>
                <w:color w:val="000000" w:themeColor="text1"/>
                <w:sz w:val="21"/>
                <w:szCs w:val="21"/>
                <w:highlight w:val="none"/>
                <w14:textFill>
                  <w14:solidFill>
                    <w14:schemeClr w14:val="tx1"/>
                  </w14:solidFill>
                </w14:textFill>
              </w:rPr>
              <w:t>否</w:t>
            </w:r>
          </w:p>
        </w:tc>
        <w:tc>
          <w:tcPr>
            <w:tcW w:w="1118" w:type="dxa"/>
            <w:vAlign w:val="center"/>
          </w:tcPr>
          <w:p w14:paraId="2E6AC407">
            <w:pPr>
              <w:spacing w:line="360" w:lineRule="auto"/>
              <w:ind w:firstLine="0"/>
              <w:jc w:val="center"/>
              <w:rPr>
                <w:rFonts w:hint="eastAsia"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pPr>
            <w:r>
              <w:rPr>
                <w:rFonts w:hint="eastAsia" w:ascii="Times New Roman Regular" w:hAnsi="Times New Roman Regular" w:eastAsia="宋体" w:cs="Times New Roman Regular"/>
                <w:b w:val="0"/>
                <w:bCs/>
                <w:color w:val="000000" w:themeColor="text1"/>
                <w:sz w:val="21"/>
                <w:szCs w:val="21"/>
                <w:highlight w:val="none"/>
                <w14:textFill>
                  <w14:solidFill>
                    <w14:schemeClr w14:val="tx1"/>
                  </w14:solidFill>
                </w14:textFill>
              </w:rPr>
              <w:t>否</w:t>
            </w:r>
          </w:p>
        </w:tc>
        <w:tc>
          <w:tcPr>
            <w:tcW w:w="1867" w:type="dxa"/>
            <w:vAlign w:val="center"/>
          </w:tcPr>
          <w:p w14:paraId="2CAE0F10">
            <w:pPr>
              <w:spacing w:line="360" w:lineRule="auto"/>
              <w:ind w:firstLine="0"/>
              <w:jc w:val="center"/>
              <w:rPr>
                <w:rFonts w:hint="eastAsia"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pPr>
            <w:r>
              <w:rPr>
                <w:rFonts w:hint="eastAsia" w:ascii="Times New Roman Regular" w:hAnsi="Times New Roman Regular" w:eastAsia="宋体" w:cs="Times New Roman Regular"/>
                <w:b w:val="0"/>
                <w:bCs/>
                <w:color w:val="000000" w:themeColor="text1"/>
                <w:sz w:val="21"/>
                <w:szCs w:val="21"/>
                <w:highlight w:val="none"/>
                <w:lang w:val="en-US" w:eastAsia="zh-CN"/>
                <w14:textFill>
                  <w14:solidFill>
                    <w14:schemeClr w14:val="tx1"/>
                  </w14:solidFill>
                </w14:textFill>
              </w:rPr>
              <w:t>120万元</w:t>
            </w:r>
          </w:p>
        </w:tc>
      </w:tr>
    </w:tbl>
    <w:p w14:paraId="3F0E67F3">
      <w:pPr>
        <w:numPr>
          <w:ilvl w:val="-1"/>
          <w:numId w:val="0"/>
        </w:numPr>
        <w:spacing w:line="360" w:lineRule="auto"/>
        <w:ind w:firstLine="482" w:firstLineChars="200"/>
        <w:jc w:val="left"/>
        <w:outlineLvl w:val="1"/>
        <w:rPr>
          <w:rFonts w:hint="default" w:ascii="Times New Roman Regular" w:hAnsi="Times New Roman Regular" w:eastAsia="宋体" w:cs="Times New Roman Regular"/>
          <w:b/>
          <w:bCs/>
          <w:color w:val="000000" w:themeColor="text1"/>
          <w:sz w:val="24"/>
          <w:szCs w:val="24"/>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 w:val="24"/>
          <w:szCs w:val="24"/>
          <w:highlight w:val="none"/>
          <w:lang w:eastAsia="zh-CN"/>
          <w14:textFill>
            <w14:solidFill>
              <w14:schemeClr w14:val="tx1"/>
            </w14:solidFill>
          </w14:textFill>
        </w:rPr>
        <w:t>（</w:t>
      </w:r>
      <w:r>
        <w:rPr>
          <w:rFonts w:hint="default" w:ascii="Times New Roman Regular" w:hAnsi="Times New Roman Regular" w:eastAsia="宋体" w:cs="Times New Roman Regular"/>
          <w:b/>
          <w:bCs/>
          <w:color w:val="000000" w:themeColor="text1"/>
          <w:sz w:val="24"/>
          <w:szCs w:val="24"/>
          <w:highlight w:val="none"/>
          <w:lang w:val="en-US" w:eastAsia="zh-CN"/>
          <w14:textFill>
            <w14:solidFill>
              <w14:schemeClr w14:val="tx1"/>
            </w14:solidFill>
          </w14:textFill>
        </w:rPr>
        <w:t>三</w:t>
      </w:r>
      <w:r>
        <w:rPr>
          <w:rFonts w:hint="default" w:ascii="Times New Roman Regular" w:hAnsi="Times New Roman Regular" w:eastAsia="宋体" w:cs="Times New Roman Regular"/>
          <w:b/>
          <w:bCs/>
          <w:color w:val="000000" w:themeColor="text1"/>
          <w:sz w:val="24"/>
          <w:szCs w:val="24"/>
          <w:highlight w:val="none"/>
          <w:lang w:eastAsia="zh-CN"/>
          <w14:textFill>
            <w14:solidFill>
              <w14:schemeClr w14:val="tx1"/>
            </w14:solidFill>
          </w14:textFill>
        </w:rPr>
        <w:t>）</w:t>
      </w:r>
      <w:r>
        <w:rPr>
          <w:rFonts w:hint="default" w:ascii="Times New Roman Regular" w:hAnsi="Times New Roman Regular" w:eastAsia="宋体" w:cs="Times New Roman Regular"/>
          <w:b/>
          <w:bCs/>
          <w:color w:val="000000" w:themeColor="text1"/>
          <w:sz w:val="24"/>
          <w:szCs w:val="24"/>
          <w:highlight w:val="none"/>
          <w14:textFill>
            <w14:solidFill>
              <w14:schemeClr w14:val="tx1"/>
            </w14:solidFill>
          </w14:textFill>
        </w:rPr>
        <w:t>技术（服务）及商务要求</w:t>
      </w:r>
    </w:p>
    <w:p w14:paraId="26B6B88F">
      <w:pPr>
        <w:spacing w:line="360" w:lineRule="auto"/>
        <w:ind w:left="-2" w:firstLine="420" w:firstLineChars="200"/>
        <w:jc w:val="left"/>
        <w:outlineLvl w:val="2"/>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1.技术要求</w:t>
      </w:r>
    </w:p>
    <w:p w14:paraId="51E02809">
      <w:pPr>
        <w:spacing w:line="360" w:lineRule="auto"/>
        <w:ind w:firstLine="420" w:firstLineChars="200"/>
        <w:rPr>
          <w:rFonts w:hint="default" w:ascii="Times New Roman Regular" w:hAnsi="Times New Roman Regular" w:eastAsia="宋体" w:cs="Times New Roman Regular"/>
          <w:iCs/>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iCs/>
          <w:color w:val="000000" w:themeColor="text1"/>
          <w:sz w:val="21"/>
          <w:szCs w:val="21"/>
          <w:highlight w:val="none"/>
          <w14:textFill>
            <w14:solidFill>
              <w14:schemeClr w14:val="tx1"/>
            </w14:solidFill>
          </w14:textFill>
        </w:rPr>
        <w:t>本技术要求共有“★”指标</w:t>
      </w:r>
      <w:r>
        <w:rPr>
          <w:rFonts w:hint="default" w:ascii="Times New Roman Regular" w:hAnsi="Times New Roman Regular" w:eastAsia="宋体" w:cs="Times New Roman Regular"/>
          <w:iCs/>
          <w:color w:val="000000" w:themeColor="text1"/>
          <w:sz w:val="21"/>
          <w:szCs w:val="21"/>
          <w:highlight w:val="none"/>
          <w:u w:val="single"/>
          <w14:textFill>
            <w14:solidFill>
              <w14:schemeClr w14:val="tx1"/>
            </w14:solidFill>
          </w14:textFill>
        </w:rPr>
        <w:t xml:space="preserve"> </w:t>
      </w:r>
      <w:r>
        <w:rPr>
          <w:rFonts w:hint="eastAsia" w:ascii="Times New Roman Regular" w:hAnsi="Times New Roman Regular" w:cs="Times New Roman Regular"/>
          <w:iCs/>
          <w:color w:val="000000" w:themeColor="text1"/>
          <w:sz w:val="21"/>
          <w:szCs w:val="21"/>
          <w:highlight w:val="none"/>
          <w:u w:val="single"/>
          <w:lang w:val="en-US" w:eastAsia="zh-CN"/>
          <w14:textFill>
            <w14:solidFill>
              <w14:schemeClr w14:val="tx1"/>
            </w14:solidFill>
          </w14:textFill>
        </w:rPr>
        <w:t>4</w:t>
      </w:r>
      <w:r>
        <w:rPr>
          <w:rFonts w:hint="default" w:ascii="Times New Roman Regular" w:hAnsi="Times New Roman Regular" w:eastAsia="宋体" w:cs="Times New Roman Regular"/>
          <w:iCs/>
          <w:color w:val="000000" w:themeColor="text1"/>
          <w:sz w:val="21"/>
          <w:szCs w:val="21"/>
          <w:highlight w:val="none"/>
          <w:u w:val="single"/>
          <w14:textFill>
            <w14:solidFill>
              <w14:schemeClr w14:val="tx1"/>
            </w14:solidFill>
          </w14:textFill>
        </w:rPr>
        <w:t xml:space="preserve"> </w:t>
      </w:r>
      <w:r>
        <w:rPr>
          <w:rFonts w:hint="default" w:ascii="Times New Roman Regular" w:hAnsi="Times New Roman Regular" w:eastAsia="宋体" w:cs="Times New Roman Regular"/>
          <w:iCs/>
          <w:color w:val="000000" w:themeColor="text1"/>
          <w:sz w:val="21"/>
          <w:szCs w:val="21"/>
          <w:highlight w:val="none"/>
          <w14:textFill>
            <w14:solidFill>
              <w14:schemeClr w14:val="tx1"/>
            </w14:solidFill>
          </w14:textFill>
        </w:rPr>
        <w:t>项，“#”指标</w:t>
      </w:r>
      <w:r>
        <w:rPr>
          <w:rFonts w:hint="default" w:ascii="Times New Roman Regular" w:hAnsi="Times New Roman Regular" w:eastAsia="宋体" w:cs="Times New Roman Regular"/>
          <w:iCs/>
          <w:color w:val="000000" w:themeColor="text1"/>
          <w:sz w:val="21"/>
          <w:szCs w:val="21"/>
          <w:highlight w:val="none"/>
          <w:u w:val="single"/>
          <w14:textFill>
            <w14:solidFill>
              <w14:schemeClr w14:val="tx1"/>
            </w14:solidFill>
          </w14:textFill>
        </w:rPr>
        <w:t xml:space="preserve"> </w:t>
      </w:r>
      <w:r>
        <w:rPr>
          <w:rFonts w:hint="eastAsia" w:ascii="Times New Roman Regular" w:hAnsi="Times New Roman Regular" w:cs="Times New Roman Regular"/>
          <w:iCs/>
          <w:color w:val="000000" w:themeColor="text1"/>
          <w:sz w:val="21"/>
          <w:szCs w:val="21"/>
          <w:highlight w:val="none"/>
          <w:u w:val="single"/>
          <w:lang w:val="en-US" w:eastAsia="zh-CN"/>
          <w14:textFill>
            <w14:solidFill>
              <w14:schemeClr w14:val="tx1"/>
            </w14:solidFill>
          </w14:textFill>
        </w:rPr>
        <w:t>5</w:t>
      </w:r>
      <w:r>
        <w:rPr>
          <w:rFonts w:hint="default" w:ascii="Times New Roman Regular" w:hAnsi="Times New Roman Regular" w:eastAsia="宋体" w:cs="Times New Roman Regular"/>
          <w:iCs/>
          <w:color w:val="000000" w:themeColor="text1"/>
          <w:sz w:val="21"/>
          <w:szCs w:val="21"/>
          <w:highlight w:val="none"/>
          <w:u w:val="single"/>
          <w14:textFill>
            <w14:solidFill>
              <w14:schemeClr w14:val="tx1"/>
            </w14:solidFill>
          </w14:textFill>
        </w:rPr>
        <w:t xml:space="preserve"> </w:t>
      </w:r>
      <w:r>
        <w:rPr>
          <w:rFonts w:hint="default" w:ascii="Times New Roman Regular" w:hAnsi="Times New Roman Regular" w:eastAsia="宋体" w:cs="Times New Roman Regular"/>
          <w:iCs/>
          <w:color w:val="000000" w:themeColor="text1"/>
          <w:sz w:val="21"/>
          <w:szCs w:val="21"/>
          <w:highlight w:val="none"/>
          <w14:textFill>
            <w14:solidFill>
              <w14:schemeClr w14:val="tx1"/>
            </w14:solidFill>
          </w14:textFill>
        </w:rPr>
        <w:t>项，“△”指标</w:t>
      </w:r>
      <w:r>
        <w:rPr>
          <w:rFonts w:hint="default" w:ascii="Times New Roman Regular" w:hAnsi="Times New Roman Regular" w:eastAsia="宋体" w:cs="Times New Roman Regular"/>
          <w:iCs/>
          <w:color w:val="000000" w:themeColor="text1"/>
          <w:sz w:val="21"/>
          <w:szCs w:val="21"/>
          <w:highlight w:val="none"/>
          <w:u w:val="single"/>
          <w14:textFill>
            <w14:solidFill>
              <w14:schemeClr w14:val="tx1"/>
            </w14:solidFill>
          </w14:textFill>
        </w:rPr>
        <w:t xml:space="preserve"> </w:t>
      </w:r>
      <w:r>
        <w:rPr>
          <w:rFonts w:hint="default" w:ascii="Times New Roman Regular" w:hAnsi="Times New Roman Regular" w:eastAsia="宋体" w:cs="Times New Roman Regular"/>
          <w:iCs/>
          <w:color w:val="000000" w:themeColor="text1"/>
          <w:sz w:val="21"/>
          <w:szCs w:val="21"/>
          <w:highlight w:val="none"/>
          <w:u w:val="single"/>
          <w:lang w:val="en-US" w:eastAsia="zh-CN"/>
          <w14:textFill>
            <w14:solidFill>
              <w14:schemeClr w14:val="tx1"/>
            </w14:solidFill>
          </w14:textFill>
        </w:rPr>
        <w:t>0</w:t>
      </w:r>
      <w:r>
        <w:rPr>
          <w:rFonts w:hint="default" w:ascii="Times New Roman Regular" w:hAnsi="Times New Roman Regular" w:eastAsia="宋体" w:cs="Times New Roman Regular"/>
          <w:iCs/>
          <w:color w:val="000000" w:themeColor="text1"/>
          <w:sz w:val="21"/>
          <w:szCs w:val="21"/>
          <w:highlight w:val="none"/>
          <w:u w:val="single"/>
          <w14:textFill>
            <w14:solidFill>
              <w14:schemeClr w14:val="tx1"/>
            </w14:solidFill>
          </w14:textFill>
        </w:rPr>
        <w:t xml:space="preserve"> </w:t>
      </w:r>
      <w:r>
        <w:rPr>
          <w:rFonts w:hint="default" w:ascii="Times New Roman Regular" w:hAnsi="Times New Roman Regular" w:eastAsia="宋体" w:cs="Times New Roman Regular"/>
          <w:iCs/>
          <w:color w:val="000000" w:themeColor="text1"/>
          <w:sz w:val="21"/>
          <w:szCs w:val="21"/>
          <w:highlight w:val="none"/>
          <w14:textFill>
            <w14:solidFill>
              <w14:schemeClr w14:val="tx1"/>
            </w14:solidFill>
          </w14:textFill>
        </w:rPr>
        <w:t>项</w:t>
      </w:r>
    </w:p>
    <w:tbl>
      <w:tblPr>
        <w:tblStyle w:val="25"/>
        <w:tblW w:w="8794" w:type="dxa"/>
        <w:tblInd w:w="-10" w:type="dxa"/>
        <w:tblLayout w:type="fixed"/>
        <w:tblCellMar>
          <w:top w:w="0" w:type="dxa"/>
          <w:left w:w="0" w:type="dxa"/>
          <w:bottom w:w="0" w:type="dxa"/>
          <w:right w:w="0" w:type="dxa"/>
        </w:tblCellMar>
      </w:tblPr>
      <w:tblGrid>
        <w:gridCol w:w="714"/>
        <w:gridCol w:w="909"/>
        <w:gridCol w:w="1902"/>
        <w:gridCol w:w="3379"/>
        <w:gridCol w:w="1890"/>
      </w:tblGrid>
      <w:tr w14:paraId="038B9117">
        <w:tblPrEx>
          <w:tblCellMar>
            <w:top w:w="0" w:type="dxa"/>
            <w:left w:w="0" w:type="dxa"/>
            <w:bottom w:w="0" w:type="dxa"/>
            <w:right w:w="0" w:type="dxa"/>
          </w:tblCellMar>
        </w:tblPrEx>
        <w:trPr>
          <w:trHeight w:val="20" w:hRule="atLeast"/>
          <w:tblHeader/>
        </w:trPr>
        <w:tc>
          <w:tcPr>
            <w:tcW w:w="714" w:type="dxa"/>
            <w:tcBorders>
              <w:top w:val="single" w:color="000000" w:sz="4" w:space="0"/>
              <w:left w:val="single" w:color="000000" w:sz="4" w:space="0"/>
              <w:bottom w:val="single" w:color="000000" w:sz="4" w:space="0"/>
              <w:right w:val="single" w:color="000000" w:sz="4" w:space="0"/>
            </w:tcBorders>
            <w:vAlign w:val="center"/>
          </w:tcPr>
          <w:p w14:paraId="45F50AF8">
            <w:pPr>
              <w:spacing w:line="360" w:lineRule="auto"/>
              <w:ind w:firstLine="0"/>
              <w:jc w:val="cente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eastAsia" w:ascii="Times New Roman Regular" w:hAnsi="Times New Roman Regular" w:eastAsia="宋体" w:cs="Times New Roman Regular"/>
                <w:b/>
                <w:color w:val="000000" w:themeColor="text1"/>
                <w:sz w:val="21"/>
                <w:szCs w:val="21"/>
                <w:highlight w:val="none"/>
                <w14:textFill>
                  <w14:solidFill>
                    <w14:schemeClr w14:val="tx1"/>
                  </w14:solidFill>
                </w14:textFill>
              </w:rPr>
              <w:t>序号</w:t>
            </w:r>
          </w:p>
        </w:tc>
        <w:tc>
          <w:tcPr>
            <w:tcW w:w="909" w:type="dxa"/>
            <w:tcBorders>
              <w:top w:val="single" w:color="000000" w:sz="4" w:space="0"/>
              <w:left w:val="single" w:color="000000" w:sz="4" w:space="0"/>
              <w:bottom w:val="single" w:color="000000" w:sz="4" w:space="0"/>
              <w:right w:val="single" w:color="000000" w:sz="4" w:space="0"/>
            </w:tcBorders>
            <w:vAlign w:val="center"/>
          </w:tcPr>
          <w:p w14:paraId="702F5B34">
            <w:pPr>
              <w:spacing w:line="360" w:lineRule="auto"/>
              <w:ind w:firstLine="0"/>
              <w:jc w:val="cente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eastAsia" w:ascii="Times New Roman Regular" w:hAnsi="Times New Roman Regular" w:eastAsia="宋体" w:cs="Times New Roman Regular"/>
                <w:b/>
                <w:color w:val="000000" w:themeColor="text1"/>
                <w:sz w:val="21"/>
                <w:szCs w:val="21"/>
                <w:highlight w:val="none"/>
                <w14:textFill>
                  <w14:solidFill>
                    <w14:schemeClr w14:val="tx1"/>
                  </w14:solidFill>
                </w14:textFill>
              </w:rPr>
              <w:t>重要性</w:t>
            </w:r>
          </w:p>
        </w:tc>
        <w:tc>
          <w:tcPr>
            <w:tcW w:w="1902" w:type="dxa"/>
            <w:tcBorders>
              <w:top w:val="single" w:color="000000" w:sz="4" w:space="0"/>
              <w:left w:val="single" w:color="000000" w:sz="4" w:space="0"/>
              <w:bottom w:val="single" w:color="000000" w:sz="4" w:space="0"/>
              <w:right w:val="single" w:color="000000" w:sz="4" w:space="0"/>
            </w:tcBorders>
            <w:vAlign w:val="center"/>
          </w:tcPr>
          <w:p w14:paraId="4FAD5229">
            <w:pPr>
              <w:spacing w:line="360" w:lineRule="auto"/>
              <w:ind w:firstLine="0"/>
              <w:jc w:val="cente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eastAsia" w:ascii="Times New Roman Regular" w:hAnsi="Times New Roman Regular" w:eastAsia="宋体" w:cs="Times New Roman Regular"/>
                <w:b/>
                <w:color w:val="000000" w:themeColor="text1"/>
                <w:sz w:val="21"/>
                <w:szCs w:val="21"/>
                <w:highlight w:val="none"/>
                <w14:textFill>
                  <w14:solidFill>
                    <w14:schemeClr w14:val="tx1"/>
                  </w14:solidFill>
                </w14:textFill>
              </w:rPr>
              <w:t>指标项</w:t>
            </w:r>
          </w:p>
        </w:tc>
        <w:tc>
          <w:tcPr>
            <w:tcW w:w="3379" w:type="dxa"/>
            <w:tcBorders>
              <w:top w:val="single" w:color="000000" w:sz="4" w:space="0"/>
              <w:left w:val="single" w:color="000000" w:sz="4" w:space="0"/>
              <w:bottom w:val="single" w:color="000000" w:sz="4" w:space="0"/>
              <w:right w:val="single" w:color="000000" w:sz="4" w:space="0"/>
            </w:tcBorders>
            <w:vAlign w:val="center"/>
          </w:tcPr>
          <w:p w14:paraId="5A8BB096">
            <w:pPr>
              <w:spacing w:line="360" w:lineRule="auto"/>
              <w:ind w:firstLine="0"/>
              <w:jc w:val="cente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eastAsia" w:ascii="Times New Roman Regular" w:hAnsi="Times New Roman Regular" w:eastAsia="宋体" w:cs="Times New Roman Regular"/>
                <w:b/>
                <w:color w:val="000000" w:themeColor="text1"/>
                <w:sz w:val="21"/>
                <w:szCs w:val="21"/>
                <w:highlight w:val="none"/>
                <w14:textFill>
                  <w14:solidFill>
                    <w14:schemeClr w14:val="tx1"/>
                  </w14:solidFill>
                </w14:textFill>
              </w:rPr>
              <w:t>指标要求</w:t>
            </w:r>
          </w:p>
        </w:tc>
        <w:tc>
          <w:tcPr>
            <w:tcW w:w="1890" w:type="dxa"/>
            <w:tcBorders>
              <w:top w:val="single" w:color="000000" w:sz="4" w:space="0"/>
              <w:left w:val="single" w:color="000000" w:sz="4" w:space="0"/>
              <w:bottom w:val="single" w:color="000000" w:sz="4" w:space="0"/>
              <w:right w:val="single" w:color="000000" w:sz="4" w:space="0"/>
            </w:tcBorders>
            <w:vAlign w:val="center"/>
          </w:tcPr>
          <w:p w14:paraId="6EAE1337">
            <w:pPr>
              <w:spacing w:line="360" w:lineRule="auto"/>
              <w:ind w:firstLine="0"/>
              <w:jc w:val="cente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eastAsia" w:ascii="Times New Roman Regular" w:hAnsi="Times New Roman Regular" w:eastAsia="宋体" w:cs="Times New Roman Regular"/>
                <w:b/>
                <w:color w:val="000000" w:themeColor="text1"/>
                <w:sz w:val="21"/>
                <w:szCs w:val="21"/>
                <w:highlight w:val="none"/>
                <w14:textFill>
                  <w14:solidFill>
                    <w14:schemeClr w14:val="tx1"/>
                  </w14:solidFill>
                </w14:textFill>
              </w:rPr>
              <w:t>是否</w:t>
            </w:r>
            <w:r>
              <w:rPr>
                <w:rFonts w:hint="default" w:ascii="Times New Roman Regular" w:hAnsi="Times New Roman Regular" w:eastAsia="宋体" w:cs="Times New Roman Regular"/>
                <w:b/>
                <w:color w:val="000000" w:themeColor="text1"/>
                <w:sz w:val="21"/>
                <w:szCs w:val="21"/>
                <w:highlight w:val="none"/>
                <w14:textFill>
                  <w14:solidFill>
                    <w14:schemeClr w14:val="tx1"/>
                  </w14:solidFill>
                </w14:textFill>
              </w:rPr>
              <w:t>提供证明材料</w:t>
            </w:r>
            <w:r>
              <w:rPr>
                <w:rFonts w:hint="eastAsia" w:ascii="Times New Roman Regular" w:hAnsi="Times New Roman Regular" w:eastAsia="宋体" w:cs="Times New Roman Regular"/>
                <w:b/>
                <w:color w:val="000000" w:themeColor="text1"/>
                <w:sz w:val="21"/>
                <w:szCs w:val="21"/>
                <w:highlight w:val="none"/>
                <w14:textFill>
                  <w14:solidFill>
                    <w14:schemeClr w14:val="tx1"/>
                  </w14:solidFill>
                </w14:textFill>
              </w:rPr>
              <w:t>及方式</w:t>
            </w:r>
          </w:p>
        </w:tc>
      </w:tr>
      <w:tr w14:paraId="17BDB0F0">
        <w:tblPrEx>
          <w:tblCellMar>
            <w:top w:w="0" w:type="dxa"/>
            <w:left w:w="0" w:type="dxa"/>
            <w:bottom w:w="0" w:type="dxa"/>
            <w:right w:w="0" w:type="dxa"/>
          </w:tblCellMar>
        </w:tblPrEx>
        <w:trPr>
          <w:trHeight w:val="20" w:hRule="atLeast"/>
        </w:trPr>
        <w:tc>
          <w:tcPr>
            <w:tcW w:w="714" w:type="dxa"/>
            <w:tcBorders>
              <w:top w:val="single" w:color="000000" w:sz="4" w:space="0"/>
              <w:left w:val="single" w:color="000000" w:sz="4" w:space="0"/>
              <w:bottom w:val="single" w:color="000000" w:sz="4" w:space="0"/>
              <w:right w:val="single" w:color="000000" w:sz="4" w:space="0"/>
            </w:tcBorders>
            <w:vAlign w:val="center"/>
          </w:tcPr>
          <w:p w14:paraId="7C8243F1">
            <w:pPr>
              <w:widowControl/>
              <w:jc w:val="center"/>
              <w:textAlignment w:val="center"/>
              <w:rPr>
                <w:rFonts w:hint="default"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1</w:t>
            </w:r>
          </w:p>
        </w:tc>
        <w:tc>
          <w:tcPr>
            <w:tcW w:w="909" w:type="dxa"/>
            <w:tcBorders>
              <w:top w:val="single" w:color="000000" w:sz="4" w:space="0"/>
              <w:left w:val="single" w:color="000000" w:sz="4" w:space="0"/>
              <w:bottom w:val="single" w:color="000000" w:sz="4" w:space="0"/>
              <w:right w:val="single" w:color="000000" w:sz="4" w:space="0"/>
            </w:tcBorders>
            <w:vAlign w:val="center"/>
          </w:tcPr>
          <w:p w14:paraId="25BFE557">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w:t>
            </w:r>
          </w:p>
        </w:tc>
        <w:tc>
          <w:tcPr>
            <w:tcW w:w="1902" w:type="dxa"/>
            <w:tcBorders>
              <w:top w:val="single" w:color="000000" w:sz="4" w:space="0"/>
              <w:left w:val="single" w:color="000000" w:sz="4" w:space="0"/>
              <w:bottom w:val="single" w:color="000000" w:sz="4" w:space="0"/>
              <w:right w:val="single" w:color="000000" w:sz="4" w:space="0"/>
            </w:tcBorders>
            <w:vAlign w:val="center"/>
          </w:tcPr>
          <w:p w14:paraId="48306804">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技术架构实现</w:t>
            </w:r>
          </w:p>
        </w:tc>
        <w:tc>
          <w:tcPr>
            <w:tcW w:w="3379" w:type="dxa"/>
            <w:tcBorders>
              <w:top w:val="single" w:color="000000" w:sz="4" w:space="0"/>
              <w:left w:val="single" w:color="000000" w:sz="4" w:space="0"/>
              <w:bottom w:val="single" w:color="000000" w:sz="4" w:space="0"/>
              <w:right w:val="single" w:color="000000" w:sz="4" w:space="0"/>
            </w:tcBorders>
            <w:vAlign w:val="center"/>
          </w:tcPr>
          <w:p w14:paraId="59D70640">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项目应基于系统已有技术架构进行开发，内容包含：</w:t>
            </w:r>
          </w:p>
          <w:p w14:paraId="3F17FB73">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批处理技术：基于Maxcomputer+Dataworks、Datahub+Flink+Hologres开发，实时处理数据；</w:t>
            </w:r>
          </w:p>
          <w:p w14:paraId="59A64C80">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前后端框架：前端框架基于开源vue开发，后端基于java主流框架开发，采用 MyBatis框架对数据库进行操作。</w:t>
            </w:r>
          </w:p>
        </w:tc>
        <w:tc>
          <w:tcPr>
            <w:tcW w:w="1890" w:type="dxa"/>
            <w:tcBorders>
              <w:top w:val="single" w:color="000000" w:sz="4" w:space="0"/>
              <w:left w:val="single" w:color="000000" w:sz="4" w:space="0"/>
              <w:bottom w:val="single" w:color="000000" w:sz="4" w:space="0"/>
              <w:right w:val="single" w:color="000000" w:sz="4" w:space="0"/>
            </w:tcBorders>
            <w:vAlign w:val="center"/>
          </w:tcPr>
          <w:p w14:paraId="2E4C194E">
            <w:pPr>
              <w:widowControl/>
              <w:jc w:val="center"/>
              <w:textAlignment w:val="center"/>
              <w:rPr>
                <w:rFonts w:hint="default"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是，提供承诺函并加盖公章。</w:t>
            </w:r>
          </w:p>
        </w:tc>
      </w:tr>
      <w:tr w14:paraId="3FC7E76B">
        <w:tblPrEx>
          <w:tblCellMar>
            <w:top w:w="0" w:type="dxa"/>
            <w:left w:w="0" w:type="dxa"/>
            <w:bottom w:w="0" w:type="dxa"/>
            <w:right w:w="0" w:type="dxa"/>
          </w:tblCellMar>
        </w:tblPrEx>
        <w:trPr>
          <w:trHeight w:val="20" w:hRule="atLeast"/>
        </w:trPr>
        <w:tc>
          <w:tcPr>
            <w:tcW w:w="714" w:type="dxa"/>
            <w:tcBorders>
              <w:top w:val="single" w:color="000000" w:sz="4" w:space="0"/>
              <w:left w:val="single" w:color="000000" w:sz="4" w:space="0"/>
              <w:bottom w:val="single" w:color="000000" w:sz="4" w:space="0"/>
              <w:right w:val="single" w:color="000000" w:sz="4" w:space="0"/>
            </w:tcBorders>
            <w:vAlign w:val="center"/>
          </w:tcPr>
          <w:p w14:paraId="0E0E3AD8">
            <w:pPr>
              <w:widowControl/>
              <w:jc w:val="center"/>
              <w:textAlignment w:val="center"/>
              <w:rPr>
                <w:rFonts w:hint="default"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2</w:t>
            </w:r>
          </w:p>
        </w:tc>
        <w:tc>
          <w:tcPr>
            <w:tcW w:w="909" w:type="dxa"/>
            <w:tcBorders>
              <w:top w:val="single" w:color="000000" w:sz="4" w:space="0"/>
              <w:left w:val="single" w:color="000000" w:sz="4" w:space="0"/>
              <w:bottom w:val="single" w:color="000000" w:sz="4" w:space="0"/>
              <w:right w:val="single" w:color="000000" w:sz="4" w:space="0"/>
            </w:tcBorders>
            <w:vAlign w:val="center"/>
          </w:tcPr>
          <w:p w14:paraId="1C773A2E">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w:t>
            </w:r>
          </w:p>
        </w:tc>
        <w:tc>
          <w:tcPr>
            <w:tcW w:w="1902" w:type="dxa"/>
            <w:tcBorders>
              <w:top w:val="single" w:color="000000" w:sz="4" w:space="0"/>
              <w:left w:val="single" w:color="000000" w:sz="4" w:space="0"/>
              <w:bottom w:val="single" w:color="000000" w:sz="4" w:space="0"/>
              <w:right w:val="single" w:color="000000" w:sz="4" w:space="0"/>
            </w:tcBorders>
            <w:vAlign w:val="center"/>
          </w:tcPr>
          <w:p w14:paraId="270A3126">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数据实时同步</w:t>
            </w:r>
            <w:r>
              <w:rPr>
                <w:rFonts w:hint="default" w:ascii="仿宋" w:hAnsi="仿宋" w:eastAsia="仿宋" w:cs="宋体"/>
                <w:color w:val="000000" w:themeColor="text1"/>
                <w:kern w:val="0"/>
                <w:sz w:val="24"/>
                <w:szCs w:val="24"/>
                <w:highlight w:val="none"/>
                <w:lang w:val="en-US" w:eastAsia="zh-CN"/>
                <w14:textFill>
                  <w14:solidFill>
                    <w14:schemeClr w14:val="tx1"/>
                  </w14:solidFill>
                </w14:textFill>
              </w:rPr>
              <w:t>信创</w:t>
            </w: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适配</w:t>
            </w:r>
          </w:p>
        </w:tc>
        <w:tc>
          <w:tcPr>
            <w:tcW w:w="3379" w:type="dxa"/>
            <w:tcBorders>
              <w:top w:val="single" w:color="000000" w:sz="4" w:space="0"/>
              <w:left w:val="single" w:color="000000" w:sz="4" w:space="0"/>
              <w:bottom w:val="single" w:color="000000" w:sz="4" w:space="0"/>
              <w:right w:val="single" w:color="000000" w:sz="4" w:space="0"/>
            </w:tcBorders>
            <w:vAlign w:val="center"/>
          </w:tcPr>
          <w:p w14:paraId="26DB331F">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支持现有市场上主要服务器厂商的主流服务器，芯片架构包括但不限于X86、C86、ARM等，必须支持市面上主流</w:t>
            </w:r>
            <w:r>
              <w:rPr>
                <w:rFonts w:hint="default" w:ascii="仿宋" w:hAnsi="仿宋" w:eastAsia="仿宋" w:cs="宋体"/>
                <w:color w:val="000000" w:themeColor="text1"/>
                <w:kern w:val="0"/>
                <w:sz w:val="24"/>
                <w:szCs w:val="24"/>
                <w:highlight w:val="none"/>
                <w:lang w:val="en-US" w:eastAsia="zh-CN"/>
                <w14:textFill>
                  <w14:solidFill>
                    <w14:schemeClr w14:val="tx1"/>
                  </w14:solidFill>
                </w14:textFill>
              </w:rPr>
              <w:t>信创</w:t>
            </w: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芯片。</w:t>
            </w:r>
          </w:p>
        </w:tc>
        <w:tc>
          <w:tcPr>
            <w:tcW w:w="1890" w:type="dxa"/>
            <w:tcBorders>
              <w:top w:val="single" w:color="000000" w:sz="4" w:space="0"/>
              <w:left w:val="single" w:color="000000" w:sz="4" w:space="0"/>
              <w:bottom w:val="single" w:color="000000" w:sz="4" w:space="0"/>
              <w:right w:val="single" w:color="000000" w:sz="4" w:space="0"/>
            </w:tcBorders>
            <w:vAlign w:val="center"/>
          </w:tcPr>
          <w:p w14:paraId="68B9CE35">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是，提供承诺函并加盖公章。</w:t>
            </w:r>
          </w:p>
        </w:tc>
      </w:tr>
      <w:tr w14:paraId="2176992F">
        <w:tblPrEx>
          <w:tblCellMar>
            <w:top w:w="0" w:type="dxa"/>
            <w:left w:w="0" w:type="dxa"/>
            <w:bottom w:w="0" w:type="dxa"/>
            <w:right w:w="0" w:type="dxa"/>
          </w:tblCellMar>
        </w:tblPrEx>
        <w:trPr>
          <w:trHeight w:val="20" w:hRule="atLeast"/>
        </w:trPr>
        <w:tc>
          <w:tcPr>
            <w:tcW w:w="714" w:type="dxa"/>
            <w:tcBorders>
              <w:top w:val="single" w:color="000000" w:sz="4" w:space="0"/>
              <w:left w:val="single" w:color="000000" w:sz="4" w:space="0"/>
              <w:bottom w:val="single" w:color="000000" w:sz="4" w:space="0"/>
              <w:right w:val="single" w:color="000000" w:sz="4" w:space="0"/>
            </w:tcBorders>
            <w:vAlign w:val="center"/>
          </w:tcPr>
          <w:p w14:paraId="30928B25">
            <w:pPr>
              <w:widowControl/>
              <w:jc w:val="center"/>
              <w:textAlignment w:val="center"/>
              <w:rPr>
                <w:rFonts w:hint="default"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3</w:t>
            </w:r>
          </w:p>
        </w:tc>
        <w:tc>
          <w:tcPr>
            <w:tcW w:w="909" w:type="dxa"/>
            <w:tcBorders>
              <w:top w:val="single" w:color="000000" w:sz="4" w:space="0"/>
              <w:left w:val="single" w:color="000000" w:sz="4" w:space="0"/>
              <w:bottom w:val="single" w:color="000000" w:sz="4" w:space="0"/>
              <w:right w:val="single" w:color="000000" w:sz="4" w:space="0"/>
            </w:tcBorders>
            <w:vAlign w:val="center"/>
          </w:tcPr>
          <w:p w14:paraId="1F21DE96">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w:t>
            </w:r>
          </w:p>
        </w:tc>
        <w:tc>
          <w:tcPr>
            <w:tcW w:w="1902" w:type="dxa"/>
            <w:tcBorders>
              <w:top w:val="single" w:color="000000" w:sz="4" w:space="0"/>
              <w:left w:val="single" w:color="000000" w:sz="4" w:space="0"/>
              <w:bottom w:val="single" w:color="000000" w:sz="4" w:space="0"/>
              <w:right w:val="single" w:color="000000" w:sz="4" w:space="0"/>
            </w:tcBorders>
            <w:vAlign w:val="center"/>
          </w:tcPr>
          <w:p w14:paraId="1094B3BA">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数据实时同步Oracle日志独立解析能力</w:t>
            </w:r>
          </w:p>
        </w:tc>
        <w:tc>
          <w:tcPr>
            <w:tcW w:w="3379" w:type="dxa"/>
            <w:tcBorders>
              <w:top w:val="single" w:color="000000" w:sz="4" w:space="0"/>
              <w:left w:val="single" w:color="000000" w:sz="4" w:space="0"/>
              <w:bottom w:val="single" w:color="000000" w:sz="4" w:space="0"/>
              <w:right w:val="single" w:color="000000" w:sz="4" w:space="0"/>
            </w:tcBorders>
            <w:vAlign w:val="center"/>
          </w:tcPr>
          <w:p w14:paraId="38E448FB">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所投软件产品应能够直接解析Oracle数据库的redo/archive日志文件，解析过程完全不依赖于Oracle数据库实例。</w:t>
            </w:r>
          </w:p>
        </w:tc>
        <w:tc>
          <w:tcPr>
            <w:tcW w:w="1890" w:type="dxa"/>
            <w:tcBorders>
              <w:top w:val="single" w:color="000000" w:sz="4" w:space="0"/>
              <w:left w:val="single" w:color="000000" w:sz="4" w:space="0"/>
              <w:bottom w:val="single" w:color="000000" w:sz="4" w:space="0"/>
              <w:right w:val="single" w:color="000000" w:sz="4" w:space="0"/>
            </w:tcBorders>
            <w:vAlign w:val="center"/>
          </w:tcPr>
          <w:p w14:paraId="5CB8646B">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是，提供承诺函并加盖公章。</w:t>
            </w:r>
          </w:p>
        </w:tc>
      </w:tr>
      <w:tr w14:paraId="738F6CBB">
        <w:tblPrEx>
          <w:tblCellMar>
            <w:top w:w="0" w:type="dxa"/>
            <w:left w:w="0" w:type="dxa"/>
            <w:bottom w:w="0" w:type="dxa"/>
            <w:right w:w="0" w:type="dxa"/>
          </w:tblCellMar>
        </w:tblPrEx>
        <w:trPr>
          <w:trHeight w:val="20" w:hRule="atLeast"/>
        </w:trPr>
        <w:tc>
          <w:tcPr>
            <w:tcW w:w="714" w:type="dxa"/>
            <w:tcBorders>
              <w:top w:val="single" w:color="000000" w:sz="4" w:space="0"/>
              <w:left w:val="single" w:color="000000" w:sz="4" w:space="0"/>
              <w:bottom w:val="single" w:color="000000" w:sz="4" w:space="0"/>
              <w:right w:val="single" w:color="000000" w:sz="4" w:space="0"/>
            </w:tcBorders>
            <w:vAlign w:val="center"/>
          </w:tcPr>
          <w:p w14:paraId="05197ADE">
            <w:pPr>
              <w:widowControl/>
              <w:jc w:val="center"/>
              <w:textAlignment w:val="center"/>
              <w:rPr>
                <w:rFonts w:hint="default"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4</w:t>
            </w:r>
          </w:p>
        </w:tc>
        <w:tc>
          <w:tcPr>
            <w:tcW w:w="909" w:type="dxa"/>
            <w:tcBorders>
              <w:top w:val="single" w:color="000000" w:sz="4" w:space="0"/>
              <w:left w:val="single" w:color="000000" w:sz="4" w:space="0"/>
              <w:bottom w:val="single" w:color="000000" w:sz="4" w:space="0"/>
              <w:right w:val="single" w:color="000000" w:sz="4" w:space="0"/>
            </w:tcBorders>
            <w:vAlign w:val="center"/>
          </w:tcPr>
          <w:p w14:paraId="745F0C14">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w:t>
            </w:r>
          </w:p>
        </w:tc>
        <w:tc>
          <w:tcPr>
            <w:tcW w:w="1902" w:type="dxa"/>
            <w:tcBorders>
              <w:top w:val="single" w:color="000000" w:sz="4" w:space="0"/>
              <w:left w:val="single" w:color="000000" w:sz="4" w:space="0"/>
              <w:bottom w:val="single" w:color="000000" w:sz="4" w:space="0"/>
              <w:right w:val="single" w:color="000000" w:sz="4" w:space="0"/>
            </w:tcBorders>
            <w:vAlign w:val="center"/>
          </w:tcPr>
          <w:p w14:paraId="5494E8BF">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数据实时同步基础同步能力</w:t>
            </w:r>
          </w:p>
        </w:tc>
        <w:tc>
          <w:tcPr>
            <w:tcW w:w="3379" w:type="dxa"/>
            <w:tcBorders>
              <w:top w:val="single" w:color="000000" w:sz="4" w:space="0"/>
              <w:left w:val="single" w:color="000000" w:sz="4" w:space="0"/>
              <w:bottom w:val="single" w:color="000000" w:sz="4" w:space="0"/>
              <w:right w:val="single" w:color="000000" w:sz="4" w:space="0"/>
            </w:tcBorders>
            <w:vAlign w:val="center"/>
          </w:tcPr>
          <w:p w14:paraId="32AA0F85">
            <w:pPr>
              <w:widowControl/>
              <w:jc w:val="center"/>
              <w:textAlignment w:val="center"/>
              <w:rPr>
                <w:rFonts w:hint="default"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所投软件产品应满足：</w:t>
            </w:r>
          </w:p>
          <w:p w14:paraId="01061BFC">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必须同时支持结构化数据实时同步与非结构化文件同步任务。</w:t>
            </w:r>
          </w:p>
          <w:p w14:paraId="67401927">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支持从数据库的主库或备库进行日志解析读取。</w:t>
            </w:r>
          </w:p>
          <w:p w14:paraId="3B934CEF">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支持Oracle、MySQL、Opengauss、OceanBase、TDSQL、TiDB的实时同步。</w:t>
            </w:r>
          </w:p>
        </w:tc>
        <w:tc>
          <w:tcPr>
            <w:tcW w:w="1890" w:type="dxa"/>
            <w:tcBorders>
              <w:top w:val="single" w:color="000000" w:sz="4" w:space="0"/>
              <w:left w:val="single" w:color="000000" w:sz="4" w:space="0"/>
              <w:bottom w:val="single" w:color="000000" w:sz="4" w:space="0"/>
              <w:right w:val="single" w:color="000000" w:sz="4" w:space="0"/>
            </w:tcBorders>
            <w:vAlign w:val="center"/>
          </w:tcPr>
          <w:p w14:paraId="7DBA5060">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是，提供承诺函并加盖公章。</w:t>
            </w:r>
          </w:p>
        </w:tc>
      </w:tr>
      <w:tr w14:paraId="592D9F64">
        <w:tblPrEx>
          <w:tblCellMar>
            <w:top w:w="0" w:type="dxa"/>
            <w:left w:w="0" w:type="dxa"/>
            <w:bottom w:w="0" w:type="dxa"/>
            <w:right w:w="0" w:type="dxa"/>
          </w:tblCellMar>
        </w:tblPrEx>
        <w:trPr>
          <w:trHeight w:val="20" w:hRule="atLeast"/>
        </w:trPr>
        <w:tc>
          <w:tcPr>
            <w:tcW w:w="714" w:type="dxa"/>
            <w:tcBorders>
              <w:top w:val="single" w:color="000000" w:sz="4" w:space="0"/>
              <w:left w:val="single" w:color="000000" w:sz="4" w:space="0"/>
              <w:bottom w:val="single" w:color="000000" w:sz="4" w:space="0"/>
              <w:right w:val="single" w:color="000000" w:sz="4" w:space="0"/>
            </w:tcBorders>
            <w:vAlign w:val="center"/>
          </w:tcPr>
          <w:p w14:paraId="27A7B256">
            <w:pPr>
              <w:widowControl/>
              <w:jc w:val="center"/>
              <w:textAlignment w:val="center"/>
              <w:rPr>
                <w:rFonts w:hint="default"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5</w:t>
            </w:r>
          </w:p>
        </w:tc>
        <w:tc>
          <w:tcPr>
            <w:tcW w:w="909" w:type="dxa"/>
            <w:tcBorders>
              <w:top w:val="single" w:color="000000" w:sz="4" w:space="0"/>
              <w:left w:val="single" w:color="000000" w:sz="4" w:space="0"/>
              <w:bottom w:val="single" w:color="000000" w:sz="4" w:space="0"/>
              <w:right w:val="single" w:color="000000" w:sz="4" w:space="0"/>
            </w:tcBorders>
            <w:vAlign w:val="center"/>
          </w:tcPr>
          <w:p w14:paraId="17F6FE5B">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w:t>
            </w:r>
          </w:p>
        </w:tc>
        <w:tc>
          <w:tcPr>
            <w:tcW w:w="1902" w:type="dxa"/>
            <w:tcBorders>
              <w:top w:val="single" w:color="000000" w:sz="4" w:space="0"/>
              <w:left w:val="single" w:color="000000" w:sz="4" w:space="0"/>
              <w:bottom w:val="single" w:color="000000" w:sz="4" w:space="0"/>
              <w:right w:val="single" w:color="000000" w:sz="4" w:space="0"/>
            </w:tcBorders>
            <w:vAlign w:val="center"/>
          </w:tcPr>
          <w:p w14:paraId="264E3C08">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需求理解</w:t>
            </w:r>
          </w:p>
        </w:tc>
        <w:tc>
          <w:tcPr>
            <w:tcW w:w="3379" w:type="dxa"/>
            <w:tcBorders>
              <w:top w:val="single" w:color="000000" w:sz="4" w:space="0"/>
              <w:left w:val="single" w:color="000000" w:sz="4" w:space="0"/>
              <w:bottom w:val="single" w:color="000000" w:sz="4" w:space="0"/>
              <w:right w:val="single" w:color="000000" w:sz="4" w:space="0"/>
            </w:tcBorders>
            <w:vAlign w:val="center"/>
          </w:tcPr>
          <w:p w14:paraId="0E244ABE">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投标人针对采购人提出的需求内容（业务需求详见附件），在需求理解的业务功能覆盖度、业务功能清晰度、业务重点难点描述等方面，能够充分满足业务需求且能保障落地实施。</w:t>
            </w:r>
          </w:p>
          <w:p w14:paraId="7052BC2E">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业务功能覆盖度：实时监测覆盖对应的业务场景和监测对象；</w:t>
            </w:r>
          </w:p>
          <w:p w14:paraId="687075F7">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业务功能清晰度：着重实时监测的业务流程、指标口径、数据来源，细化到字段级别；</w:t>
            </w:r>
          </w:p>
          <w:p w14:paraId="1F345826">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业务重点难点：实时监测规则，业务关键难点，实时计算链路的稳定性。</w:t>
            </w:r>
          </w:p>
        </w:tc>
        <w:tc>
          <w:tcPr>
            <w:tcW w:w="1890" w:type="dxa"/>
            <w:tcBorders>
              <w:top w:val="single" w:color="000000" w:sz="4" w:space="0"/>
              <w:left w:val="single" w:color="000000" w:sz="4" w:space="0"/>
              <w:bottom w:val="single" w:color="000000" w:sz="4" w:space="0"/>
              <w:right w:val="single" w:color="000000" w:sz="4" w:space="0"/>
            </w:tcBorders>
            <w:vAlign w:val="center"/>
          </w:tcPr>
          <w:p w14:paraId="7618EE82">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是，提供需求理解说明或响应方案</w:t>
            </w:r>
          </w:p>
        </w:tc>
      </w:tr>
      <w:tr w14:paraId="1ECD1C51">
        <w:tblPrEx>
          <w:tblCellMar>
            <w:top w:w="0" w:type="dxa"/>
            <w:left w:w="0" w:type="dxa"/>
            <w:bottom w:w="0" w:type="dxa"/>
            <w:right w:w="0" w:type="dxa"/>
          </w:tblCellMar>
        </w:tblPrEx>
        <w:trPr>
          <w:trHeight w:val="20" w:hRule="atLeast"/>
        </w:trPr>
        <w:tc>
          <w:tcPr>
            <w:tcW w:w="714" w:type="dxa"/>
            <w:tcBorders>
              <w:top w:val="single" w:color="000000" w:sz="4" w:space="0"/>
              <w:left w:val="single" w:color="000000" w:sz="4" w:space="0"/>
              <w:bottom w:val="single" w:color="000000" w:sz="4" w:space="0"/>
              <w:right w:val="single" w:color="000000" w:sz="4" w:space="0"/>
            </w:tcBorders>
            <w:vAlign w:val="center"/>
          </w:tcPr>
          <w:p w14:paraId="3F9D6DA2">
            <w:pPr>
              <w:widowControl/>
              <w:jc w:val="center"/>
              <w:textAlignment w:val="center"/>
              <w:rPr>
                <w:rFonts w:hint="default"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6</w:t>
            </w:r>
          </w:p>
        </w:tc>
        <w:tc>
          <w:tcPr>
            <w:tcW w:w="909" w:type="dxa"/>
            <w:tcBorders>
              <w:top w:val="single" w:color="000000" w:sz="4" w:space="0"/>
              <w:left w:val="single" w:color="000000" w:sz="4" w:space="0"/>
              <w:bottom w:val="single" w:color="000000" w:sz="4" w:space="0"/>
              <w:right w:val="single" w:color="000000" w:sz="4" w:space="0"/>
            </w:tcBorders>
            <w:vAlign w:val="center"/>
          </w:tcPr>
          <w:p w14:paraId="6756BA02">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w:t>
            </w:r>
          </w:p>
        </w:tc>
        <w:tc>
          <w:tcPr>
            <w:tcW w:w="1902" w:type="dxa"/>
            <w:tcBorders>
              <w:top w:val="single" w:color="000000" w:sz="4" w:space="0"/>
              <w:left w:val="single" w:color="000000" w:sz="4" w:space="0"/>
              <w:bottom w:val="single" w:color="000000" w:sz="4" w:space="0"/>
              <w:right w:val="single" w:color="000000" w:sz="4" w:space="0"/>
            </w:tcBorders>
            <w:vAlign w:val="center"/>
          </w:tcPr>
          <w:p w14:paraId="27756669">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技术方案</w:t>
            </w:r>
          </w:p>
        </w:tc>
        <w:tc>
          <w:tcPr>
            <w:tcW w:w="3379" w:type="dxa"/>
            <w:tcBorders>
              <w:top w:val="single" w:color="000000" w:sz="4" w:space="0"/>
              <w:left w:val="single" w:color="000000" w:sz="4" w:space="0"/>
              <w:bottom w:val="single" w:color="000000" w:sz="4" w:space="0"/>
              <w:right w:val="single" w:color="000000" w:sz="4" w:space="0"/>
            </w:tcBorders>
            <w:vAlign w:val="center"/>
          </w:tcPr>
          <w:p w14:paraId="21D9AB4A">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投标人针对采购人提出的项目整体需求，应能够提出可实现的技术方案，主要包括：</w:t>
            </w:r>
          </w:p>
          <w:p w14:paraId="0F43E29D">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（1）实时监测功能实现方案：结合现有数据平台对监测对象、监测指标、监测规则配置、告警触发机制、监测结果展示等功能进行系统设计；</w:t>
            </w:r>
          </w:p>
          <w:p w14:paraId="6E0F9316">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（2）实时监测技术实现方案：结合CDC/Datahub/Flink/Hologres/Dataworks，对实时数据采集、流式处理链路、业务数据批量ETL处理、告警触发机制、前端实时展示进行设计；</w:t>
            </w:r>
          </w:p>
          <w:p w14:paraId="55A59E4A">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（3）实时监测的稳定性方案：提供完整的稳定性保障方案，提供高可用架构设计，对实时计算链路稳定性性能提供保障。</w:t>
            </w:r>
          </w:p>
        </w:tc>
        <w:tc>
          <w:tcPr>
            <w:tcW w:w="1890" w:type="dxa"/>
            <w:tcBorders>
              <w:top w:val="single" w:color="000000" w:sz="4" w:space="0"/>
              <w:left w:val="single" w:color="000000" w:sz="4" w:space="0"/>
              <w:bottom w:val="single" w:color="000000" w:sz="4" w:space="0"/>
              <w:right w:val="single" w:color="000000" w:sz="4" w:space="0"/>
            </w:tcBorders>
            <w:vAlign w:val="center"/>
          </w:tcPr>
          <w:p w14:paraId="5453DD30">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是，提供实现系统的技术方案</w:t>
            </w:r>
          </w:p>
        </w:tc>
      </w:tr>
      <w:tr w14:paraId="4B20DE4A">
        <w:tblPrEx>
          <w:tblCellMar>
            <w:top w:w="0" w:type="dxa"/>
            <w:left w:w="0" w:type="dxa"/>
            <w:bottom w:w="0" w:type="dxa"/>
            <w:right w:w="0" w:type="dxa"/>
          </w:tblCellMar>
        </w:tblPrEx>
        <w:trPr>
          <w:trHeight w:val="20" w:hRule="atLeast"/>
        </w:trPr>
        <w:tc>
          <w:tcPr>
            <w:tcW w:w="714" w:type="dxa"/>
            <w:tcBorders>
              <w:top w:val="single" w:color="000000" w:sz="4" w:space="0"/>
              <w:left w:val="single" w:color="000000" w:sz="4" w:space="0"/>
              <w:bottom w:val="single" w:color="000000" w:sz="4" w:space="0"/>
              <w:right w:val="single" w:color="000000" w:sz="4" w:space="0"/>
            </w:tcBorders>
            <w:vAlign w:val="center"/>
          </w:tcPr>
          <w:p w14:paraId="53E59761">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7</w:t>
            </w:r>
          </w:p>
        </w:tc>
        <w:tc>
          <w:tcPr>
            <w:tcW w:w="909" w:type="dxa"/>
            <w:tcBorders>
              <w:top w:val="single" w:color="000000" w:sz="4" w:space="0"/>
              <w:left w:val="single" w:color="000000" w:sz="4" w:space="0"/>
              <w:bottom w:val="single" w:color="000000" w:sz="4" w:space="0"/>
              <w:right w:val="single" w:color="000000" w:sz="4" w:space="0"/>
            </w:tcBorders>
            <w:vAlign w:val="center"/>
          </w:tcPr>
          <w:p w14:paraId="7DD0D93C">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w:t>
            </w:r>
          </w:p>
        </w:tc>
        <w:tc>
          <w:tcPr>
            <w:tcW w:w="1902" w:type="dxa"/>
            <w:tcBorders>
              <w:top w:val="single" w:color="000000" w:sz="4" w:space="0"/>
              <w:left w:val="single" w:color="000000" w:sz="4" w:space="0"/>
              <w:bottom w:val="single" w:color="000000" w:sz="4" w:space="0"/>
              <w:right w:val="single" w:color="000000" w:sz="4" w:space="0"/>
            </w:tcBorders>
            <w:vAlign w:val="center"/>
          </w:tcPr>
          <w:p w14:paraId="746D2B16">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数据实时同步技术需求</w:t>
            </w:r>
          </w:p>
        </w:tc>
        <w:tc>
          <w:tcPr>
            <w:tcW w:w="3379" w:type="dxa"/>
            <w:tcBorders>
              <w:top w:val="single" w:color="000000" w:sz="4" w:space="0"/>
              <w:left w:val="single" w:color="000000" w:sz="4" w:space="0"/>
              <w:bottom w:val="single" w:color="000000" w:sz="4" w:space="0"/>
              <w:right w:val="single" w:color="000000" w:sz="4" w:space="0"/>
            </w:tcBorders>
            <w:vAlign w:val="center"/>
          </w:tcPr>
          <w:p w14:paraId="02EC5778">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一、所投软件产品的设计及架构，需满足以下要求：</w:t>
            </w:r>
          </w:p>
          <w:p w14:paraId="2C5AD104">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1、适用功能环境：企业级数据同步、异构数据实时同步、文件同步、容灾等；</w:t>
            </w:r>
          </w:p>
          <w:p w14:paraId="3637513F">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2、部署产品架构：高可用架构设计；</w:t>
            </w:r>
          </w:p>
          <w:p w14:paraId="5CCE6BC0">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3、支持多种灵活部署模式：贴源/第三方部署；其中贴源部署指的是在数据同步源头服务器机器部署；</w:t>
            </w:r>
          </w:p>
          <w:p w14:paraId="22048372">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4、支持数据同步类型：结构化数据实时同步任务和非结构化文件同步任务。</w:t>
            </w:r>
          </w:p>
          <w:p w14:paraId="45B0A765">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二、所投软件产品的主要功能，需满足以下要求：</w:t>
            </w:r>
          </w:p>
          <w:p w14:paraId="36BFB472">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1、支持不同数据库源端及不同版本的实时同步：</w:t>
            </w:r>
          </w:p>
          <w:p w14:paraId="5037AAC5">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2、需支持源为Oracle、Mysql、OceanBase、TDSQL（Mysql和PG）；3、实时同步目标为阿里云Datahub、OSS的数据实时同步、DDL语句支持；</w:t>
            </w:r>
          </w:p>
          <w:p w14:paraId="4711654E">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4、支持数据库常用的数值类型，浮点类型，字符类型，日期数据类型，二进制数据类型;</w:t>
            </w:r>
          </w:p>
          <w:p w14:paraId="0920CAE6">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5、oracle数据库支持的特殊数据类型：Oracle timestamp 精度为微秒、INTERVAL YEAR TO MONTH、INTERVAL DAY TO SECOND、RAW、LONG RAW、XML TYPE、UDT (用户自定义数据类型)</w:t>
            </w:r>
          </w:p>
          <w:p w14:paraId="69D449C1">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6、支持的oracle特殊数据对象类型compress table、IOT、TEMPORARY Table、MATERIALIZED VIEW。</w:t>
            </w:r>
          </w:p>
          <w:p w14:paraId="0E57A0CD">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三、所投软件产品的高可用性，需满足以下要求：</w:t>
            </w:r>
          </w:p>
          <w:p w14:paraId="06268E6A">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1、支持自动断点续传，包括网络、服务器故障所导致非数据丢失可在故障恢复后自动断点续传；</w:t>
            </w:r>
          </w:p>
          <w:p w14:paraId="64C880A6">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2、数据同步内置多场景异常处置策略，如连接异常策略、DDL异常策略，DML异常处置策略，可满足各种异常场景下软件自行处理能力；</w:t>
            </w:r>
          </w:p>
          <w:p w14:paraId="26484232">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3、支持流量控制；</w:t>
            </w:r>
          </w:p>
          <w:p w14:paraId="627570F1">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4、产品支持故障自动转移功能，具有高可用架构，需要可以对接第三方自动高可用切换工具。</w:t>
            </w:r>
          </w:p>
          <w:p w14:paraId="5A38BA71">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四、所投软件产品的全量同步功能，需满足以下要求：</w:t>
            </w:r>
          </w:p>
          <w:p w14:paraId="3A6189CF">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1、支持同构、异构之间的数据结构迁移和同步，内置数据类型自动映射转换，也可根据用户指定进行类型映射；</w:t>
            </w:r>
          </w:p>
          <w:p w14:paraId="38F16C23">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2、支持多表并发导出、单表并发导出，支持导出带宽控制；</w:t>
            </w:r>
          </w:p>
          <w:p w14:paraId="3F760187">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3、支持多表并发load、单表并发load，支持导出带宽控制；</w:t>
            </w:r>
          </w:p>
          <w:p w14:paraId="58CE23E1">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4、支持多张源表的更新同步至一张目标表的同步（源表之间不存在冲突行）；</w:t>
            </w:r>
          </w:p>
          <w:p w14:paraId="1071EBB2">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5、支持一张源表可同步至不同数据库（不同的数据库类型或多个数据库节点）的目标表；</w:t>
            </w:r>
          </w:p>
          <w:p w14:paraId="261057B0">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6、支持用户可根据业务需要，进行单字段，表达式级别的行列级过滤。</w:t>
            </w:r>
          </w:p>
          <w:p w14:paraId="1D24829B">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五、对于Oracle，所投软件产品需满足以下要求：</w:t>
            </w:r>
          </w:p>
          <w:p w14:paraId="30B123C4">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1、数据同步工具支持将增量数据（包含整行数据），以文件的形式生成；文件格式支持可配置，譬如文件中每条记录之间以分隔chr(13)chr(10)，字段之间以分隔chr(27)；</w:t>
            </w:r>
          </w:p>
          <w:p w14:paraId="06026A11">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2、支持在Oracle使用ASM特性下，可不在源端安装agent直接读取Oracle Redo或者Archive，支持Oracle ASM文件系统且同步读取ASM内redo 文件；</w:t>
            </w:r>
          </w:p>
          <w:p w14:paraId="0FDE627B">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3、支持oracle interval分区的dml及ddl增量同步；</w:t>
            </w:r>
          </w:p>
          <w:p w14:paraId="6EC5C994">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4、Oracle数据库内有复杂行链接支持。如超过255个字段、lob字段、频繁dml操作表的复杂cr场景支持；</w:t>
            </w:r>
          </w:p>
          <w:p w14:paraId="0438F165">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5、支持oracle源库和目标库字符集转换同步；</w:t>
            </w:r>
          </w:p>
          <w:p w14:paraId="21FE6D30">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6、支持读取oracle ADG端redo log同步；</w:t>
            </w:r>
          </w:p>
          <w:p w14:paraId="0F889935">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7、对oracle 源DDL具有良好的支持，如DDL、DML+DDL+DML、DDL+DML等多种频繁DDL的场景。可以根据配置文件设置某些DDL能同步，某些DDL不同步；</w:t>
            </w:r>
          </w:p>
          <w:p w14:paraId="53D3392E">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8、支持国密加密算法；</w:t>
            </w:r>
          </w:p>
          <w:p w14:paraId="5C93FBB4">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9、支持使用Rowid方式、pk/uk方式、pkuk+rowid方式 同步数据；</w:t>
            </w:r>
          </w:p>
          <w:p w14:paraId="06EDE7B7">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10、支持表达式级别的数据transform的能力。以满足下游业务进行数据过滤、转换、清洗需要。</w:t>
            </w:r>
          </w:p>
          <w:p w14:paraId="71685C1F">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六、所投软件产品的校验能力，需满足以下要求：</w:t>
            </w:r>
          </w:p>
          <w:p w14:paraId="630835BA">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1、支持全量比对、增量比对、定时比对等，该比对功能不应仅对比表行数，还应比对数据行内容；</w:t>
            </w:r>
          </w:p>
          <w:p w14:paraId="5193000A">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2、支持源端、目标端不同数据库之间的比对。</w:t>
            </w:r>
          </w:p>
          <w:p w14:paraId="524AE37A">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七、所投软件产品的运维管理能力，需满足以下要求：</w:t>
            </w:r>
          </w:p>
          <w:p w14:paraId="000A5F7A">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1、具有应用良好的图形化管理和配置界面；</w:t>
            </w:r>
          </w:p>
          <w:p w14:paraId="5E6F26BB">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2、具有良好的命令行界面，可通过命令行操作快速完成大批量配置和功能操作；</w:t>
            </w:r>
          </w:p>
          <w:p w14:paraId="6A064FEB">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3、支持自定义大屏首页样式：展示模块、展示内容、显示图形、展示布局等；并展示：同步延迟、同步分析量、同步资源占用、同步进程状态、同步报警；</w:t>
            </w:r>
          </w:p>
          <w:p w14:paraId="6F824CA6">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4、支持邮件，短信，企业微信，钉钉等多种告警方式对接。</w:t>
            </w:r>
          </w:p>
          <w:p w14:paraId="55A6B108">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p>
        </w:tc>
        <w:tc>
          <w:tcPr>
            <w:tcW w:w="1890" w:type="dxa"/>
            <w:tcBorders>
              <w:top w:val="single" w:color="000000" w:sz="4" w:space="0"/>
              <w:left w:val="single" w:color="000000" w:sz="4" w:space="0"/>
              <w:bottom w:val="single" w:color="000000" w:sz="4" w:space="0"/>
              <w:right w:val="single" w:color="000000" w:sz="4" w:space="0"/>
            </w:tcBorders>
            <w:vAlign w:val="center"/>
          </w:tcPr>
          <w:p w14:paraId="58E9735D">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是,投标人须提供对应功能界面截图及说明文档</w:t>
            </w:r>
          </w:p>
        </w:tc>
      </w:tr>
      <w:tr w14:paraId="03AAD50F">
        <w:tblPrEx>
          <w:tblCellMar>
            <w:top w:w="0" w:type="dxa"/>
            <w:left w:w="0" w:type="dxa"/>
            <w:bottom w:w="0" w:type="dxa"/>
            <w:right w:w="0" w:type="dxa"/>
          </w:tblCellMar>
        </w:tblPrEx>
        <w:trPr>
          <w:trHeight w:val="20" w:hRule="atLeast"/>
        </w:trPr>
        <w:tc>
          <w:tcPr>
            <w:tcW w:w="714" w:type="dxa"/>
            <w:tcBorders>
              <w:top w:val="single" w:color="000000" w:sz="4" w:space="0"/>
              <w:left w:val="single" w:color="000000" w:sz="4" w:space="0"/>
              <w:bottom w:val="single" w:color="000000" w:sz="4" w:space="0"/>
              <w:right w:val="single" w:color="000000" w:sz="4" w:space="0"/>
            </w:tcBorders>
            <w:vAlign w:val="center"/>
          </w:tcPr>
          <w:p w14:paraId="0D75C23A">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8</w:t>
            </w:r>
          </w:p>
        </w:tc>
        <w:tc>
          <w:tcPr>
            <w:tcW w:w="909" w:type="dxa"/>
            <w:tcBorders>
              <w:top w:val="single" w:color="000000" w:sz="4" w:space="0"/>
              <w:left w:val="single" w:color="000000" w:sz="4" w:space="0"/>
              <w:bottom w:val="single" w:color="000000" w:sz="4" w:space="0"/>
              <w:right w:val="single" w:color="000000" w:sz="4" w:space="0"/>
            </w:tcBorders>
            <w:vAlign w:val="center"/>
          </w:tcPr>
          <w:p w14:paraId="5F9755AF">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w:t>
            </w:r>
          </w:p>
        </w:tc>
        <w:tc>
          <w:tcPr>
            <w:tcW w:w="1902" w:type="dxa"/>
            <w:tcBorders>
              <w:top w:val="single" w:color="000000" w:sz="4" w:space="0"/>
              <w:left w:val="single" w:color="000000" w:sz="4" w:space="0"/>
              <w:bottom w:val="single" w:color="000000" w:sz="4" w:space="0"/>
              <w:right w:val="single" w:color="000000" w:sz="4" w:space="0"/>
            </w:tcBorders>
            <w:vAlign w:val="center"/>
          </w:tcPr>
          <w:p w14:paraId="44C4EB79">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数据实时同步性能要求</w:t>
            </w:r>
          </w:p>
        </w:tc>
        <w:tc>
          <w:tcPr>
            <w:tcW w:w="3379" w:type="dxa"/>
            <w:tcBorders>
              <w:top w:val="single" w:color="000000" w:sz="4" w:space="0"/>
              <w:left w:val="single" w:color="000000" w:sz="4" w:space="0"/>
              <w:bottom w:val="single" w:color="000000" w:sz="4" w:space="0"/>
              <w:right w:val="single" w:color="000000" w:sz="4" w:space="0"/>
            </w:tcBorders>
            <w:vAlign w:val="center"/>
          </w:tcPr>
          <w:p w14:paraId="363EFE30">
            <w:pPr>
              <w:widowControl/>
              <w:jc w:val="center"/>
              <w:textAlignment w:val="center"/>
              <w:rPr>
                <w:rFonts w:hint="default"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所投软件产品的性能应满足：</w:t>
            </w:r>
          </w:p>
          <w:p w14:paraId="0D7329CD">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全量同步性能：</w:t>
            </w:r>
          </w:p>
          <w:p w14:paraId="066AF0FB">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⑴在NVMe SSD环境下，单链路卸载性能 ≥ 200GB/小时。</w:t>
            </w:r>
          </w:p>
          <w:p w14:paraId="7B989C23">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⑵在NVMe SSD环境下，单链路加载性能 ≥ 150MB/s。</w:t>
            </w:r>
          </w:p>
          <w:p w14:paraId="67EB9DEC">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2. 增量同步性能</w:t>
            </w:r>
          </w:p>
          <w:p w14:paraId="0B4C11CE">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⑴ Oracle小事务(≤1000行)延迟&lt;1秒；大事务(&gt;10万行)延迟&lt;10秒。</w:t>
            </w:r>
          </w:p>
          <w:p w14:paraId="271955BF">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⑵可处理≥1GB/分钟redo日志且不积压。</w:t>
            </w:r>
          </w:p>
        </w:tc>
        <w:tc>
          <w:tcPr>
            <w:tcW w:w="1890" w:type="dxa"/>
            <w:tcBorders>
              <w:top w:val="single" w:color="000000" w:sz="4" w:space="0"/>
              <w:left w:val="single" w:color="000000" w:sz="4" w:space="0"/>
              <w:bottom w:val="single" w:color="000000" w:sz="4" w:space="0"/>
              <w:right w:val="single" w:color="000000" w:sz="4" w:space="0"/>
            </w:tcBorders>
            <w:vAlign w:val="center"/>
          </w:tcPr>
          <w:p w14:paraId="7B9EBBAA">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是，提供第三方或自测性能测试报告并加盖投标人公章。</w:t>
            </w:r>
          </w:p>
        </w:tc>
      </w:tr>
      <w:tr w14:paraId="77868AAE">
        <w:tblPrEx>
          <w:tblCellMar>
            <w:top w:w="0" w:type="dxa"/>
            <w:left w:w="0" w:type="dxa"/>
            <w:bottom w:w="0" w:type="dxa"/>
            <w:right w:w="0" w:type="dxa"/>
          </w:tblCellMar>
        </w:tblPrEx>
        <w:trPr>
          <w:trHeight w:val="20" w:hRule="atLeast"/>
        </w:trPr>
        <w:tc>
          <w:tcPr>
            <w:tcW w:w="714" w:type="dxa"/>
            <w:tcBorders>
              <w:top w:val="single" w:color="000000" w:sz="4" w:space="0"/>
              <w:left w:val="single" w:color="000000" w:sz="4" w:space="0"/>
              <w:bottom w:val="single" w:color="000000" w:sz="4" w:space="0"/>
              <w:right w:val="single" w:color="000000" w:sz="4" w:space="0"/>
            </w:tcBorders>
            <w:vAlign w:val="center"/>
          </w:tcPr>
          <w:p w14:paraId="328EC527">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9</w:t>
            </w:r>
          </w:p>
        </w:tc>
        <w:tc>
          <w:tcPr>
            <w:tcW w:w="909" w:type="dxa"/>
            <w:tcBorders>
              <w:top w:val="single" w:color="000000" w:sz="4" w:space="0"/>
              <w:left w:val="single" w:color="000000" w:sz="4" w:space="0"/>
              <w:bottom w:val="single" w:color="000000" w:sz="4" w:space="0"/>
              <w:right w:val="single" w:color="000000" w:sz="4" w:space="0"/>
            </w:tcBorders>
            <w:vAlign w:val="center"/>
          </w:tcPr>
          <w:p w14:paraId="0C0B8684">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w:t>
            </w:r>
          </w:p>
        </w:tc>
        <w:tc>
          <w:tcPr>
            <w:tcW w:w="1902" w:type="dxa"/>
            <w:tcBorders>
              <w:top w:val="single" w:color="000000" w:sz="4" w:space="0"/>
              <w:left w:val="single" w:color="000000" w:sz="4" w:space="0"/>
              <w:bottom w:val="single" w:color="000000" w:sz="4" w:space="0"/>
              <w:right w:val="single" w:color="000000" w:sz="4" w:space="0"/>
            </w:tcBorders>
            <w:vAlign w:val="center"/>
          </w:tcPr>
          <w:p w14:paraId="3DCADB51">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项目实施方案</w:t>
            </w:r>
          </w:p>
        </w:tc>
        <w:tc>
          <w:tcPr>
            <w:tcW w:w="3379" w:type="dxa"/>
            <w:tcBorders>
              <w:top w:val="single" w:color="000000" w:sz="4" w:space="0"/>
              <w:left w:val="single" w:color="000000" w:sz="4" w:space="0"/>
              <w:bottom w:val="single" w:color="000000" w:sz="4" w:space="0"/>
              <w:right w:val="single" w:color="000000" w:sz="4" w:space="0"/>
            </w:tcBorders>
            <w:vAlign w:val="center"/>
          </w:tcPr>
          <w:p w14:paraId="47544E96">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投标人应具备良好的项目实施能力，需对项目建设的全生命周期进行科学、有效的管理规划。</w:t>
            </w:r>
          </w:p>
          <w:p w14:paraId="0ACDEA29">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验收测试案例覆盖率达到100%，案例通过率达到95%以上。</w:t>
            </w:r>
          </w:p>
        </w:tc>
        <w:tc>
          <w:tcPr>
            <w:tcW w:w="1890" w:type="dxa"/>
            <w:tcBorders>
              <w:top w:val="single" w:color="000000" w:sz="4" w:space="0"/>
              <w:left w:val="single" w:color="000000" w:sz="4" w:space="0"/>
              <w:bottom w:val="single" w:color="000000" w:sz="4" w:space="0"/>
              <w:right w:val="single" w:color="000000" w:sz="4" w:space="0"/>
            </w:tcBorders>
            <w:vAlign w:val="center"/>
          </w:tcPr>
          <w:p w14:paraId="1E604F30">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是，1.提供项目实施方案;2.针对验收测试案例覆盖率提供承诺函并加盖公章。</w:t>
            </w:r>
          </w:p>
        </w:tc>
      </w:tr>
    </w:tbl>
    <w:p w14:paraId="0E61FA98">
      <w:pPr>
        <w:spacing w:line="360" w:lineRule="auto"/>
        <w:ind w:firstLine="420" w:firstLineChars="200"/>
        <w:jc w:val="left"/>
        <w:outlineLvl w:val="2"/>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2.商务要求</w:t>
      </w:r>
    </w:p>
    <w:p w14:paraId="5FD763C5">
      <w:pPr>
        <w:spacing w:line="360" w:lineRule="auto"/>
        <w:ind w:firstLine="420" w:firstLineChars="200"/>
        <w:rPr>
          <w:rFonts w:hint="default" w:ascii="Times New Roman Regular" w:hAnsi="Times New Roman Regular" w:eastAsia="宋体" w:cs="Times New Roman Regular"/>
          <w:iCs/>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iCs/>
          <w:color w:val="000000" w:themeColor="text1"/>
          <w:sz w:val="21"/>
          <w:szCs w:val="21"/>
          <w:highlight w:val="none"/>
          <w14:textFill>
            <w14:solidFill>
              <w14:schemeClr w14:val="tx1"/>
            </w14:solidFill>
          </w14:textFill>
        </w:rPr>
        <w:t>本商务要求共有“★”指标</w:t>
      </w:r>
      <w:r>
        <w:rPr>
          <w:rFonts w:hint="default" w:ascii="Times New Roman Regular" w:hAnsi="Times New Roman Regular" w:eastAsia="宋体" w:cs="Times New Roman Regular"/>
          <w:iCs/>
          <w:color w:val="000000" w:themeColor="text1"/>
          <w:sz w:val="21"/>
          <w:szCs w:val="21"/>
          <w:highlight w:val="none"/>
          <w:u w:val="single"/>
          <w14:textFill>
            <w14:solidFill>
              <w14:schemeClr w14:val="tx1"/>
            </w14:solidFill>
          </w14:textFill>
        </w:rPr>
        <w:t xml:space="preserve"> </w:t>
      </w:r>
      <w:r>
        <w:rPr>
          <w:rFonts w:hint="eastAsia" w:ascii="Times New Roman Regular" w:hAnsi="Times New Roman Regular" w:cs="Times New Roman Regular"/>
          <w:iCs/>
          <w:color w:val="000000" w:themeColor="text1"/>
          <w:sz w:val="21"/>
          <w:szCs w:val="21"/>
          <w:highlight w:val="none"/>
          <w:u w:val="single"/>
          <w:lang w:val="en-US" w:eastAsia="zh-CN"/>
          <w14:textFill>
            <w14:solidFill>
              <w14:schemeClr w14:val="tx1"/>
            </w14:solidFill>
          </w14:textFill>
        </w:rPr>
        <w:t>2</w:t>
      </w:r>
      <w:r>
        <w:rPr>
          <w:rFonts w:hint="default" w:ascii="Times New Roman Regular" w:hAnsi="Times New Roman Regular" w:eastAsia="宋体" w:cs="Times New Roman Regular"/>
          <w:iCs/>
          <w:color w:val="000000" w:themeColor="text1"/>
          <w:sz w:val="21"/>
          <w:szCs w:val="21"/>
          <w:highlight w:val="none"/>
          <w:u w:val="single"/>
          <w14:textFill>
            <w14:solidFill>
              <w14:schemeClr w14:val="tx1"/>
            </w14:solidFill>
          </w14:textFill>
        </w:rPr>
        <w:t xml:space="preserve"> </w:t>
      </w:r>
      <w:r>
        <w:rPr>
          <w:rFonts w:hint="default" w:ascii="Times New Roman Regular" w:hAnsi="Times New Roman Regular" w:eastAsia="宋体" w:cs="Times New Roman Regular"/>
          <w:iCs/>
          <w:color w:val="000000" w:themeColor="text1"/>
          <w:sz w:val="21"/>
          <w:szCs w:val="21"/>
          <w:highlight w:val="none"/>
          <w14:textFill>
            <w14:solidFill>
              <w14:schemeClr w14:val="tx1"/>
            </w14:solidFill>
          </w14:textFill>
        </w:rPr>
        <w:t>项，“#”指标</w:t>
      </w:r>
      <w:r>
        <w:rPr>
          <w:rFonts w:hint="default" w:ascii="Times New Roman Regular" w:hAnsi="Times New Roman Regular" w:eastAsia="宋体" w:cs="Times New Roman Regular"/>
          <w:iCs/>
          <w:color w:val="000000" w:themeColor="text1"/>
          <w:sz w:val="21"/>
          <w:szCs w:val="21"/>
          <w:highlight w:val="none"/>
          <w:u w:val="single"/>
          <w:lang w:val="en-US" w:eastAsia="zh-CN"/>
          <w14:textFill>
            <w14:solidFill>
              <w14:schemeClr w14:val="tx1"/>
            </w14:solidFill>
          </w14:textFill>
        </w:rPr>
        <w:t xml:space="preserve"> </w:t>
      </w:r>
      <w:r>
        <w:rPr>
          <w:rFonts w:hint="eastAsia" w:ascii="Times New Roman Regular" w:hAnsi="Times New Roman Regular" w:cs="Times New Roman Regular"/>
          <w:iCs/>
          <w:color w:val="000000" w:themeColor="text1"/>
          <w:sz w:val="21"/>
          <w:szCs w:val="21"/>
          <w:highlight w:val="none"/>
          <w:u w:val="single"/>
          <w:lang w:val="en-US" w:eastAsia="zh-CN"/>
          <w14:textFill>
            <w14:solidFill>
              <w14:schemeClr w14:val="tx1"/>
            </w14:solidFill>
          </w14:textFill>
        </w:rPr>
        <w:t>5</w:t>
      </w:r>
      <w:r>
        <w:rPr>
          <w:rFonts w:hint="default" w:ascii="Times New Roman Regular" w:hAnsi="Times New Roman Regular" w:eastAsia="宋体" w:cs="Times New Roman Regular"/>
          <w:iCs/>
          <w:color w:val="000000" w:themeColor="text1"/>
          <w:sz w:val="21"/>
          <w:szCs w:val="21"/>
          <w:highlight w:val="none"/>
          <w:u w:val="single"/>
          <w14:textFill>
            <w14:solidFill>
              <w14:schemeClr w14:val="tx1"/>
            </w14:solidFill>
          </w14:textFill>
        </w:rPr>
        <w:t xml:space="preserve"> </w:t>
      </w:r>
      <w:r>
        <w:rPr>
          <w:rFonts w:hint="default" w:ascii="Times New Roman Regular" w:hAnsi="Times New Roman Regular" w:eastAsia="宋体" w:cs="Times New Roman Regular"/>
          <w:iCs/>
          <w:color w:val="000000" w:themeColor="text1"/>
          <w:sz w:val="21"/>
          <w:szCs w:val="21"/>
          <w:highlight w:val="none"/>
          <w14:textFill>
            <w14:solidFill>
              <w14:schemeClr w14:val="tx1"/>
            </w14:solidFill>
          </w14:textFill>
        </w:rPr>
        <w:t>项，“△”指标</w:t>
      </w:r>
      <w:r>
        <w:rPr>
          <w:rFonts w:hint="default" w:ascii="Times New Roman Regular" w:hAnsi="Times New Roman Regular" w:eastAsia="宋体" w:cs="Times New Roman Regular"/>
          <w:iCs/>
          <w:color w:val="000000" w:themeColor="text1"/>
          <w:sz w:val="21"/>
          <w:szCs w:val="21"/>
          <w:highlight w:val="none"/>
          <w:u w:val="single"/>
          <w14:textFill>
            <w14:solidFill>
              <w14:schemeClr w14:val="tx1"/>
            </w14:solidFill>
          </w14:textFill>
        </w:rPr>
        <w:t xml:space="preserve"> </w:t>
      </w:r>
      <w:r>
        <w:rPr>
          <w:rFonts w:hint="default" w:ascii="Times New Roman Regular" w:hAnsi="Times New Roman Regular" w:eastAsia="宋体" w:cs="Times New Roman Regular"/>
          <w:iCs/>
          <w:color w:val="000000" w:themeColor="text1"/>
          <w:sz w:val="21"/>
          <w:szCs w:val="21"/>
          <w:highlight w:val="none"/>
          <w:u w:val="single"/>
          <w:lang w:val="en-US" w:eastAsia="zh-CN"/>
          <w14:textFill>
            <w14:solidFill>
              <w14:schemeClr w14:val="tx1"/>
            </w14:solidFill>
          </w14:textFill>
        </w:rPr>
        <w:t>0</w:t>
      </w:r>
      <w:r>
        <w:rPr>
          <w:rFonts w:hint="default" w:ascii="Times New Roman Regular" w:hAnsi="Times New Roman Regular" w:eastAsia="宋体" w:cs="Times New Roman Regular"/>
          <w:iCs/>
          <w:color w:val="000000" w:themeColor="text1"/>
          <w:sz w:val="21"/>
          <w:szCs w:val="21"/>
          <w:highlight w:val="none"/>
          <w:u w:val="single"/>
          <w14:textFill>
            <w14:solidFill>
              <w14:schemeClr w14:val="tx1"/>
            </w14:solidFill>
          </w14:textFill>
        </w:rPr>
        <w:t xml:space="preserve"> </w:t>
      </w:r>
      <w:r>
        <w:rPr>
          <w:rFonts w:hint="default" w:ascii="Times New Roman Regular" w:hAnsi="Times New Roman Regular" w:eastAsia="宋体" w:cs="Times New Roman Regular"/>
          <w:iCs/>
          <w:color w:val="000000" w:themeColor="text1"/>
          <w:sz w:val="21"/>
          <w:szCs w:val="21"/>
          <w:highlight w:val="none"/>
          <w14:textFill>
            <w14:solidFill>
              <w14:schemeClr w14:val="tx1"/>
            </w14:solidFill>
          </w14:textFill>
        </w:rPr>
        <w:t>项</w:t>
      </w:r>
    </w:p>
    <w:p w14:paraId="651B7280">
      <w:pPr>
        <w:numPr>
          <w:ilvl w:val="0"/>
          <w:numId w:val="7"/>
        </w:numPr>
        <w:spacing w:line="360" w:lineRule="auto"/>
        <w:ind w:firstLine="420" w:firstLineChars="200"/>
        <w:rPr>
          <w:rFonts w:hint="default" w:ascii="Times New Roman Regular" w:hAnsi="Times New Roman Regular" w:eastAsia="宋体" w:cs="Times New Roman Regular"/>
          <w:iCs/>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iCs/>
          <w:color w:val="000000" w:themeColor="text1"/>
          <w:sz w:val="21"/>
          <w:szCs w:val="21"/>
          <w:highlight w:val="none"/>
          <w14:textFill>
            <w14:solidFill>
              <w14:schemeClr w14:val="tx1"/>
            </w14:solidFill>
          </w14:textFill>
        </w:rPr>
        <w:t>服务要求</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2"/>
        <w:gridCol w:w="1248"/>
        <w:gridCol w:w="1648"/>
        <w:gridCol w:w="4044"/>
        <w:gridCol w:w="1451"/>
      </w:tblGrid>
      <w:tr w14:paraId="06962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7" w:hRule="atLeast"/>
        </w:trPr>
        <w:tc>
          <w:tcPr>
            <w:tcW w:w="481" w:type="pct"/>
            <w:vAlign w:val="center"/>
          </w:tcPr>
          <w:p w14:paraId="6D469CF8">
            <w:pPr>
              <w:spacing w:line="360" w:lineRule="auto"/>
              <w:ind w:firstLine="0"/>
              <w:jc w:val="center"/>
              <w:rPr>
                <w:rFonts w:hint="eastAsia"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eastAsia" w:ascii="Times New Roman Regular" w:hAnsi="Times New Roman Regular" w:eastAsia="宋体" w:cs="Times New Roman Regular"/>
                <w:b/>
                <w:color w:val="000000" w:themeColor="text1"/>
                <w:sz w:val="21"/>
                <w:szCs w:val="21"/>
                <w:highlight w:val="none"/>
                <w14:textFill>
                  <w14:solidFill>
                    <w14:schemeClr w14:val="tx1"/>
                  </w14:solidFill>
                </w14:textFill>
              </w:rPr>
              <w:t>序号</w:t>
            </w:r>
          </w:p>
        </w:tc>
        <w:tc>
          <w:tcPr>
            <w:tcW w:w="672" w:type="pct"/>
            <w:vAlign w:val="center"/>
          </w:tcPr>
          <w:p w14:paraId="3E5D0CD3">
            <w:pPr>
              <w:spacing w:line="360" w:lineRule="auto"/>
              <w:ind w:firstLine="0"/>
              <w:jc w:val="center"/>
              <w:rPr>
                <w:rFonts w:hint="eastAsia"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eastAsia" w:ascii="Times New Roman Regular" w:hAnsi="Times New Roman Regular" w:eastAsia="宋体" w:cs="Times New Roman Regular"/>
                <w:b/>
                <w:color w:val="000000" w:themeColor="text1"/>
                <w:sz w:val="21"/>
                <w:szCs w:val="21"/>
                <w:highlight w:val="none"/>
                <w14:textFill>
                  <w14:solidFill>
                    <w14:schemeClr w14:val="tx1"/>
                  </w14:solidFill>
                </w14:textFill>
              </w:rPr>
              <w:t>重要性</w:t>
            </w:r>
          </w:p>
        </w:tc>
        <w:tc>
          <w:tcPr>
            <w:tcW w:w="887" w:type="pct"/>
            <w:vAlign w:val="center"/>
          </w:tcPr>
          <w:p w14:paraId="40D33FD8">
            <w:pPr>
              <w:spacing w:line="360" w:lineRule="auto"/>
              <w:ind w:firstLine="0"/>
              <w:jc w:val="center"/>
              <w:rPr>
                <w:rFonts w:hint="eastAsia"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eastAsia" w:ascii="Times New Roman Regular" w:hAnsi="Times New Roman Regular" w:eastAsia="宋体" w:cs="Times New Roman Regular"/>
                <w:b/>
                <w:color w:val="000000" w:themeColor="text1"/>
                <w:sz w:val="21"/>
                <w:szCs w:val="21"/>
                <w:highlight w:val="none"/>
                <w14:textFill>
                  <w14:solidFill>
                    <w14:schemeClr w14:val="tx1"/>
                  </w14:solidFill>
                </w14:textFill>
              </w:rPr>
              <w:t>内容</w:t>
            </w:r>
          </w:p>
        </w:tc>
        <w:tc>
          <w:tcPr>
            <w:tcW w:w="2177" w:type="pct"/>
            <w:vAlign w:val="center"/>
          </w:tcPr>
          <w:p w14:paraId="312C32D6">
            <w:pPr>
              <w:spacing w:line="360" w:lineRule="auto"/>
              <w:ind w:firstLine="0"/>
              <w:jc w:val="center"/>
              <w:rPr>
                <w:rFonts w:hint="eastAsia"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eastAsia" w:ascii="Times New Roman Regular" w:hAnsi="Times New Roman Regular" w:eastAsia="宋体" w:cs="Times New Roman Regular"/>
                <w:b/>
                <w:color w:val="000000" w:themeColor="text1"/>
                <w:sz w:val="21"/>
                <w:szCs w:val="21"/>
                <w:highlight w:val="none"/>
                <w14:textFill>
                  <w14:solidFill>
                    <w14:schemeClr w14:val="tx1"/>
                  </w14:solidFill>
                </w14:textFill>
              </w:rPr>
              <w:t>服务要求标准</w:t>
            </w:r>
          </w:p>
        </w:tc>
        <w:tc>
          <w:tcPr>
            <w:tcW w:w="781" w:type="pct"/>
            <w:vAlign w:val="center"/>
          </w:tcPr>
          <w:p w14:paraId="52DA2FE8">
            <w:pPr>
              <w:spacing w:line="360" w:lineRule="auto"/>
              <w:ind w:firstLine="0"/>
              <w:jc w:val="center"/>
              <w:rPr>
                <w:rFonts w:hint="eastAsia" w:ascii="Times New Roman Regular" w:hAnsi="Times New Roman Regular" w:eastAsia="宋体" w:cs="Times New Roman Regular"/>
                <w:b/>
                <w:color w:val="000000" w:themeColor="text1"/>
                <w:sz w:val="21"/>
                <w:szCs w:val="21"/>
                <w:highlight w:val="none"/>
                <w14:textFill>
                  <w14:solidFill>
                    <w14:schemeClr w14:val="tx1"/>
                  </w14:solidFill>
                </w14:textFill>
              </w:rPr>
            </w:pPr>
            <w:r>
              <w:rPr>
                <w:rFonts w:hint="eastAsia" w:ascii="Times New Roman Regular" w:hAnsi="Times New Roman Regular" w:eastAsia="宋体" w:cs="Times New Roman Regular"/>
                <w:b/>
                <w:color w:val="000000" w:themeColor="text1"/>
                <w:sz w:val="21"/>
                <w:szCs w:val="21"/>
                <w:highlight w:val="none"/>
                <w14:textFill>
                  <w14:solidFill>
                    <w14:schemeClr w14:val="tx1"/>
                  </w14:solidFill>
                </w14:textFill>
              </w:rPr>
              <w:t>是否提供证明材料及方式</w:t>
            </w:r>
          </w:p>
        </w:tc>
      </w:tr>
      <w:tr w14:paraId="4B08E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pct"/>
            <w:vAlign w:val="center"/>
          </w:tcPr>
          <w:p w14:paraId="5395725C">
            <w:pPr>
              <w:keepNext w:val="0"/>
              <w:keepLines w:val="0"/>
              <w:widowControl/>
              <w:suppressLineNumbers w:val="0"/>
              <w:jc w:val="center"/>
              <w:textAlignment w:val="center"/>
              <w:rPr>
                <w:rFonts w:hint="eastAsia" w:ascii="仿宋" w:hAnsi="仿宋" w:eastAsia="仿宋" w:cs="宋体"/>
                <w:color w:val="000000" w:themeColor="text1"/>
                <w:kern w:val="0"/>
                <w:sz w:val="28"/>
                <w:szCs w:val="28"/>
                <w:highlight w:val="none"/>
                <w14:textFill>
                  <w14:solidFill>
                    <w14:schemeClr w14:val="tx1"/>
                  </w14:solidFill>
                </w14:textFill>
              </w:rPr>
            </w:pPr>
            <w:r>
              <w:rPr>
                <w:rFonts w:hint="eastAsia" w:ascii="仿宋" w:hAnsi="仿宋" w:eastAsia="仿宋" w:cs="仿宋"/>
                <w:i w:val="0"/>
                <w:iCs w:val="0"/>
                <w:color w:val="000000" w:themeColor="text1"/>
                <w:kern w:val="0"/>
                <w:sz w:val="24"/>
                <w:szCs w:val="24"/>
                <w:highlight w:val="none"/>
                <w:u w:val="none"/>
                <w:lang w:val="en-US" w:eastAsia="zh-CN" w:bidi="ar"/>
                <w14:textFill>
                  <w14:solidFill>
                    <w14:schemeClr w14:val="tx1"/>
                  </w14:solidFill>
                </w14:textFill>
              </w:rPr>
              <w:t>1</w:t>
            </w:r>
          </w:p>
        </w:tc>
        <w:tc>
          <w:tcPr>
            <w:tcW w:w="672" w:type="pct"/>
            <w:vAlign w:val="center"/>
          </w:tcPr>
          <w:p w14:paraId="6E1DFE9B">
            <w:pPr>
              <w:keepNext w:val="0"/>
              <w:keepLines w:val="0"/>
              <w:widowControl/>
              <w:suppressLineNumbers w:val="0"/>
              <w:jc w:val="center"/>
              <w:textAlignment w:val="center"/>
              <w:rPr>
                <w:rFonts w:hint="eastAsia"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仿宋"/>
                <w:i w:val="0"/>
                <w:iCs w:val="0"/>
                <w:color w:val="000000" w:themeColor="text1"/>
                <w:kern w:val="0"/>
                <w:sz w:val="24"/>
                <w:szCs w:val="24"/>
                <w:highlight w:val="none"/>
                <w:u w:val="none"/>
                <w:lang w:val="en-US" w:eastAsia="zh-CN" w:bidi="ar"/>
                <w14:textFill>
                  <w14:solidFill>
                    <w14:schemeClr w14:val="tx1"/>
                  </w14:solidFill>
                </w14:textFill>
              </w:rPr>
              <w:t>★</w:t>
            </w:r>
          </w:p>
        </w:tc>
        <w:tc>
          <w:tcPr>
            <w:tcW w:w="887" w:type="pct"/>
            <w:vAlign w:val="center"/>
          </w:tcPr>
          <w:p w14:paraId="00816305">
            <w:pPr>
              <w:keepNext w:val="0"/>
              <w:keepLines w:val="0"/>
              <w:widowControl/>
              <w:suppressLineNumbers w:val="0"/>
              <w:jc w:val="left"/>
              <w:textAlignment w:val="center"/>
              <w:rPr>
                <w:rFonts w:hint="eastAsia"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仿宋"/>
                <w:b w:val="0"/>
                <w:bCs w:val="0"/>
                <w:i w:val="0"/>
                <w:iCs w:val="0"/>
                <w:caps w:val="0"/>
                <w:color w:val="000000" w:themeColor="text1"/>
                <w:spacing w:val="0"/>
                <w:kern w:val="0"/>
                <w:sz w:val="24"/>
                <w:szCs w:val="24"/>
                <w:highlight w:val="none"/>
                <w:u w:val="none"/>
                <w:shd w:val="clear"/>
                <w:lang w:bidi="ar"/>
                <w14:textFill>
                  <w14:solidFill>
                    <w14:schemeClr w14:val="tx1"/>
                  </w14:solidFill>
                </w14:textFill>
              </w:rPr>
              <w:t>产品资质与责任承诺</w:t>
            </w:r>
          </w:p>
        </w:tc>
        <w:tc>
          <w:tcPr>
            <w:tcW w:w="2177" w:type="pct"/>
            <w:vAlign w:val="center"/>
          </w:tcPr>
          <w:p w14:paraId="545E7066">
            <w:pPr>
              <w:keepNext w:val="0"/>
              <w:keepLines w:val="0"/>
              <w:widowControl/>
              <w:suppressLineNumbers w:val="0"/>
              <w:jc w:val="left"/>
              <w:textAlignment w:val="center"/>
              <w:rPr>
                <w:rFonts w:hint="eastAsia"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仿宋"/>
                <w:i w:val="0"/>
                <w:iCs w:val="0"/>
                <w:caps w:val="0"/>
                <w:color w:val="000000" w:themeColor="text1"/>
                <w:spacing w:val="0"/>
                <w:kern w:val="0"/>
                <w:sz w:val="24"/>
                <w:szCs w:val="24"/>
                <w:highlight w:val="none"/>
                <w:u w:val="none"/>
                <w:shd w:val="clear"/>
                <w:lang w:bidi="ar"/>
                <w14:textFill>
                  <w14:solidFill>
                    <w14:schemeClr w14:val="tx1"/>
                  </w14:solidFill>
                </w14:textFill>
              </w:rPr>
              <w:t>投标人须承诺所投软件产品为原厂全新正版，具备合法知识产权与使用授权。</w:t>
            </w:r>
            <w:r>
              <w:rPr>
                <w:rFonts w:hint="eastAsia" w:ascii="仿宋" w:hAnsi="仿宋" w:eastAsia="仿宋" w:cs="仿宋"/>
                <w:b w:val="0"/>
                <w:bCs w:val="0"/>
                <w:i w:val="0"/>
                <w:iCs w:val="0"/>
                <w:caps w:val="0"/>
                <w:color w:val="000000" w:themeColor="text1"/>
                <w:spacing w:val="0"/>
                <w:kern w:val="0"/>
                <w:sz w:val="24"/>
                <w:szCs w:val="24"/>
                <w:highlight w:val="none"/>
                <w:u w:val="none"/>
                <w:shd w:val="clear"/>
                <w:lang w:bidi="ar"/>
                <w14:textFill>
                  <w14:solidFill>
                    <w14:schemeClr w14:val="tx1"/>
                  </w14:solidFill>
                </w14:textFill>
              </w:rPr>
              <w:t>投标人作为供应商，须承担产品全部售后、升级服务及因知识产权问题产生的一切法律责任。</w:t>
            </w:r>
          </w:p>
        </w:tc>
        <w:tc>
          <w:tcPr>
            <w:tcW w:w="781" w:type="pct"/>
            <w:vAlign w:val="center"/>
          </w:tcPr>
          <w:p w14:paraId="3D44FBA6">
            <w:pPr>
              <w:keepNext w:val="0"/>
              <w:keepLines w:val="0"/>
              <w:widowControl/>
              <w:suppressLineNumbers w:val="0"/>
              <w:jc w:val="left"/>
              <w:textAlignment w:val="center"/>
              <w:rPr>
                <w:rFonts w:hint="eastAsia"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仿宋"/>
                <w:i w:val="0"/>
                <w:iCs w:val="0"/>
                <w:caps w:val="0"/>
                <w:color w:val="000000" w:themeColor="text1"/>
                <w:spacing w:val="0"/>
                <w:kern w:val="0"/>
                <w:sz w:val="24"/>
                <w:szCs w:val="24"/>
                <w:highlight w:val="none"/>
                <w:u w:val="none"/>
                <w:shd w:val="clear"/>
                <w:lang w:val="en-US" w:eastAsia="zh-CN" w:bidi="ar"/>
                <w14:textFill>
                  <w14:solidFill>
                    <w14:schemeClr w14:val="tx1"/>
                  </w14:solidFill>
                </w14:textFill>
              </w:rPr>
              <w:t>是，提供</w:t>
            </w:r>
            <w:r>
              <w:rPr>
                <w:rFonts w:hint="eastAsia" w:ascii="仿宋" w:hAnsi="仿宋" w:eastAsia="仿宋" w:cs="仿宋"/>
                <w:i w:val="0"/>
                <w:iCs w:val="0"/>
                <w:caps w:val="0"/>
                <w:color w:val="000000" w:themeColor="text1"/>
                <w:spacing w:val="0"/>
                <w:kern w:val="0"/>
                <w:sz w:val="24"/>
                <w:szCs w:val="24"/>
                <w:highlight w:val="none"/>
                <w:u w:val="none"/>
                <w:shd w:val="clear"/>
                <w:lang w:bidi="ar"/>
                <w14:textFill>
                  <w14:solidFill>
                    <w14:schemeClr w14:val="tx1"/>
                  </w14:solidFill>
                </w14:textFill>
              </w:rPr>
              <w:t>承诺函</w:t>
            </w:r>
            <w:r>
              <w:rPr>
                <w:rFonts w:hint="eastAsia" w:ascii="仿宋" w:hAnsi="仿宋" w:eastAsia="仿宋" w:cs="仿宋"/>
                <w:i w:val="0"/>
                <w:iCs w:val="0"/>
                <w:caps w:val="0"/>
                <w:color w:val="000000" w:themeColor="text1"/>
                <w:spacing w:val="0"/>
                <w:kern w:val="0"/>
                <w:sz w:val="24"/>
                <w:szCs w:val="24"/>
                <w:highlight w:val="none"/>
                <w:u w:val="none"/>
                <w:shd w:val="clear"/>
                <w:lang w:val="en-US" w:eastAsia="zh-CN" w:bidi="ar"/>
                <w14:textFill>
                  <w14:solidFill>
                    <w14:schemeClr w14:val="tx1"/>
                  </w14:solidFill>
                </w14:textFill>
              </w:rPr>
              <w:t>并加盖公章。</w:t>
            </w:r>
          </w:p>
        </w:tc>
      </w:tr>
      <w:tr w14:paraId="4077B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pct"/>
            <w:vAlign w:val="center"/>
          </w:tcPr>
          <w:p w14:paraId="7AA996B3">
            <w:pPr>
              <w:keepNext w:val="0"/>
              <w:keepLines w:val="0"/>
              <w:widowControl/>
              <w:suppressLineNumbers w:val="0"/>
              <w:jc w:val="center"/>
              <w:textAlignment w:val="center"/>
              <w:rPr>
                <w:rFonts w:hint="eastAsia" w:ascii="仿宋" w:hAnsi="仿宋" w:eastAsia="仿宋" w:cs="宋体"/>
                <w:color w:val="000000" w:themeColor="text1"/>
                <w:kern w:val="0"/>
                <w:sz w:val="28"/>
                <w:szCs w:val="28"/>
                <w:highlight w:val="none"/>
                <w14:textFill>
                  <w14:solidFill>
                    <w14:schemeClr w14:val="tx1"/>
                  </w14:solidFill>
                </w14:textFill>
              </w:rPr>
            </w:pPr>
            <w:r>
              <w:rPr>
                <w:rFonts w:hint="eastAsia" w:ascii="仿宋" w:hAnsi="仿宋" w:eastAsia="仿宋" w:cs="仿宋"/>
                <w:i w:val="0"/>
                <w:iCs w:val="0"/>
                <w:color w:val="000000" w:themeColor="text1"/>
                <w:kern w:val="0"/>
                <w:sz w:val="24"/>
                <w:szCs w:val="24"/>
                <w:highlight w:val="none"/>
                <w:u w:val="none"/>
                <w:lang w:val="en-US" w:eastAsia="zh-CN" w:bidi="ar"/>
                <w14:textFill>
                  <w14:solidFill>
                    <w14:schemeClr w14:val="tx1"/>
                  </w14:solidFill>
                </w14:textFill>
              </w:rPr>
              <w:t>2</w:t>
            </w:r>
          </w:p>
        </w:tc>
        <w:tc>
          <w:tcPr>
            <w:tcW w:w="672" w:type="pct"/>
            <w:vAlign w:val="center"/>
          </w:tcPr>
          <w:p w14:paraId="3A3E39CF">
            <w:pPr>
              <w:keepNext w:val="0"/>
              <w:keepLines w:val="0"/>
              <w:widowControl/>
              <w:suppressLineNumbers w:val="0"/>
              <w:jc w:val="center"/>
              <w:textAlignment w:val="center"/>
              <w:rPr>
                <w:rFonts w:hint="eastAsia"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仿宋"/>
                <w:i w:val="0"/>
                <w:iCs w:val="0"/>
                <w:color w:val="000000" w:themeColor="text1"/>
                <w:kern w:val="0"/>
                <w:sz w:val="24"/>
                <w:szCs w:val="24"/>
                <w:highlight w:val="none"/>
                <w:u w:val="none"/>
                <w:lang w:val="en-US" w:eastAsia="zh-CN" w:bidi="ar"/>
                <w14:textFill>
                  <w14:solidFill>
                    <w14:schemeClr w14:val="tx1"/>
                  </w14:solidFill>
                </w14:textFill>
              </w:rPr>
              <w:t>★</w:t>
            </w:r>
          </w:p>
        </w:tc>
        <w:tc>
          <w:tcPr>
            <w:tcW w:w="887" w:type="pct"/>
            <w:vAlign w:val="center"/>
          </w:tcPr>
          <w:p w14:paraId="40206406">
            <w:pPr>
              <w:keepNext w:val="0"/>
              <w:keepLines w:val="0"/>
              <w:widowControl/>
              <w:suppressLineNumbers w:val="0"/>
              <w:jc w:val="left"/>
              <w:textAlignment w:val="center"/>
              <w:rPr>
                <w:rFonts w:hint="eastAsia"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仿宋"/>
                <w:b w:val="0"/>
                <w:bCs w:val="0"/>
                <w:i w:val="0"/>
                <w:iCs w:val="0"/>
                <w:caps w:val="0"/>
                <w:color w:val="000000" w:themeColor="text1"/>
                <w:spacing w:val="0"/>
                <w:kern w:val="0"/>
                <w:sz w:val="24"/>
                <w:szCs w:val="24"/>
                <w:highlight w:val="none"/>
                <w:u w:val="none"/>
                <w:shd w:val="clear"/>
                <w:lang w:val="en-US" w:eastAsia="zh-CN" w:bidi="ar"/>
                <w14:textFill>
                  <w14:solidFill>
                    <w14:schemeClr w14:val="tx1"/>
                  </w14:solidFill>
                </w14:textFill>
              </w:rPr>
              <w:t>产品授权</w:t>
            </w:r>
          </w:p>
        </w:tc>
        <w:tc>
          <w:tcPr>
            <w:tcW w:w="2177" w:type="pct"/>
            <w:vAlign w:val="center"/>
          </w:tcPr>
          <w:p w14:paraId="0678B018">
            <w:pPr>
              <w:keepNext w:val="0"/>
              <w:keepLines w:val="0"/>
              <w:widowControl/>
              <w:suppressLineNumbers w:val="0"/>
              <w:jc w:val="left"/>
              <w:textAlignment w:val="center"/>
              <w:rPr>
                <w:rFonts w:hint="eastAsia"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仿宋"/>
                <w:i w:val="0"/>
                <w:iCs w:val="0"/>
                <w:caps w:val="0"/>
                <w:color w:val="000000" w:themeColor="text1"/>
                <w:spacing w:val="0"/>
                <w:kern w:val="0"/>
                <w:sz w:val="24"/>
                <w:szCs w:val="24"/>
                <w:highlight w:val="none"/>
                <w:u w:val="none"/>
                <w:shd w:val="clear"/>
                <w:lang w:bidi="ar"/>
                <w14:textFill>
                  <w14:solidFill>
                    <w14:schemeClr w14:val="tx1"/>
                  </w14:solidFill>
                </w14:textFill>
              </w:rPr>
              <w:t>投标人须承诺所投软件产品许可应为永久</w:t>
            </w:r>
            <w:r>
              <w:rPr>
                <w:rFonts w:hint="eastAsia" w:ascii="仿宋" w:hAnsi="仿宋" w:eastAsia="仿宋" w:cs="仿宋"/>
                <w:i w:val="0"/>
                <w:iCs w:val="0"/>
                <w:caps w:val="0"/>
                <w:color w:val="000000" w:themeColor="text1"/>
                <w:spacing w:val="0"/>
                <w:kern w:val="0"/>
                <w:sz w:val="24"/>
                <w:szCs w:val="24"/>
                <w:highlight w:val="none"/>
                <w:u w:val="none"/>
                <w:shd w:val="clear"/>
                <w:lang w:val="en-US" w:eastAsia="zh-CN" w:bidi="ar"/>
                <w14:textFill>
                  <w14:solidFill>
                    <w14:schemeClr w14:val="tx1"/>
                  </w14:solidFill>
                </w14:textFill>
              </w:rPr>
              <w:t>场地许可</w:t>
            </w:r>
            <w:r>
              <w:rPr>
                <w:rFonts w:hint="eastAsia" w:ascii="仿宋" w:hAnsi="仿宋" w:eastAsia="仿宋" w:cs="仿宋"/>
                <w:i w:val="0"/>
                <w:iCs w:val="0"/>
                <w:caps w:val="0"/>
                <w:color w:val="000000" w:themeColor="text1"/>
                <w:spacing w:val="0"/>
                <w:kern w:val="0"/>
                <w:sz w:val="24"/>
                <w:szCs w:val="24"/>
                <w:highlight w:val="none"/>
                <w:u w:val="none"/>
                <w:shd w:val="clear"/>
                <w:lang w:bidi="ar"/>
                <w14:textFill>
                  <w14:solidFill>
                    <w14:schemeClr w14:val="tx1"/>
                  </w14:solidFill>
                </w14:textFill>
              </w:rPr>
              <w:t>，</w:t>
            </w:r>
            <w:r>
              <w:rPr>
                <w:rFonts w:hint="eastAsia" w:ascii="仿宋" w:hAnsi="仿宋" w:eastAsia="仿宋" w:cs="仿宋"/>
                <w:i w:val="0"/>
                <w:iCs w:val="0"/>
                <w:caps w:val="0"/>
                <w:color w:val="000000" w:themeColor="text1"/>
                <w:spacing w:val="0"/>
                <w:kern w:val="0"/>
                <w:sz w:val="24"/>
                <w:szCs w:val="24"/>
                <w:highlight w:val="none"/>
                <w:u w:val="none"/>
                <w:shd w:val="clear"/>
                <w:lang w:val="en-US" w:eastAsia="zh-CN" w:bidi="ar"/>
                <w14:textFill>
                  <w14:solidFill>
                    <w14:schemeClr w14:val="tx1"/>
                  </w14:solidFill>
                </w14:textFill>
              </w:rPr>
              <w:t>不限制用户/设备数量，</w:t>
            </w:r>
            <w:r>
              <w:rPr>
                <w:rFonts w:hint="eastAsia" w:ascii="仿宋" w:hAnsi="仿宋" w:eastAsia="仿宋" w:cs="仿宋"/>
                <w:i w:val="0"/>
                <w:iCs w:val="0"/>
                <w:caps w:val="0"/>
                <w:color w:val="000000" w:themeColor="text1"/>
                <w:spacing w:val="0"/>
                <w:kern w:val="0"/>
                <w:sz w:val="24"/>
                <w:szCs w:val="24"/>
                <w:highlight w:val="none"/>
                <w:u w:val="none"/>
                <w:shd w:val="clear"/>
                <w:lang w:bidi="ar"/>
                <w14:textFill>
                  <w14:solidFill>
                    <w14:schemeClr w14:val="tx1"/>
                  </w14:solidFill>
                </w14:textFill>
              </w:rPr>
              <w:t>非订阅授权模式，不绑定IP和MAC地址、不限单套所安装主机的CPU类型核数及其他硬件。此外，须为招标人的模拟环境、测试环境等非生产环境提供免费产品许可。</w:t>
            </w:r>
          </w:p>
        </w:tc>
        <w:tc>
          <w:tcPr>
            <w:tcW w:w="781" w:type="pct"/>
            <w:vAlign w:val="center"/>
          </w:tcPr>
          <w:p w14:paraId="1F4A615B">
            <w:pPr>
              <w:keepNext w:val="0"/>
              <w:keepLines w:val="0"/>
              <w:widowControl/>
              <w:suppressLineNumbers w:val="0"/>
              <w:jc w:val="left"/>
              <w:textAlignment w:val="center"/>
              <w:rPr>
                <w:rFonts w:hint="default" w:ascii="仿宋" w:hAnsi="仿宋" w:eastAsia="仿宋" w:cs="宋体"/>
                <w:color w:val="000000" w:themeColor="text1"/>
                <w:sz w:val="28"/>
                <w:szCs w:val="28"/>
                <w:highlight w:val="none"/>
                <w:lang w:val="en-US"/>
                <w14:textFill>
                  <w14:solidFill>
                    <w14:schemeClr w14:val="tx1"/>
                  </w14:solidFill>
                </w14:textFill>
              </w:rPr>
            </w:pPr>
            <w:r>
              <w:rPr>
                <w:rFonts w:hint="eastAsia" w:ascii="仿宋" w:hAnsi="仿宋" w:eastAsia="仿宋" w:cs="仿宋"/>
                <w:i w:val="0"/>
                <w:iCs w:val="0"/>
                <w:caps w:val="0"/>
                <w:color w:val="000000" w:themeColor="text1"/>
                <w:spacing w:val="0"/>
                <w:kern w:val="0"/>
                <w:sz w:val="24"/>
                <w:szCs w:val="24"/>
                <w:highlight w:val="none"/>
                <w:u w:val="none"/>
                <w:shd w:val="clear"/>
                <w:lang w:val="en-US" w:eastAsia="zh-CN" w:bidi="ar"/>
                <w14:textFill>
                  <w14:solidFill>
                    <w14:schemeClr w14:val="tx1"/>
                  </w14:solidFill>
                </w14:textFill>
              </w:rPr>
              <w:t>是，提供承诺函并加盖公章。</w:t>
            </w:r>
          </w:p>
        </w:tc>
      </w:tr>
      <w:tr w14:paraId="6E626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pct"/>
            <w:vAlign w:val="center"/>
          </w:tcPr>
          <w:p w14:paraId="0CC50F06">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3</w:t>
            </w:r>
          </w:p>
        </w:tc>
        <w:tc>
          <w:tcPr>
            <w:tcW w:w="672" w:type="pct"/>
            <w:vAlign w:val="center"/>
          </w:tcPr>
          <w:p w14:paraId="4452F5F5">
            <w:pPr>
              <w:jc w:val="center"/>
              <w:rPr>
                <w:rFonts w:ascii="仿宋" w:hAnsi="仿宋" w:eastAsia="仿宋" w:cs="Times New Roman"/>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w:t>
            </w:r>
          </w:p>
        </w:tc>
        <w:tc>
          <w:tcPr>
            <w:tcW w:w="887" w:type="pct"/>
            <w:vAlign w:val="center"/>
          </w:tcPr>
          <w:p w14:paraId="2FB760D3">
            <w:pPr>
              <w:widowControl/>
              <w:jc w:val="center"/>
              <w:textAlignment w:val="center"/>
              <w:rPr>
                <w:rFonts w:ascii="仿宋" w:hAnsi="仿宋" w:eastAsia="仿宋" w:cs="Times New Roman"/>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资质情况</w:t>
            </w:r>
          </w:p>
        </w:tc>
        <w:tc>
          <w:tcPr>
            <w:tcW w:w="2177" w:type="pct"/>
            <w:vAlign w:val="center"/>
          </w:tcPr>
          <w:p w14:paraId="7D5D808F">
            <w:pPr>
              <w:widowControl/>
              <w:jc w:val="left"/>
              <w:textAlignment w:val="center"/>
              <w:rPr>
                <w:rFonts w:ascii="仿宋" w:hAnsi="仿宋" w:eastAsia="仿宋" w:cs="Times New Roman"/>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投标人应具备相关资质认证，如ISO27001信息安全管理体系认证、ISO9001质量管理体系认证、ISO20000信息技术服务管理体系认证、ISO22301业务连续性管理体系认证。</w:t>
            </w:r>
          </w:p>
        </w:tc>
        <w:tc>
          <w:tcPr>
            <w:tcW w:w="781" w:type="pct"/>
          </w:tcPr>
          <w:p w14:paraId="74EFBC29">
            <w:pPr>
              <w:widowControl/>
              <w:jc w:val="left"/>
              <w:textAlignment w:val="center"/>
              <w:rPr>
                <w:rFonts w:hint="eastAsia" w:ascii="仿宋" w:hAnsi="仿宋" w:eastAsia="仿宋" w:cs="Times New Roman"/>
                <w:color w:val="000000" w:themeColor="text1"/>
                <w:sz w:val="24"/>
                <w:szCs w:val="24"/>
                <w:highlight w:val="none"/>
                <w:lang w:eastAsia="zh-CN"/>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是，需提供有效期内的资</w:t>
            </w:r>
            <w:r>
              <w:rPr>
                <w:rFonts w:hint="eastAsia" w:ascii="仿宋" w:hAnsi="仿宋" w:eastAsia="仿宋" w:cs="宋体"/>
                <w:color w:val="000000" w:themeColor="text1"/>
                <w:sz w:val="24"/>
                <w:szCs w:val="24"/>
                <w:highlight w:val="none"/>
                <w:lang w:val="en-US" w:eastAsia="zh-CN"/>
                <w14:textFill>
                  <w14:solidFill>
                    <w14:schemeClr w14:val="tx1"/>
                  </w14:solidFill>
                </w14:textFill>
              </w:rPr>
              <w:t>质</w:t>
            </w:r>
            <w:r>
              <w:rPr>
                <w:rFonts w:hint="eastAsia" w:ascii="仿宋" w:hAnsi="仿宋" w:eastAsia="仿宋" w:cs="宋体"/>
                <w:color w:val="000000" w:themeColor="text1"/>
                <w:sz w:val="24"/>
                <w:szCs w:val="24"/>
                <w:highlight w:val="none"/>
                <w14:textFill>
                  <w14:solidFill>
                    <w14:schemeClr w14:val="tx1"/>
                  </w14:solidFill>
                </w14:textFill>
              </w:rPr>
              <w:t>证书复印件</w:t>
            </w:r>
            <w:r>
              <w:rPr>
                <w:rFonts w:hint="eastAsia" w:ascii="仿宋" w:hAnsi="仿宋" w:eastAsia="仿宋" w:cs="宋体"/>
                <w:color w:val="000000" w:themeColor="text1"/>
                <w:sz w:val="24"/>
                <w:szCs w:val="24"/>
                <w:highlight w:val="none"/>
                <w:lang w:eastAsia="zh-CN"/>
                <w14:textFill>
                  <w14:solidFill>
                    <w14:schemeClr w14:val="tx1"/>
                  </w14:solidFill>
                </w14:textFill>
              </w:rPr>
              <w:t>。</w:t>
            </w:r>
          </w:p>
        </w:tc>
      </w:tr>
      <w:tr w14:paraId="6EA50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pct"/>
            <w:vAlign w:val="center"/>
          </w:tcPr>
          <w:p w14:paraId="4C1FA41D">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4</w:t>
            </w:r>
          </w:p>
        </w:tc>
        <w:tc>
          <w:tcPr>
            <w:tcW w:w="672" w:type="pct"/>
            <w:vAlign w:val="center"/>
          </w:tcPr>
          <w:p w14:paraId="1B5D9A68">
            <w:pPr>
              <w:jc w:val="cente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w:t>
            </w:r>
          </w:p>
        </w:tc>
        <w:tc>
          <w:tcPr>
            <w:tcW w:w="887" w:type="pct"/>
            <w:vAlign w:val="center"/>
          </w:tcPr>
          <w:p w14:paraId="3ADCAE2F">
            <w:pP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项目经验</w:t>
            </w:r>
          </w:p>
        </w:tc>
        <w:tc>
          <w:tcPr>
            <w:tcW w:w="2177" w:type="pct"/>
            <w:vAlign w:val="center"/>
          </w:tcPr>
          <w:p w14:paraId="5568DE2D">
            <w:pP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投标人应具备同类项目实施经验，应提供202</w:t>
            </w:r>
            <w:r>
              <w:rPr>
                <w:rFonts w:hint="eastAsia" w:ascii="仿宋" w:hAnsi="仿宋" w:eastAsia="仿宋" w:cs="宋体"/>
                <w:color w:val="000000" w:themeColor="text1"/>
                <w:sz w:val="24"/>
                <w:szCs w:val="24"/>
                <w:highlight w:val="none"/>
                <w:lang w:val="en-US" w:eastAsia="zh-CN"/>
                <w14:textFill>
                  <w14:solidFill>
                    <w14:schemeClr w14:val="tx1"/>
                  </w14:solidFill>
                </w14:textFill>
              </w:rPr>
              <w:t>3</w:t>
            </w:r>
            <w:r>
              <w:rPr>
                <w:rFonts w:hint="eastAsia" w:ascii="仿宋" w:hAnsi="仿宋" w:eastAsia="仿宋" w:cs="宋体"/>
                <w:color w:val="000000" w:themeColor="text1"/>
                <w:sz w:val="24"/>
                <w:szCs w:val="24"/>
                <w:highlight w:val="none"/>
                <w14:textFill>
                  <w14:solidFill>
                    <w14:schemeClr w14:val="tx1"/>
                  </w14:solidFill>
                </w14:textFill>
              </w:rPr>
              <w:t>年1月1日起大数据平台数据开发或者应用开发相关案例</w:t>
            </w:r>
            <w:r>
              <w:rPr>
                <w:rFonts w:hint="eastAsia"/>
                <w:color w:val="000000" w:themeColor="text1"/>
                <w:sz w:val="24"/>
                <w:szCs w:val="24"/>
                <w:highlight w:val="none"/>
                <w14:textFill>
                  <w14:solidFill>
                    <w14:schemeClr w14:val="tx1"/>
                  </w14:solidFill>
                </w14:textFill>
              </w:rPr>
              <w:t>。</w:t>
            </w:r>
          </w:p>
        </w:tc>
        <w:tc>
          <w:tcPr>
            <w:tcW w:w="781" w:type="pct"/>
          </w:tcPr>
          <w:p w14:paraId="09AFEBBB">
            <w:pPr>
              <w:pStyle w:val="8"/>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是，提供正式合同复印件（需包含合同内容页、合同签订时间页和盖章页）</w:t>
            </w:r>
          </w:p>
          <w:p w14:paraId="7615EB83">
            <w:pPr>
              <w:rPr>
                <w:rFonts w:ascii="仿宋" w:hAnsi="仿宋" w:eastAsia="仿宋" w:cs="宋体"/>
                <w:color w:val="000000" w:themeColor="text1"/>
                <w:sz w:val="24"/>
                <w:szCs w:val="24"/>
                <w:highlight w:val="none"/>
                <w14:textFill>
                  <w14:solidFill>
                    <w14:schemeClr w14:val="tx1"/>
                  </w14:solidFill>
                </w14:textFill>
              </w:rPr>
            </w:pPr>
          </w:p>
        </w:tc>
      </w:tr>
      <w:tr w14:paraId="6D1F2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pct"/>
            <w:vAlign w:val="center"/>
          </w:tcPr>
          <w:p w14:paraId="310F78F3">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5</w:t>
            </w:r>
          </w:p>
        </w:tc>
        <w:tc>
          <w:tcPr>
            <w:tcW w:w="672" w:type="pct"/>
            <w:vAlign w:val="center"/>
          </w:tcPr>
          <w:p w14:paraId="31DD4F8F">
            <w:pPr>
              <w:jc w:val="cente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w:t>
            </w:r>
          </w:p>
        </w:tc>
        <w:tc>
          <w:tcPr>
            <w:tcW w:w="887" w:type="pct"/>
            <w:vAlign w:val="center"/>
          </w:tcPr>
          <w:p w14:paraId="3437E5D1">
            <w:pP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服务方案</w:t>
            </w:r>
          </w:p>
        </w:tc>
        <w:tc>
          <w:tcPr>
            <w:tcW w:w="2177" w:type="pct"/>
            <w:vAlign w:val="center"/>
          </w:tcPr>
          <w:p w14:paraId="04DC6136">
            <w:pPr>
              <w:widowControl/>
              <w:jc w:val="left"/>
              <w:textAlignment w:val="cente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投标人提供的服务团队需驻场进行开发，</w:t>
            </w:r>
            <w:r>
              <w:rPr>
                <w:rFonts w:ascii="仿宋" w:hAnsi="仿宋" w:eastAsia="仿宋" w:cs="宋体"/>
                <w:color w:val="000000" w:themeColor="text1"/>
                <w:sz w:val="24"/>
                <w:szCs w:val="24"/>
                <w:highlight w:val="none"/>
                <w14:textFill>
                  <w14:solidFill>
                    <w14:schemeClr w14:val="tx1"/>
                  </w14:solidFill>
                </w14:textFill>
              </w:rPr>
              <w:t>并在维保服务范围内提供技术支持</w:t>
            </w:r>
            <w:r>
              <w:rPr>
                <w:rFonts w:hint="eastAsia" w:ascii="仿宋" w:hAnsi="仿宋" w:eastAsia="仿宋" w:cs="宋体"/>
                <w:color w:val="000000" w:themeColor="text1"/>
                <w:sz w:val="24"/>
                <w:szCs w:val="24"/>
                <w:highlight w:val="none"/>
                <w14:textFill>
                  <w14:solidFill>
                    <w14:schemeClr w14:val="tx1"/>
                  </w14:solidFill>
                </w14:textFill>
              </w:rPr>
              <w:t>。具体需求如下：</w:t>
            </w:r>
          </w:p>
          <w:p w14:paraId="3C38D168">
            <w:pPr>
              <w:widowControl/>
              <w:jc w:val="left"/>
              <w:textAlignment w:val="cente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（1）提供驻场开发服务和技术支持服务</w:t>
            </w:r>
            <w:r>
              <w:rPr>
                <w:rFonts w:hint="eastAsia" w:ascii="仿宋" w:hAnsi="仿宋" w:eastAsia="仿宋" w:cs="Times New Roman"/>
                <w:color w:val="000000" w:themeColor="text1"/>
                <w:sz w:val="24"/>
                <w:szCs w:val="24"/>
                <w:highlight w:val="none"/>
                <w14:textFill>
                  <w14:solidFill>
                    <w14:schemeClr w14:val="tx1"/>
                  </w14:solidFill>
                </w14:textFill>
              </w:rPr>
              <w:t>（包括现场及远程）</w:t>
            </w:r>
            <w:r>
              <w:rPr>
                <w:rFonts w:hint="eastAsia" w:ascii="仿宋" w:hAnsi="仿宋" w:eastAsia="仿宋" w:cs="宋体"/>
                <w:color w:val="000000" w:themeColor="text1"/>
                <w:sz w:val="24"/>
                <w:szCs w:val="24"/>
                <w:highlight w:val="none"/>
                <w14:textFill>
                  <w14:solidFill>
                    <w14:schemeClr w14:val="tx1"/>
                  </w14:solidFill>
                </w14:textFill>
              </w:rPr>
              <w:t>；</w:t>
            </w:r>
          </w:p>
          <w:p w14:paraId="1E52EF68">
            <w:pPr>
              <w:widowControl/>
              <w:jc w:val="left"/>
              <w:textAlignment w:val="cente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（2）</w:t>
            </w:r>
            <w:r>
              <w:rPr>
                <w:rFonts w:hint="eastAsia" w:ascii="仿宋" w:hAnsi="仿宋" w:eastAsia="仿宋" w:cs="Times New Roman"/>
                <w:color w:val="000000" w:themeColor="text1"/>
                <w:sz w:val="24"/>
                <w:szCs w:val="24"/>
                <w:highlight w:val="none"/>
                <w14:textFill>
                  <w14:solidFill>
                    <w14:schemeClr w14:val="tx1"/>
                  </w14:solidFill>
                </w14:textFill>
              </w:rPr>
              <w:t>配合完成第三方补丁升级</w:t>
            </w:r>
            <w:r>
              <w:rPr>
                <w:rFonts w:hint="eastAsia" w:ascii="仿宋" w:hAnsi="仿宋" w:eastAsia="仿宋" w:cs="宋体"/>
                <w:color w:val="000000" w:themeColor="text1"/>
                <w:sz w:val="24"/>
                <w:szCs w:val="24"/>
                <w:highlight w:val="none"/>
                <w14:textFill>
                  <w14:solidFill>
                    <w14:schemeClr w14:val="tx1"/>
                  </w14:solidFill>
                </w14:textFill>
              </w:rPr>
              <w:t>；</w:t>
            </w:r>
          </w:p>
          <w:p w14:paraId="7DE12606">
            <w:pPr>
              <w:widowControl/>
              <w:jc w:val="left"/>
              <w:textAlignment w:val="cente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（3）</w:t>
            </w:r>
            <w:r>
              <w:rPr>
                <w:rFonts w:hint="eastAsia" w:ascii="仿宋" w:hAnsi="仿宋" w:eastAsia="仿宋" w:cs="Times New Roman"/>
                <w:color w:val="000000" w:themeColor="text1"/>
                <w:sz w:val="24"/>
                <w:szCs w:val="24"/>
                <w:highlight w:val="none"/>
                <w14:textFill>
                  <w14:solidFill>
                    <w14:schemeClr w14:val="tx1"/>
                  </w14:solidFill>
                </w14:textFill>
              </w:rPr>
              <w:t>在特保期</w:t>
            </w:r>
            <w:r>
              <w:rPr>
                <w:rFonts w:hint="eastAsia" w:ascii="仿宋" w:hAnsi="仿宋" w:eastAsia="仿宋" w:cs="宋体"/>
                <w:color w:val="000000" w:themeColor="text1"/>
                <w:sz w:val="24"/>
                <w:szCs w:val="24"/>
                <w:highlight w:val="none"/>
                <w14:textFill>
                  <w14:solidFill>
                    <w14:schemeClr w14:val="tx1"/>
                  </w14:solidFill>
                </w14:textFill>
              </w:rPr>
              <w:t>能够提供7×24小时服务</w:t>
            </w:r>
            <w:r>
              <w:rPr>
                <w:rFonts w:hint="eastAsia" w:ascii="仿宋" w:hAnsi="仿宋" w:eastAsia="仿宋" w:cs="Times New Roman"/>
                <w:color w:val="000000" w:themeColor="text1"/>
                <w:sz w:val="24"/>
                <w:szCs w:val="24"/>
                <w:highlight w:val="none"/>
                <w14:textFill>
                  <w14:solidFill>
                    <w14:schemeClr w14:val="tx1"/>
                  </w14:solidFill>
                </w14:textFill>
              </w:rPr>
              <w:t>；</w:t>
            </w:r>
          </w:p>
          <w:p w14:paraId="5574FB83">
            <w:pPr>
              <w:widowControl/>
              <w:jc w:val="left"/>
              <w:textAlignment w:val="cente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（4）在特保期能够在0.5小时内响应、1小时内到场、2小时内恢复系统至可用；</w:t>
            </w:r>
          </w:p>
          <w:p w14:paraId="39F98798">
            <w:pPr>
              <w:jc w:val="left"/>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（5）定期健康检查、性能调优；</w:t>
            </w:r>
          </w:p>
          <w:p w14:paraId="596F2D46">
            <w:pPr>
              <w:jc w:val="left"/>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Times New Roman"/>
                <w:color w:val="000000" w:themeColor="text1"/>
                <w:sz w:val="24"/>
                <w:szCs w:val="24"/>
                <w:highlight w:val="none"/>
                <w14:textFill>
                  <w14:solidFill>
                    <w14:schemeClr w14:val="tx1"/>
                  </w14:solidFill>
                </w14:textFill>
              </w:rPr>
              <w:t>（6）项目培训方面提供不低于2次现场培训，每次培训时间不少于2个小时。</w:t>
            </w:r>
          </w:p>
        </w:tc>
        <w:tc>
          <w:tcPr>
            <w:tcW w:w="781" w:type="pct"/>
          </w:tcPr>
          <w:p w14:paraId="000C4F9F">
            <w:pPr>
              <w:jc w:val="left"/>
              <w:rPr>
                <w:rFonts w:hint="default" w:ascii="仿宋" w:hAnsi="仿宋" w:cs="宋体" w:eastAsiaTheme="minorEastAsia"/>
                <w:color w:val="000000" w:themeColor="text1"/>
                <w:sz w:val="24"/>
                <w:szCs w:val="24"/>
                <w:highlight w:val="none"/>
                <w:lang w:val="en-US" w:eastAsia="zh-CN"/>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是，提供</w:t>
            </w:r>
            <w:r>
              <w:rPr>
                <w:rFonts w:hint="eastAsia" w:ascii="仿宋" w:hAnsi="仿宋" w:eastAsia="仿宋" w:cs="宋体"/>
                <w:color w:val="000000" w:themeColor="text1"/>
                <w:sz w:val="24"/>
                <w:szCs w:val="24"/>
                <w:highlight w:val="none"/>
                <w:lang w:val="en-US" w:eastAsia="zh-CN"/>
                <w14:textFill>
                  <w14:solidFill>
                    <w14:schemeClr w14:val="tx1"/>
                  </w14:solidFill>
                </w14:textFill>
              </w:rPr>
              <w:t>服务方案</w:t>
            </w:r>
          </w:p>
        </w:tc>
      </w:tr>
      <w:tr w14:paraId="62D7C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pct"/>
            <w:vAlign w:val="center"/>
          </w:tcPr>
          <w:p w14:paraId="7DECCFF5">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6</w:t>
            </w:r>
          </w:p>
        </w:tc>
        <w:tc>
          <w:tcPr>
            <w:tcW w:w="672" w:type="pct"/>
            <w:vAlign w:val="center"/>
          </w:tcPr>
          <w:p w14:paraId="51DB9F30">
            <w:pPr>
              <w:jc w:val="cente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w:t>
            </w:r>
          </w:p>
        </w:tc>
        <w:tc>
          <w:tcPr>
            <w:tcW w:w="887" w:type="pct"/>
            <w:vAlign w:val="center"/>
          </w:tcPr>
          <w:p w14:paraId="714DCA32">
            <w:pP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服务团队组成</w:t>
            </w:r>
          </w:p>
        </w:tc>
        <w:tc>
          <w:tcPr>
            <w:tcW w:w="2177" w:type="pct"/>
            <w:vAlign w:val="center"/>
          </w:tcPr>
          <w:p w14:paraId="7B9D3879">
            <w:pPr>
              <w:widowControl/>
              <w:jc w:val="left"/>
              <w:textAlignment w:val="center"/>
              <w:rPr>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投标人应提供完善的项目团队以保证采购人项目的建设进度及质量，要求如下：</w:t>
            </w:r>
          </w:p>
          <w:p w14:paraId="4E13F128">
            <w:pPr>
              <w:pStyle w:val="43"/>
              <w:widowControl/>
              <w:ind w:firstLine="0" w:firstLineChars="0"/>
              <w:textAlignment w:val="cente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（1）项目经理应具有10年及以上工作经验</w:t>
            </w:r>
            <w:r>
              <w:rPr>
                <w:rFonts w:hint="eastAsia" w:ascii="仿宋" w:hAnsi="仿宋" w:eastAsia="仿宋" w:cs="Arial"/>
                <w:color w:val="000000" w:themeColor="text1"/>
                <w:sz w:val="24"/>
                <w:szCs w:val="24"/>
                <w:highlight w:val="none"/>
                <w14:textFill>
                  <w14:solidFill>
                    <w14:schemeClr w14:val="tx1"/>
                  </w14:solidFill>
                </w14:textFill>
              </w:rPr>
              <w:t>，</w:t>
            </w:r>
            <w:r>
              <w:rPr>
                <w:rFonts w:hint="eastAsia" w:ascii="仿宋" w:hAnsi="仿宋" w:eastAsia="仿宋" w:cs="宋体"/>
                <w:color w:val="000000" w:themeColor="text1"/>
                <w:sz w:val="24"/>
                <w:szCs w:val="24"/>
                <w:highlight w:val="none"/>
                <w14:textFill>
                  <w14:solidFill>
                    <w14:schemeClr w14:val="tx1"/>
                  </w14:solidFill>
                </w14:textFill>
              </w:rPr>
              <w:t>具有不少于3个数据系统或应用系统的主导经验</w:t>
            </w:r>
            <w:r>
              <w:rPr>
                <w:rFonts w:hint="eastAsia" w:ascii="仿宋" w:hAnsi="仿宋" w:eastAsia="仿宋" w:cs="仿宋"/>
                <w:bCs/>
                <w:color w:val="000000" w:themeColor="text1"/>
                <w:sz w:val="24"/>
                <w:szCs w:val="24"/>
                <w:highlight w:val="none"/>
                <w14:textFill>
                  <w14:solidFill>
                    <w14:schemeClr w14:val="tx1"/>
                  </w14:solidFill>
                </w14:textFill>
              </w:rPr>
              <w:t>。须</w:t>
            </w:r>
            <w:r>
              <w:rPr>
                <w:rFonts w:hint="eastAsia" w:ascii="仿宋" w:hAnsi="仿宋" w:eastAsia="仿宋" w:cs="宋体"/>
                <w:color w:val="000000" w:themeColor="text1"/>
                <w:sz w:val="24"/>
                <w:szCs w:val="24"/>
                <w:highlight w:val="none"/>
                <w14:textFill>
                  <w14:solidFill>
                    <w14:schemeClr w14:val="tx1"/>
                  </w14:solidFill>
                </w14:textFill>
              </w:rPr>
              <w:t>参与实施过数据平台开发的相关项目，并具有</w:t>
            </w:r>
            <w:r>
              <w:rPr>
                <w:rFonts w:hint="eastAsia" w:ascii="仿宋" w:hAnsi="仿宋" w:eastAsia="仿宋" w:cs="Times New Roman"/>
                <w:color w:val="000000" w:themeColor="text1"/>
                <w:sz w:val="24"/>
                <w:szCs w:val="24"/>
                <w:highlight w:val="none"/>
                <w14:textFill>
                  <w14:solidFill>
                    <w14:schemeClr w14:val="tx1"/>
                  </w14:solidFill>
                </w14:textFill>
              </w:rPr>
              <w:t>人社管理部门颁发的信息系统项目管理师资质证书。</w:t>
            </w:r>
          </w:p>
          <w:p w14:paraId="3097B943">
            <w:pPr>
              <w:pStyle w:val="43"/>
              <w:widowControl/>
              <w:ind w:firstLine="0" w:firstLineChars="0"/>
              <w:textAlignment w:val="cente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（2）团队成员（至少包括产品经理、架构师、高级开发人员、测试经理和配置管理）应具有丰富的相关岗位工作经验，保障技术服务持续提供的稳定性。</w:t>
            </w:r>
          </w:p>
          <w:p w14:paraId="21EEC63D">
            <w:pPr>
              <w:pStyle w:val="43"/>
              <w:widowControl/>
              <w:ind w:firstLine="0" w:firstLineChars="0"/>
              <w:textAlignment w:val="cente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核心团队成员基本要求：</w:t>
            </w:r>
          </w:p>
          <w:p w14:paraId="063D211A">
            <w:pPr>
              <w:pStyle w:val="43"/>
              <w:widowControl/>
              <w:ind w:firstLine="0" w:firstLineChars="0"/>
              <w:textAlignment w:val="cente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1)产品经理要求5年及以上系统业务需求分析经验；</w:t>
            </w:r>
          </w:p>
          <w:p w14:paraId="40741E8D">
            <w:pPr>
              <w:pStyle w:val="43"/>
              <w:widowControl/>
              <w:ind w:firstLine="0" w:firstLineChars="0"/>
              <w:textAlignment w:val="cente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2)架构师要求5年及以上系统架构经验；</w:t>
            </w:r>
          </w:p>
          <w:p w14:paraId="10AF94B2">
            <w:pPr>
              <w:pStyle w:val="43"/>
              <w:widowControl/>
              <w:ind w:firstLine="0" w:firstLineChars="0"/>
              <w:textAlignment w:val="cente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3)高级开发人员要求3年及以上系统开发经验；</w:t>
            </w:r>
          </w:p>
          <w:p w14:paraId="2EA7B1E2">
            <w:pPr>
              <w:pStyle w:val="43"/>
              <w:widowControl/>
              <w:ind w:firstLine="0" w:firstLineChars="0"/>
              <w:textAlignment w:val="cente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4)测试经理要求5年以上系统软件测试经验；</w:t>
            </w:r>
          </w:p>
          <w:p w14:paraId="1B646866">
            <w:pPr>
              <w:pStyle w:val="43"/>
              <w:widowControl/>
              <w:ind w:firstLine="0" w:firstLineChars="0"/>
              <w:textAlignment w:val="cente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5)配置管理要求3年及以上系统配置管理经验；</w:t>
            </w:r>
          </w:p>
          <w:p w14:paraId="0E6ACB42">
            <w:pPr>
              <w:pStyle w:val="43"/>
              <w:widowControl/>
              <w:ind w:firstLine="0" w:firstLineChars="0"/>
              <w:textAlignment w:val="center"/>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（3）项目团队规模（含核心成员）应在</w:t>
            </w:r>
            <w:r>
              <w:rPr>
                <w:rFonts w:hint="eastAsia" w:ascii="仿宋" w:hAnsi="仿宋" w:eastAsia="仿宋" w:cs="宋体"/>
                <w:color w:val="000000" w:themeColor="text1"/>
                <w:sz w:val="24"/>
                <w:szCs w:val="24"/>
                <w:highlight w:val="none"/>
                <w:lang w:val="en-US" w:eastAsia="zh-CN"/>
                <w14:textFill>
                  <w14:solidFill>
                    <w14:schemeClr w14:val="tx1"/>
                  </w14:solidFill>
                </w14:textFill>
              </w:rPr>
              <w:t>5</w:t>
            </w:r>
            <w:r>
              <w:rPr>
                <w:rFonts w:hint="eastAsia" w:ascii="仿宋" w:hAnsi="仿宋" w:eastAsia="仿宋" w:cs="宋体"/>
                <w:color w:val="000000" w:themeColor="text1"/>
                <w:sz w:val="24"/>
                <w:szCs w:val="24"/>
                <w:highlight w:val="none"/>
                <w14:textFill>
                  <w14:solidFill>
                    <w14:schemeClr w14:val="tx1"/>
                  </w14:solidFill>
                </w14:textFill>
              </w:rPr>
              <w:t>人（含）以上，团队成员应全部具备系统实施经验。</w:t>
            </w:r>
          </w:p>
        </w:tc>
        <w:tc>
          <w:tcPr>
            <w:tcW w:w="781" w:type="pct"/>
          </w:tcPr>
          <w:p w14:paraId="2CC6E5F9">
            <w:pPr>
              <w:jc w:val="left"/>
              <w:rPr>
                <w:rFonts w:hint="default" w:ascii="仿宋" w:hAnsi="仿宋" w:eastAsia="仿宋" w:cs="宋体"/>
                <w:color w:val="000000" w:themeColor="text1"/>
                <w:sz w:val="24"/>
                <w:szCs w:val="24"/>
                <w:highlight w:val="none"/>
                <w:lang w:val="en-US"/>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是，提供</w:t>
            </w:r>
            <w:r>
              <w:rPr>
                <w:rFonts w:hint="eastAsia" w:ascii="仿宋" w:hAnsi="仿宋" w:eastAsia="仿宋" w:cs="宋体"/>
                <w:color w:val="000000" w:themeColor="text1"/>
                <w:sz w:val="24"/>
                <w:highlight w:val="none"/>
                <w:lang w:val="en-US" w:eastAsia="zh-CN"/>
                <w14:textFill>
                  <w14:solidFill>
                    <w14:schemeClr w14:val="tx1"/>
                  </w14:solidFill>
                </w14:textFill>
              </w:rPr>
              <w:t>项目经理简历、资质证书，</w:t>
            </w:r>
            <w:r>
              <w:rPr>
                <w:rFonts w:hint="eastAsia" w:ascii="仿宋" w:hAnsi="仿宋" w:eastAsia="仿宋" w:cs="宋体"/>
                <w:color w:val="000000" w:themeColor="text1"/>
                <w:sz w:val="24"/>
                <w:szCs w:val="24"/>
                <w:highlight w:val="none"/>
                <w:lang w:val="en-US" w:eastAsia="zh-CN"/>
                <w14:textFill>
                  <w14:solidFill>
                    <w14:schemeClr w14:val="tx1"/>
                  </w14:solidFill>
                </w14:textFill>
              </w:rPr>
              <w:t>服务承诺函</w:t>
            </w:r>
            <w:r>
              <w:rPr>
                <w:rFonts w:hint="eastAsia" w:ascii="仿宋" w:hAnsi="仿宋" w:eastAsia="仿宋" w:cs="宋体"/>
                <w:color w:val="000000" w:themeColor="text1"/>
                <w:sz w:val="24"/>
                <w:highlight w:val="none"/>
                <w:lang w:eastAsia="zh-CN"/>
                <w14:textFill>
                  <w14:solidFill>
                    <w14:schemeClr w14:val="tx1"/>
                  </w14:solidFill>
                </w14:textFill>
              </w:rPr>
              <w:t>，</w:t>
            </w:r>
            <w:r>
              <w:rPr>
                <w:rFonts w:hint="eastAsia" w:ascii="仿宋" w:hAnsi="仿宋" w:eastAsia="仿宋" w:cs="宋体"/>
                <w:color w:val="000000" w:themeColor="text1"/>
                <w:sz w:val="24"/>
                <w:highlight w:val="none"/>
                <w:lang w:val="en-US" w:eastAsia="zh-CN"/>
                <w14:textFill>
                  <w14:solidFill>
                    <w14:schemeClr w14:val="tx1"/>
                  </w14:solidFill>
                </w14:textFill>
              </w:rPr>
              <w:t>承诺函中说明团队情况。</w:t>
            </w:r>
          </w:p>
        </w:tc>
      </w:tr>
      <w:tr w14:paraId="2A324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pct"/>
            <w:vAlign w:val="center"/>
          </w:tcPr>
          <w:p w14:paraId="05B9A6D7">
            <w:pPr>
              <w:widowControl/>
              <w:jc w:val="center"/>
              <w:textAlignment w:val="cente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pP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7</w:t>
            </w:r>
          </w:p>
        </w:tc>
        <w:tc>
          <w:tcPr>
            <w:tcW w:w="672" w:type="pct"/>
            <w:vAlign w:val="center"/>
          </w:tcPr>
          <w:p w14:paraId="2DE0EB4B">
            <w:pPr>
              <w:jc w:val="center"/>
              <w:rPr>
                <w:rFonts w:ascii="仿宋" w:hAnsi="仿宋"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iCs/>
                <w:color w:val="000000" w:themeColor="text1"/>
                <w:sz w:val="24"/>
                <w:szCs w:val="24"/>
                <w:highlight w:val="none"/>
                <w14:textFill>
                  <w14:solidFill>
                    <w14:schemeClr w14:val="tx1"/>
                  </w14:solidFill>
                </w14:textFill>
              </w:rPr>
              <w:t>#</w:t>
            </w:r>
          </w:p>
        </w:tc>
        <w:tc>
          <w:tcPr>
            <w:tcW w:w="887" w:type="pct"/>
            <w:vAlign w:val="center"/>
          </w:tcPr>
          <w:p w14:paraId="69A49A5B">
            <w:pPr>
              <w:rPr>
                <w:rFonts w:ascii="仿宋" w:hAnsi="仿宋" w:eastAsia="仿宋" w:cs="Times New Roman"/>
                <w:color w:val="000000" w:themeColor="text1"/>
                <w:sz w:val="24"/>
                <w:szCs w:val="24"/>
                <w:highlight w:val="none"/>
                <w14:textFill>
                  <w14:solidFill>
                    <w14:schemeClr w14:val="tx1"/>
                  </w14:solidFill>
                </w14:textFill>
              </w:rPr>
            </w:pPr>
            <w:r>
              <w:rPr>
                <w:rFonts w:hint="eastAsia" w:ascii="仿宋" w:hAnsi="仿宋" w:eastAsia="仿宋" w:cs="仿宋_GB2312"/>
                <w:color w:val="000000" w:themeColor="text1"/>
                <w:sz w:val="24"/>
                <w:szCs w:val="24"/>
                <w:highlight w:val="none"/>
                <w14:textFill>
                  <w14:solidFill>
                    <w14:schemeClr w14:val="tx1"/>
                  </w14:solidFill>
                </w14:textFill>
              </w:rPr>
              <w:t>延伸服务</w:t>
            </w:r>
          </w:p>
        </w:tc>
        <w:tc>
          <w:tcPr>
            <w:tcW w:w="2177" w:type="pct"/>
            <w:vAlign w:val="center"/>
          </w:tcPr>
          <w:p w14:paraId="1E337578">
            <w:pPr>
              <w:jc w:val="left"/>
              <w:rPr>
                <w:rFonts w:ascii="仿宋" w:hAnsi="仿宋" w:eastAsia="仿宋" w:cs="Times New Roman"/>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可在1年免费维保之外提供额外免费维保服务。</w:t>
            </w:r>
          </w:p>
        </w:tc>
        <w:tc>
          <w:tcPr>
            <w:tcW w:w="781" w:type="pct"/>
          </w:tcPr>
          <w:p w14:paraId="63C76621">
            <w:pPr>
              <w:jc w:val="left"/>
              <w:rPr>
                <w:rFonts w:hint="default" w:ascii="仿宋" w:hAnsi="仿宋" w:eastAsia="仿宋" w:cs="Times New Roman"/>
                <w:color w:val="000000" w:themeColor="text1"/>
                <w:sz w:val="24"/>
                <w:szCs w:val="24"/>
                <w:highlight w:val="none"/>
                <w:lang w:val="en-US" w:eastAsia="zh-CN"/>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是，需提供承诺函</w:t>
            </w:r>
            <w:r>
              <w:rPr>
                <w:rFonts w:hint="eastAsia" w:ascii="仿宋" w:hAnsi="仿宋" w:eastAsia="仿宋" w:cs="宋体"/>
                <w:color w:val="000000" w:themeColor="text1"/>
                <w:sz w:val="24"/>
                <w:szCs w:val="24"/>
                <w:highlight w:val="none"/>
                <w:lang w:eastAsia="zh-CN"/>
                <w14:textFill>
                  <w14:solidFill>
                    <w14:schemeClr w14:val="tx1"/>
                  </w14:solidFill>
                </w14:textFill>
              </w:rPr>
              <w:t>。</w:t>
            </w:r>
            <w:r>
              <w:rPr>
                <w:rFonts w:hint="eastAsia" w:ascii="仿宋" w:hAnsi="仿宋" w:eastAsia="仿宋" w:cs="宋体"/>
                <w:color w:val="000000" w:themeColor="text1"/>
                <w:sz w:val="24"/>
                <w:highlight w:val="none"/>
                <w:lang w:val="en-US" w:eastAsia="zh-CN"/>
                <w14:textFill>
                  <w14:solidFill>
                    <w14:schemeClr w14:val="tx1"/>
                  </w14:solidFill>
                </w14:textFill>
              </w:rPr>
              <w:t>需注明额外免费维保服务的年限。</w:t>
            </w:r>
          </w:p>
        </w:tc>
      </w:tr>
    </w:tbl>
    <w:p w14:paraId="050493F3">
      <w:pPr>
        <w:rPr>
          <w:rFonts w:hint="default" w:ascii="Times New Roman Regular" w:hAnsi="Times New Roman Regular" w:eastAsia="宋体" w:cs="Times New Roman Regular"/>
          <w:b/>
          <w:bCs/>
          <w:iCs w:val="0"/>
          <w:color w:val="000000" w:themeColor="text1"/>
          <w:sz w:val="24"/>
          <w:szCs w:val="24"/>
          <w:highlight w:val="none"/>
          <w14:textFill>
            <w14:solidFill>
              <w14:schemeClr w14:val="tx1"/>
            </w14:solidFill>
          </w14:textFill>
        </w:rPr>
      </w:pPr>
      <w:r>
        <w:rPr>
          <w:rFonts w:hint="default" w:ascii="Times New Roman Regular" w:hAnsi="Times New Roman Regular" w:eastAsia="宋体" w:cs="Times New Roman Regular"/>
          <w:b/>
          <w:bCs/>
          <w:iCs w:val="0"/>
          <w:color w:val="000000" w:themeColor="text1"/>
          <w:sz w:val="24"/>
          <w:szCs w:val="24"/>
          <w:highlight w:val="none"/>
          <w14:textFill>
            <w14:solidFill>
              <w14:schemeClr w14:val="tx1"/>
            </w14:solidFill>
          </w14:textFill>
        </w:rPr>
        <w:br w:type="page"/>
      </w:r>
    </w:p>
    <w:p w14:paraId="6F41D9FF">
      <w:pPr>
        <w:snapToGrid/>
        <w:spacing w:line="360" w:lineRule="auto"/>
        <w:ind w:firstLine="482" w:firstLineChars="200"/>
        <w:jc w:val="left"/>
        <w:outlineLvl w:val="1"/>
        <w:rPr>
          <w:rFonts w:hint="default" w:ascii="Times New Roman Regular" w:hAnsi="Times New Roman Regular" w:eastAsia="宋体" w:cs="Times New Roman Regular"/>
          <w:b/>
          <w:bCs/>
          <w:iCs w:val="0"/>
          <w:color w:val="000000" w:themeColor="text1"/>
          <w:sz w:val="24"/>
          <w:szCs w:val="24"/>
          <w:highlight w:val="none"/>
          <w14:textFill>
            <w14:solidFill>
              <w14:schemeClr w14:val="tx1"/>
            </w14:solidFill>
          </w14:textFill>
        </w:rPr>
      </w:pPr>
      <w:r>
        <w:rPr>
          <w:rFonts w:hint="default" w:ascii="Times New Roman Regular" w:hAnsi="Times New Roman Regular" w:eastAsia="宋体" w:cs="Times New Roman Regular"/>
          <w:b/>
          <w:bCs/>
          <w:iCs w:val="0"/>
          <w:color w:val="000000" w:themeColor="text1"/>
          <w:sz w:val="24"/>
          <w:szCs w:val="24"/>
          <w:highlight w:val="none"/>
          <w14:textFill>
            <w14:solidFill>
              <w14:schemeClr w14:val="tx1"/>
            </w14:solidFill>
          </w14:textFill>
        </w:rPr>
        <w:t>（</w:t>
      </w:r>
      <w:r>
        <w:rPr>
          <w:rFonts w:hint="default" w:ascii="Times New Roman Regular" w:hAnsi="Times New Roman Regular" w:eastAsia="宋体" w:cs="Times New Roman Regular"/>
          <w:b/>
          <w:bCs/>
          <w:iCs w:val="0"/>
          <w:color w:val="000000" w:themeColor="text1"/>
          <w:sz w:val="24"/>
          <w:szCs w:val="24"/>
          <w:highlight w:val="none"/>
          <w:lang w:val="en-US" w:eastAsia="zh-CN"/>
          <w14:textFill>
            <w14:solidFill>
              <w14:schemeClr w14:val="tx1"/>
            </w14:solidFill>
          </w14:textFill>
        </w:rPr>
        <w:t>四</w:t>
      </w:r>
      <w:r>
        <w:rPr>
          <w:rFonts w:hint="default" w:ascii="Times New Roman Regular" w:hAnsi="Times New Roman Regular" w:eastAsia="宋体" w:cs="Times New Roman Regular"/>
          <w:b/>
          <w:bCs/>
          <w:iCs w:val="0"/>
          <w:color w:val="000000" w:themeColor="text1"/>
          <w:sz w:val="24"/>
          <w:szCs w:val="24"/>
          <w:highlight w:val="none"/>
          <w14:textFill>
            <w14:solidFill>
              <w14:schemeClr w14:val="tx1"/>
            </w14:solidFill>
          </w14:textFill>
        </w:rPr>
        <w:t>）履约验收方案</w:t>
      </w:r>
    </w:p>
    <w:p w14:paraId="65FEB891">
      <w:pPr>
        <w:tabs>
          <w:tab w:val="left" w:pos="312"/>
        </w:tabs>
        <w:snapToGrid w:val="0"/>
        <w:spacing w:line="360" w:lineRule="auto"/>
        <w:ind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（1）验收主体</w:t>
      </w:r>
    </w:p>
    <w:p w14:paraId="64366B71">
      <w:pPr>
        <w:tabs>
          <w:tab w:val="left" w:pos="312"/>
        </w:tabs>
        <w:snapToGrid w:val="0"/>
        <w:spacing w:line="360" w:lineRule="auto"/>
        <w:ind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采购人（需求部门）</w:t>
      </w:r>
      <w:r>
        <w:rPr>
          <w:rFonts w:hint="eastAsia" w:ascii="宋体" w:hAnsi="宋体" w:eastAsia="宋体" w:cs="宋体"/>
          <w:color w:val="000000" w:themeColor="text1"/>
          <w:kern w:val="0"/>
          <w:sz w:val="21"/>
          <w:szCs w:val="21"/>
          <w:highlight w:val="none"/>
          <w:u w:val="single"/>
          <w:lang w:bidi="ar"/>
          <w14:textFill>
            <w14:solidFill>
              <w14:schemeClr w14:val="tx1"/>
            </w14:solidFill>
          </w14:textFill>
        </w:rPr>
        <w:t xml:space="preserve">   上海分公司          </w:t>
      </w:r>
    </w:p>
    <w:p w14:paraId="72FD0B60">
      <w:pPr>
        <w:widowControl/>
        <w:numPr>
          <w:ilvl w:val="0"/>
          <w:numId w:val="8"/>
        </w:numPr>
        <w:snapToGrid w:val="0"/>
        <w:spacing w:line="360" w:lineRule="auto"/>
        <w:ind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验收时间</w:t>
      </w:r>
      <w:r>
        <w:rPr>
          <w:rFonts w:hint="eastAsia" w:ascii="宋体" w:hAnsi="宋体" w:cs="宋体"/>
          <w:color w:val="000000" w:themeColor="text1"/>
          <w:kern w:val="0"/>
          <w:sz w:val="21"/>
          <w:szCs w:val="21"/>
          <w:highlight w:val="none"/>
          <w:lang w:eastAsia="zh-CN" w:bidi="ar"/>
          <w14:textFill>
            <w14:solidFill>
              <w14:schemeClr w14:val="tx1"/>
            </w14:solidFill>
          </w14:textFill>
        </w:rPr>
        <w:t>：</w:t>
      </w:r>
    </w:p>
    <w:p w14:paraId="464937A5">
      <w:pPr>
        <w:widowControl/>
        <w:snapToGrid w:val="0"/>
        <w:spacing w:line="360" w:lineRule="auto"/>
        <w:ind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服务部分：</w:t>
      </w:r>
    </w:p>
    <w:p w14:paraId="72BC7826">
      <w:pPr>
        <w:widowControl/>
        <w:snapToGrid w:val="0"/>
        <w:spacing w:line="360" w:lineRule="auto"/>
        <w:ind w:left="420" w:leftChars="0"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1.项目工作计划确认时间：合同签订后7个日历日内提交项目工作计划，自项目工作计划提交之日起14个日历日内确认。</w:t>
      </w:r>
    </w:p>
    <w:p w14:paraId="6894FB7C">
      <w:pPr>
        <w:widowControl/>
        <w:snapToGrid w:val="0"/>
        <w:spacing w:line="360" w:lineRule="auto"/>
        <w:ind w:left="420" w:leftChars="0"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2.技术验收时间：自系统测试报告、源码、安装介质及安装部署手册提交起90个日历日内。</w:t>
      </w:r>
    </w:p>
    <w:p w14:paraId="3D2EF9EA">
      <w:pPr>
        <w:widowControl/>
        <w:snapToGrid w:val="0"/>
        <w:spacing w:line="360" w:lineRule="auto"/>
        <w:ind w:left="420" w:leftChars="0"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3.项目上线后初验时间：自项目上线起90个日历日内。</w:t>
      </w:r>
    </w:p>
    <w:p w14:paraId="1C80A4B5">
      <w:pPr>
        <w:widowControl/>
        <w:snapToGrid w:val="0"/>
        <w:spacing w:line="360" w:lineRule="auto"/>
        <w:ind w:left="420" w:leftChars="0"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4.最终验收： 自1年免费维保期满（不包含额外免费维保）、服务期内按采购方要求提供支持服务及按采购方要求按时提供交付物（包括但不限于培训方案、手册等）起90个日历日内，采购人组织验收。</w:t>
      </w:r>
    </w:p>
    <w:p w14:paraId="4F6E5D34">
      <w:pPr>
        <w:widowControl/>
        <w:snapToGrid w:val="0"/>
        <w:spacing w:line="360" w:lineRule="auto"/>
        <w:ind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软件部分：</w:t>
      </w:r>
    </w:p>
    <w:p w14:paraId="36525806">
      <w:pPr>
        <w:widowControl/>
        <w:snapToGrid w:val="0"/>
        <w:spacing w:line="360" w:lineRule="auto"/>
        <w:ind w:left="420" w:leftChars="0"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1.软件授权使用函确认接收时间：合同签订后，供应商出具原厂商开具的《软件授权使用函》，自《软件授权使用函》收到之日起14个日历日内确认。</w:t>
      </w:r>
    </w:p>
    <w:p w14:paraId="41792129">
      <w:pPr>
        <w:widowControl/>
        <w:snapToGrid w:val="0"/>
        <w:spacing w:line="360" w:lineRule="auto"/>
        <w:ind w:left="420" w:leftChars="0"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2.安装部署验收时间：自运维操作手册提交  起  90 个日历日内。</w:t>
      </w:r>
    </w:p>
    <w:p w14:paraId="594E794D">
      <w:pPr>
        <w:widowControl/>
        <w:snapToGrid w:val="0"/>
        <w:spacing w:line="360" w:lineRule="auto"/>
        <w:ind w:left="420" w:leftChars="0"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3.最终验收： 自1年免费维保期满、服务期内按采购方要求提供支持服务及按采购方要求按时提供交付物（包括但不限于培训方案、手册等）起90个日历日内，采购人组织验收。</w:t>
      </w:r>
    </w:p>
    <w:p w14:paraId="484CA7CA">
      <w:pPr>
        <w:widowControl/>
        <w:snapToGrid w:val="0"/>
        <w:spacing w:line="360" w:lineRule="auto"/>
        <w:ind w:firstLine="420" w:firstLineChars="200"/>
        <w:jc w:val="left"/>
        <w:rPr>
          <w:rFonts w:hint="eastAsia" w:ascii="宋体" w:hAnsi="宋体" w:eastAsia="宋体" w:cs="宋体"/>
          <w:color w:val="000000" w:themeColor="text1"/>
          <w:kern w:val="0"/>
          <w:sz w:val="21"/>
          <w:szCs w:val="21"/>
          <w:highlight w:val="none"/>
          <w:u w:val="singl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（3）验收方式</w:t>
      </w:r>
      <w:r>
        <w:rPr>
          <w:rFonts w:hint="eastAsia" w:ascii="宋体" w:hAnsi="宋体" w:eastAsia="宋体" w:cs="宋体"/>
          <w:color w:val="000000" w:themeColor="text1"/>
          <w:kern w:val="0"/>
          <w:sz w:val="21"/>
          <w:szCs w:val="21"/>
          <w:highlight w:val="none"/>
          <w:u w:val="single"/>
          <w:lang w:bidi="ar"/>
          <w14:textFill>
            <w14:solidFill>
              <w14:schemeClr w14:val="tx1"/>
            </w14:solidFill>
          </w14:textFill>
        </w:rPr>
        <w:t xml:space="preserve">  采购人组建验收小组进行验收</w:t>
      </w:r>
      <w:r>
        <w:rPr>
          <w:rFonts w:hint="eastAsia" w:ascii="宋体" w:hAnsi="宋体" w:cs="宋体"/>
          <w:color w:val="000000" w:themeColor="text1"/>
          <w:kern w:val="0"/>
          <w:sz w:val="21"/>
          <w:szCs w:val="21"/>
          <w:highlight w:val="none"/>
          <w:u w:val="single"/>
          <w:lang w:eastAsia="zh-CN" w:bidi="ar"/>
          <w14:textFill>
            <w14:solidFill>
              <w14:schemeClr w14:val="tx1"/>
            </w14:solidFill>
          </w14:textFill>
        </w:rPr>
        <w:t>。</w:t>
      </w:r>
      <w:r>
        <w:rPr>
          <w:rFonts w:hint="eastAsia" w:ascii="宋体" w:hAnsi="宋体" w:eastAsia="宋体" w:cs="宋体"/>
          <w:color w:val="000000" w:themeColor="text1"/>
          <w:kern w:val="0"/>
          <w:sz w:val="21"/>
          <w:szCs w:val="21"/>
          <w:highlight w:val="none"/>
          <w:u w:val="single"/>
          <w:lang w:bidi="ar"/>
          <w14:textFill>
            <w14:solidFill>
              <w14:schemeClr w14:val="tx1"/>
            </w14:solidFill>
          </w14:textFill>
        </w:rPr>
        <w:t xml:space="preserve"> </w:t>
      </w:r>
    </w:p>
    <w:p w14:paraId="6B56A791">
      <w:pPr>
        <w:widowControl/>
        <w:snapToGrid w:val="0"/>
        <w:spacing w:line="360" w:lineRule="auto"/>
        <w:ind w:firstLine="420" w:firstLineChars="200"/>
        <w:jc w:val="left"/>
        <w:rPr>
          <w:rFonts w:hint="eastAsia" w:ascii="宋体" w:hAnsi="宋体" w:eastAsia="宋体" w:cs="宋体"/>
          <w:color w:val="000000" w:themeColor="text1"/>
          <w:kern w:val="0"/>
          <w:sz w:val="21"/>
          <w:szCs w:val="21"/>
          <w:highlight w:val="none"/>
          <w:u w:val="singl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（4）验收程序</w:t>
      </w:r>
      <w:r>
        <w:rPr>
          <w:rFonts w:hint="eastAsia" w:ascii="宋体" w:hAnsi="宋体" w:eastAsia="宋体" w:cs="宋体"/>
          <w:color w:val="000000" w:themeColor="text1"/>
          <w:kern w:val="0"/>
          <w:sz w:val="21"/>
          <w:szCs w:val="21"/>
          <w:highlight w:val="none"/>
          <w:u w:val="single"/>
          <w:lang w:bidi="ar"/>
          <w14:textFill>
            <w14:solidFill>
              <w14:schemeClr w14:val="tx1"/>
            </w14:solidFill>
          </w14:textFill>
        </w:rPr>
        <w:t xml:space="preserve">   </w:t>
      </w:r>
    </w:p>
    <w:p w14:paraId="1035FB3C">
      <w:pPr>
        <w:widowControl/>
        <w:snapToGrid w:val="0"/>
        <w:spacing w:line="360" w:lineRule="auto"/>
        <w:ind w:left="420" w:leftChars="0"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1.项目工作计划验收，验收小组确认项目工作计划满足项目需求。</w:t>
      </w:r>
    </w:p>
    <w:p w14:paraId="2F4A908C">
      <w:pPr>
        <w:widowControl/>
        <w:snapToGrid w:val="0"/>
        <w:spacing w:line="360" w:lineRule="auto"/>
        <w:ind w:left="420" w:leftChars="0"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2.技术测试验收，供应商开发测试完成并提交系统测试报告后，验收小组依据《项目系统测试报告》、源码、安装介质及安装部署手册验证系统的完成情况，确认是否达到可上线标准。</w:t>
      </w:r>
    </w:p>
    <w:p w14:paraId="6E90A302">
      <w:pPr>
        <w:widowControl/>
        <w:snapToGrid w:val="0"/>
        <w:spacing w:line="360" w:lineRule="auto"/>
        <w:ind w:left="420" w:leftChars="0"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3.项目上线后验收，验收小组依据相关技术文档和源程序代码等全部交付物，逐项验证系统功能，核验系统安全保护等级、业务连续性。</w:t>
      </w:r>
    </w:p>
    <w:p w14:paraId="403C5213">
      <w:pPr>
        <w:widowControl/>
        <w:snapToGrid w:val="0"/>
        <w:spacing w:line="360" w:lineRule="auto"/>
        <w:ind w:left="420" w:leftChars="0"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 xml:space="preserve">4.免费维保期满后验收，验收小组依据月度巡检报告、年度巡检总结报告对维保期工作进行验收。     </w:t>
      </w:r>
    </w:p>
    <w:p w14:paraId="0D6FFCCD">
      <w:pPr>
        <w:widowControl/>
        <w:snapToGrid w:val="0"/>
        <w:spacing w:line="360" w:lineRule="auto"/>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（5）验收内容</w:t>
      </w:r>
    </w:p>
    <w:p w14:paraId="5BE55AAE">
      <w:pPr>
        <w:widowControl/>
        <w:snapToGrid w:val="0"/>
        <w:spacing w:line="360" w:lineRule="auto"/>
        <w:ind w:left="420" w:leftChars="0"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1.项目工作计划验收，主要是检验供应商交付的工作计划是否满足项目需求，具有可执行性。</w:t>
      </w:r>
    </w:p>
    <w:p w14:paraId="5B4DA4D2">
      <w:pPr>
        <w:widowControl/>
        <w:snapToGrid w:val="0"/>
        <w:spacing w:line="360" w:lineRule="auto"/>
        <w:ind w:left="420" w:leftChars="0"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2.技术测试验收，主要是开发功能/非功能验收、代码和文档验收等，具体内容如下：</w:t>
      </w:r>
    </w:p>
    <w:p w14:paraId="56DDBCFF">
      <w:pPr>
        <w:widowControl/>
        <w:snapToGrid w:val="0"/>
        <w:spacing w:line="360" w:lineRule="auto"/>
        <w:ind w:left="420" w:leftChars="0"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功能验收主要是检验供应商交付的软件产品是否实现采购方提出的功能要求。验收时应检查技术测试和验收测试的情况，特别是测试中是否有效验证项目涉及的业务功能和业务场景及系统核心业务流程，确保上线后系统可用及易用。</w:t>
      </w:r>
    </w:p>
    <w:p w14:paraId="704BB7E2">
      <w:pPr>
        <w:widowControl/>
        <w:snapToGrid w:val="0"/>
        <w:spacing w:line="360" w:lineRule="auto"/>
        <w:ind w:left="420" w:leftChars="0"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非功能验收主要是检验供应商交付的软件产品是否达到采购方提出的非功能要求。</w:t>
      </w:r>
    </w:p>
    <w:p w14:paraId="41131CDA">
      <w:pPr>
        <w:widowControl/>
        <w:snapToGrid w:val="0"/>
        <w:spacing w:line="360" w:lineRule="auto"/>
        <w:ind w:left="420" w:leftChars="0"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代码和文档验收主要是检验供应商交付的代码和文档是否达到要求。验收时应检查交付的软件源代码、执行代码（含安装步骤）、技术文档、项目文档等交付物的规范性、完整性、一致性和准确性。免费维保期满确认时应进一步检查巡检报告，系统情况。</w:t>
      </w:r>
    </w:p>
    <w:p w14:paraId="576E9AE9">
      <w:pPr>
        <w:widowControl/>
        <w:snapToGrid w:val="0"/>
        <w:spacing w:line="360" w:lineRule="auto"/>
        <w:ind w:left="420" w:leftChars="0"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3.项目上线后验收，主要是检验供应商交付介质上线后是否稳定运行，3个月内无任何生产问题。且供应商为采购方提供培训服务，包含培训时间、授课人员、参训人员签到表等培训材料。</w:t>
      </w:r>
    </w:p>
    <w:p w14:paraId="02464CB3">
      <w:pPr>
        <w:widowControl/>
        <w:snapToGrid w:val="0"/>
        <w:spacing w:line="360" w:lineRule="auto"/>
        <w:ind w:left="420" w:leftChars="0"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 xml:space="preserve">4.免费维保期满后验收，主要是检验供应商在免费维保期内是否及时响应采购方需求，提供技术服务。   </w:t>
      </w:r>
    </w:p>
    <w:p w14:paraId="532693D1">
      <w:pPr>
        <w:snapToGrid w:val="0"/>
        <w:spacing w:line="360" w:lineRule="auto"/>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（6）验收标准</w:t>
      </w:r>
    </w:p>
    <w:p w14:paraId="276A09DE">
      <w:pPr>
        <w:widowControl/>
        <w:snapToGrid w:val="0"/>
        <w:spacing w:line="360" w:lineRule="auto"/>
        <w:ind w:left="420" w:leftChars="0"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1.项目验收时技术测试报告中案例执行率达到100%，通过率达到95%以上；</w:t>
      </w:r>
    </w:p>
    <w:p w14:paraId="5A66F2B7">
      <w:pPr>
        <w:widowControl/>
        <w:snapToGrid w:val="0"/>
        <w:spacing w:line="360" w:lineRule="auto"/>
        <w:ind w:left="420" w:leftChars="0" w:firstLine="420" w:firstLineChars="200"/>
        <w:jc w:val="left"/>
        <w:rPr>
          <w:rFonts w:hint="eastAsia" w:ascii="宋体" w:hAnsi="宋体" w:eastAsia="宋体" w:cs="宋体"/>
          <w:color w:val="000000" w:themeColor="text1"/>
          <w:kern w:val="0"/>
          <w:sz w:val="21"/>
          <w:szCs w:val="21"/>
          <w:highlight w:val="none"/>
          <w:lang w:bidi="ar"/>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2.项目通过采购人验收测试且系统上线运行稳定，不遗留影响业务使用和生产运行的功能问题和非功能性问题，生产运行中的业务功能和业务场景正常使用，代码、文档等材料完整，且交付质量满足要求。</w:t>
      </w:r>
    </w:p>
    <w:p w14:paraId="17CB29EF">
      <w:pPr>
        <w:rPr>
          <w:rFonts w:hint="default" w:ascii="Times New Roman Regular" w:hAnsi="Times New Roman Regular" w:eastAsia="宋体" w:cs="Times New Roman Regular"/>
          <w:b/>
          <w:bCs/>
          <w:iCs w:val="0"/>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（7）其他事项（如有）</w:t>
      </w:r>
      <w:r>
        <w:rPr>
          <w:rFonts w:hint="eastAsia" w:ascii="宋体" w:hAnsi="宋体" w:eastAsia="宋体" w:cs="宋体"/>
          <w:color w:val="000000" w:themeColor="text1"/>
          <w:kern w:val="0"/>
          <w:sz w:val="21"/>
          <w:szCs w:val="21"/>
          <w:highlight w:val="none"/>
          <w:u w:val="single"/>
          <w:lang w:bidi="ar"/>
          <w14:textFill>
            <w14:solidFill>
              <w14:schemeClr w14:val="tx1"/>
            </w14:solidFill>
          </w14:textFill>
        </w:rPr>
        <w:t xml:space="preserve">    无   </w:t>
      </w:r>
      <w:r>
        <w:rPr>
          <w:rFonts w:hint="eastAsia" w:ascii="宋体" w:hAnsi="宋体" w:eastAsia="宋体" w:cs="宋体"/>
          <w:color w:val="000000" w:themeColor="text1"/>
          <w:kern w:val="0"/>
          <w:sz w:val="21"/>
          <w:szCs w:val="21"/>
          <w:highlight w:val="none"/>
          <w:lang w:bidi="ar"/>
          <w14:textFill>
            <w14:solidFill>
              <w14:schemeClr w14:val="tx1"/>
            </w14:solidFill>
          </w14:textFill>
        </w:rPr>
        <w:t xml:space="preserve">  </w:t>
      </w:r>
      <w:r>
        <w:rPr>
          <w:rFonts w:hint="default" w:ascii="Times New Roman Regular" w:hAnsi="Times New Roman Regular" w:eastAsia="宋体" w:cs="Times New Roman Regular"/>
          <w:b/>
          <w:bCs/>
          <w:iCs w:val="0"/>
          <w:color w:val="000000" w:themeColor="text1"/>
          <w:sz w:val="24"/>
          <w:szCs w:val="24"/>
          <w:highlight w:val="none"/>
          <w14:textFill>
            <w14:solidFill>
              <w14:schemeClr w14:val="tx1"/>
            </w14:solidFill>
          </w14:textFill>
        </w:rPr>
        <w:br w:type="page"/>
      </w:r>
    </w:p>
    <w:p w14:paraId="4B2043B2">
      <w:pPr>
        <w:snapToGrid/>
        <w:spacing w:line="360" w:lineRule="auto"/>
        <w:ind w:firstLine="482" w:firstLineChars="200"/>
        <w:jc w:val="left"/>
        <w:outlineLvl w:val="1"/>
        <w:rPr>
          <w:rFonts w:hint="default" w:ascii="Times New Roman Regular" w:hAnsi="Times New Roman Regular" w:eastAsia="宋体" w:cs="Times New Roman Regular"/>
          <w:b/>
          <w:bCs/>
          <w:iCs w:val="0"/>
          <w:color w:val="000000" w:themeColor="text1"/>
          <w:sz w:val="24"/>
          <w:szCs w:val="24"/>
          <w:highlight w:val="none"/>
          <w14:textFill>
            <w14:solidFill>
              <w14:schemeClr w14:val="tx1"/>
            </w14:solidFill>
          </w14:textFill>
        </w:rPr>
      </w:pPr>
      <w:r>
        <w:rPr>
          <w:rFonts w:hint="default" w:ascii="Times New Roman Regular" w:hAnsi="Times New Roman Regular" w:eastAsia="宋体" w:cs="Times New Roman Regular"/>
          <w:b/>
          <w:bCs/>
          <w:iCs w:val="0"/>
          <w:color w:val="000000" w:themeColor="text1"/>
          <w:sz w:val="24"/>
          <w:szCs w:val="24"/>
          <w:highlight w:val="none"/>
          <w14:textFill>
            <w14:solidFill>
              <w14:schemeClr w14:val="tx1"/>
            </w14:solidFill>
          </w14:textFill>
        </w:rPr>
        <w:t>（</w:t>
      </w:r>
      <w:r>
        <w:rPr>
          <w:rFonts w:hint="default" w:ascii="Times New Roman Regular" w:hAnsi="Times New Roman Regular" w:eastAsia="宋体" w:cs="Times New Roman Regular"/>
          <w:b/>
          <w:bCs/>
          <w:iCs w:val="0"/>
          <w:color w:val="000000" w:themeColor="text1"/>
          <w:sz w:val="24"/>
          <w:szCs w:val="24"/>
          <w:highlight w:val="none"/>
          <w:lang w:val="en-US" w:eastAsia="zh-CN"/>
          <w14:textFill>
            <w14:solidFill>
              <w14:schemeClr w14:val="tx1"/>
            </w14:solidFill>
          </w14:textFill>
        </w:rPr>
        <w:t>五</w:t>
      </w:r>
      <w:r>
        <w:rPr>
          <w:rFonts w:hint="default" w:ascii="Times New Roman Regular" w:hAnsi="Times New Roman Regular" w:eastAsia="宋体" w:cs="Times New Roman Regular"/>
          <w:b/>
          <w:bCs/>
          <w:iCs w:val="0"/>
          <w:color w:val="000000" w:themeColor="text1"/>
          <w:sz w:val="24"/>
          <w:szCs w:val="24"/>
          <w:highlight w:val="none"/>
          <w14:textFill>
            <w14:solidFill>
              <w14:schemeClr w14:val="tx1"/>
            </w14:solidFill>
          </w14:textFill>
        </w:rPr>
        <w:t>）</w:t>
      </w:r>
      <w:r>
        <w:rPr>
          <w:rFonts w:hint="eastAsia" w:ascii="Times New Roman Regular" w:hAnsi="Times New Roman Regular" w:eastAsia="宋体" w:cs="Times New Roman Regular"/>
          <w:b/>
          <w:bCs/>
          <w:iCs w:val="0"/>
          <w:color w:val="000000" w:themeColor="text1"/>
          <w:sz w:val="24"/>
          <w:szCs w:val="24"/>
          <w:highlight w:val="none"/>
          <w:lang w:val="en-US" w:eastAsia="zh-CN"/>
          <w14:textFill>
            <w14:solidFill>
              <w14:schemeClr w14:val="tx1"/>
            </w14:solidFill>
          </w14:textFill>
        </w:rPr>
        <w:t>业务需求说明书</w:t>
      </w:r>
    </w:p>
    <w:p w14:paraId="17A0D9F0">
      <w:pPr>
        <w:rPr>
          <w:rFonts w:hint="eastAsia" w:ascii="宋体" w:hAnsi="宋体" w:eastAsia="宋体" w:cs="宋体"/>
          <w:i/>
          <w:color w:val="000000" w:themeColor="text1"/>
          <w:sz w:val="24"/>
          <w:szCs w:val="30"/>
          <w:highlight w:val="none"/>
          <w14:textFill>
            <w14:solidFill>
              <w14:schemeClr w14:val="tx1"/>
            </w14:solidFill>
          </w14:textFill>
        </w:rPr>
      </w:pPr>
    </w:p>
    <w:p w14:paraId="70D8943A">
      <w:pPr>
        <w:jc w:val="center"/>
        <w:rPr>
          <w:rFonts w:hint="eastAsia" w:ascii="宋体" w:hAnsi="宋体" w:cs="Calibri"/>
          <w:b/>
          <w:bCs/>
          <w:sz w:val="44"/>
          <w:szCs w:val="44"/>
          <w:highlight w:val="none"/>
        </w:rPr>
      </w:pPr>
      <w:r>
        <w:rPr>
          <w:rFonts w:hint="eastAsia" w:ascii="宋体" w:hAnsi="宋体" w:cs="Calibri"/>
          <w:b/>
          <w:bCs/>
          <w:sz w:val="44"/>
          <w:szCs w:val="44"/>
          <w:highlight w:val="none"/>
        </w:rPr>
        <w:t>数据平台系统</w:t>
      </w:r>
    </w:p>
    <w:p w14:paraId="3FBB7114">
      <w:pPr>
        <w:jc w:val="center"/>
        <w:rPr>
          <w:rFonts w:hint="eastAsia" w:ascii="宋体" w:hAnsi="宋体" w:cs="Calibri"/>
          <w:b/>
          <w:bCs/>
          <w:sz w:val="44"/>
          <w:szCs w:val="44"/>
          <w:highlight w:val="none"/>
        </w:rPr>
      </w:pPr>
      <w:r>
        <w:rPr>
          <w:rFonts w:hint="eastAsia" w:ascii="宋体" w:hAnsi="宋体" w:cs="Calibri"/>
          <w:b/>
          <w:bCs/>
          <w:sz w:val="44"/>
          <w:szCs w:val="44"/>
          <w:highlight w:val="none"/>
        </w:rPr>
        <w:t>实时监测项目</w:t>
      </w:r>
    </w:p>
    <w:p w14:paraId="14EDD76C">
      <w:pPr>
        <w:jc w:val="center"/>
        <w:rPr>
          <w:rFonts w:hint="eastAsia" w:ascii="宋体" w:hAnsi="宋体" w:cs="Calibri"/>
          <w:b/>
          <w:sz w:val="44"/>
          <w:szCs w:val="44"/>
          <w:highlight w:val="none"/>
        </w:rPr>
      </w:pPr>
      <w:r>
        <w:rPr>
          <w:rFonts w:ascii="宋体" w:hAnsi="宋体" w:cs="Calibri"/>
          <w:b/>
          <w:sz w:val="44"/>
          <w:szCs w:val="44"/>
          <w:highlight w:val="none"/>
        </w:rPr>
        <w:t>业务需求书</w:t>
      </w:r>
    </w:p>
    <w:p w14:paraId="036E04D5">
      <w:pPr>
        <w:pStyle w:val="68"/>
        <w:overflowPunct w:val="0"/>
        <w:autoSpaceDN w:val="0"/>
        <w:jc w:val="center"/>
        <w:rPr>
          <w:rStyle w:val="28"/>
          <w:rFonts w:eastAsia="华文楷体"/>
          <w:sz w:val="28"/>
          <w:szCs w:val="28"/>
          <w:highlight w:val="none"/>
          <w:lang w:eastAsia="zh-CN"/>
        </w:rPr>
      </w:pPr>
    </w:p>
    <w:p w14:paraId="2EBC1481">
      <w:pPr>
        <w:pStyle w:val="68"/>
        <w:overflowPunct w:val="0"/>
        <w:autoSpaceDN w:val="0"/>
        <w:jc w:val="center"/>
        <w:rPr>
          <w:rStyle w:val="28"/>
          <w:rFonts w:eastAsia="华文楷体"/>
          <w:sz w:val="28"/>
          <w:szCs w:val="28"/>
          <w:highlight w:val="none"/>
          <w:lang w:eastAsia="zh-CN"/>
        </w:rPr>
      </w:pPr>
    </w:p>
    <w:p w14:paraId="006B6A64">
      <w:pPr>
        <w:pStyle w:val="68"/>
        <w:overflowPunct w:val="0"/>
        <w:autoSpaceDN w:val="0"/>
        <w:jc w:val="center"/>
        <w:rPr>
          <w:rStyle w:val="28"/>
          <w:rFonts w:eastAsia="华文楷体"/>
          <w:sz w:val="28"/>
          <w:szCs w:val="28"/>
          <w:highlight w:val="none"/>
          <w:lang w:eastAsia="zh-CN"/>
        </w:rPr>
      </w:pPr>
    </w:p>
    <w:p w14:paraId="33DD236B">
      <w:pPr>
        <w:pStyle w:val="68"/>
        <w:overflowPunct w:val="0"/>
        <w:autoSpaceDN w:val="0"/>
        <w:jc w:val="center"/>
        <w:rPr>
          <w:rStyle w:val="28"/>
          <w:rFonts w:eastAsia="华文楷体"/>
          <w:sz w:val="28"/>
          <w:szCs w:val="28"/>
          <w:highlight w:val="none"/>
          <w:lang w:eastAsia="zh-CN"/>
        </w:rPr>
      </w:pPr>
    </w:p>
    <w:p w14:paraId="45A49657">
      <w:pPr>
        <w:pStyle w:val="68"/>
        <w:overflowPunct w:val="0"/>
        <w:autoSpaceDN w:val="0"/>
        <w:jc w:val="center"/>
        <w:rPr>
          <w:rStyle w:val="28"/>
          <w:rFonts w:eastAsia="华文楷体"/>
          <w:sz w:val="28"/>
          <w:szCs w:val="28"/>
          <w:highlight w:val="none"/>
          <w:lang w:eastAsia="zh-CN"/>
        </w:rPr>
      </w:pPr>
    </w:p>
    <w:p w14:paraId="56285E1C">
      <w:pPr>
        <w:pStyle w:val="68"/>
        <w:overflowPunct w:val="0"/>
        <w:autoSpaceDN w:val="0"/>
        <w:jc w:val="center"/>
        <w:rPr>
          <w:rStyle w:val="28"/>
          <w:rFonts w:eastAsia="华文楷体"/>
          <w:sz w:val="28"/>
          <w:szCs w:val="28"/>
          <w:highlight w:val="none"/>
          <w:lang w:eastAsia="zh-CN"/>
        </w:rPr>
      </w:pPr>
    </w:p>
    <w:p w14:paraId="65AF39E0">
      <w:pPr>
        <w:pStyle w:val="68"/>
        <w:overflowPunct w:val="0"/>
        <w:autoSpaceDN w:val="0"/>
        <w:jc w:val="center"/>
        <w:rPr>
          <w:rStyle w:val="28"/>
          <w:rFonts w:eastAsia="华文楷体"/>
          <w:sz w:val="28"/>
          <w:szCs w:val="28"/>
          <w:highlight w:val="none"/>
          <w:lang w:eastAsia="zh-CN"/>
        </w:rPr>
      </w:pPr>
    </w:p>
    <w:p w14:paraId="0E4C4130">
      <w:pPr>
        <w:widowControl/>
        <w:topLinePunct/>
        <w:adjustRightInd w:val="0"/>
        <w:snapToGrid w:val="0"/>
        <w:spacing w:before="160" w:after="160" w:line="240" w:lineRule="atLeast"/>
        <w:ind w:left="1701"/>
        <w:jc w:val="left"/>
        <w:rPr>
          <w:rFonts w:hint="eastAsia" w:ascii="黑体" w:hAnsi="黑体" w:eastAsia="黑体" w:cs="Arial"/>
          <w:b/>
          <w:sz w:val="32"/>
          <w:szCs w:val="21"/>
          <w:highlight w:val="none"/>
        </w:rPr>
      </w:pPr>
    </w:p>
    <w:p w14:paraId="1E6D76C0">
      <w:pPr>
        <w:jc w:val="center"/>
        <w:rPr>
          <w:rFonts w:hint="eastAsia" w:ascii="黑体" w:hAnsi="黑体" w:eastAsia="黑体" w:cs="Arial"/>
          <w:b/>
          <w:sz w:val="28"/>
          <w:szCs w:val="21"/>
          <w:highlight w:val="none"/>
        </w:rPr>
      </w:pPr>
    </w:p>
    <w:p w14:paraId="687172F2">
      <w:pPr>
        <w:jc w:val="center"/>
        <w:rPr>
          <w:rFonts w:hint="eastAsia" w:ascii="黑体" w:hAnsi="黑体" w:eastAsia="黑体" w:cs="Arial"/>
          <w:b/>
          <w:sz w:val="28"/>
          <w:szCs w:val="21"/>
          <w:highlight w:val="none"/>
        </w:rPr>
      </w:pPr>
    </w:p>
    <w:p w14:paraId="6353ADE4">
      <w:pPr>
        <w:jc w:val="center"/>
        <w:rPr>
          <w:rFonts w:hint="eastAsia" w:ascii="黑体" w:hAnsi="黑体" w:eastAsia="黑体" w:cs="Arial"/>
          <w:b/>
          <w:sz w:val="28"/>
          <w:szCs w:val="21"/>
          <w:highlight w:val="none"/>
        </w:rPr>
      </w:pPr>
    </w:p>
    <w:p w14:paraId="1C42E6F6">
      <w:pPr>
        <w:jc w:val="center"/>
        <w:rPr>
          <w:rFonts w:hint="eastAsia" w:ascii="黑体" w:hAnsi="黑体" w:eastAsia="黑体" w:cs="Arial"/>
          <w:b/>
          <w:sz w:val="28"/>
          <w:szCs w:val="21"/>
          <w:highlight w:val="none"/>
        </w:rPr>
      </w:pPr>
    </w:p>
    <w:p w14:paraId="4DA32AC2">
      <w:pPr>
        <w:pStyle w:val="18"/>
        <w:tabs>
          <w:tab w:val="center" w:pos="4535"/>
          <w:tab w:val="left" w:pos="7616"/>
        </w:tabs>
        <w:rPr>
          <w:rFonts w:hint="eastAsia" w:ascii="黑体" w:hAnsi="黑体" w:eastAsia="黑体"/>
          <w:b/>
          <w:i w:val="0"/>
          <w:sz w:val="28"/>
          <w:szCs w:val="28"/>
          <w:highlight w:val="none"/>
          <w:lang w:eastAsia="zh-CN"/>
        </w:rPr>
      </w:pPr>
      <w:r>
        <w:rPr>
          <w:rFonts w:ascii="黑体" w:hAnsi="黑体" w:eastAsia="黑体"/>
          <w:b/>
          <w:i w:val="0"/>
          <w:sz w:val="28"/>
          <w:szCs w:val="28"/>
          <w:highlight w:val="none"/>
          <w:lang w:eastAsia="zh-CN"/>
        </w:rPr>
        <w:tab/>
      </w:r>
    </w:p>
    <w:p w14:paraId="07AC2195">
      <w:pPr>
        <w:jc w:val="center"/>
        <w:rPr>
          <w:rStyle w:val="28"/>
          <w:rFonts w:eastAsia="华文楷体"/>
          <w:sz w:val="36"/>
          <w:szCs w:val="36"/>
          <w:highlight w:val="none"/>
        </w:rPr>
      </w:pPr>
    </w:p>
    <w:p w14:paraId="71910115">
      <w:pPr>
        <w:jc w:val="center"/>
        <w:rPr>
          <w:rStyle w:val="28"/>
          <w:rFonts w:eastAsia="华文楷体"/>
          <w:sz w:val="36"/>
          <w:szCs w:val="36"/>
          <w:highlight w:val="none"/>
        </w:rPr>
      </w:pPr>
    </w:p>
    <w:p w14:paraId="62E3660F">
      <w:pPr>
        <w:jc w:val="center"/>
        <w:rPr>
          <w:rStyle w:val="28"/>
          <w:rFonts w:eastAsia="华文楷体"/>
          <w:sz w:val="44"/>
          <w:szCs w:val="44"/>
          <w:highlight w:val="none"/>
        </w:rPr>
      </w:pPr>
    </w:p>
    <w:p w14:paraId="48CF28C9">
      <w:pPr>
        <w:widowControl/>
        <w:jc w:val="left"/>
        <w:rPr>
          <w:rStyle w:val="28"/>
          <w:rFonts w:eastAsia="华文楷体"/>
          <w:sz w:val="44"/>
          <w:szCs w:val="44"/>
          <w:highlight w:val="none"/>
        </w:rPr>
      </w:pPr>
      <w:r>
        <w:rPr>
          <w:rStyle w:val="28"/>
          <w:rFonts w:eastAsia="华文楷体"/>
          <w:sz w:val="44"/>
          <w:szCs w:val="44"/>
          <w:highlight w:val="none"/>
        </w:rPr>
        <w:br w:type="page"/>
      </w:r>
    </w:p>
    <w:p w14:paraId="4E5C90F8">
      <w:pPr>
        <w:pStyle w:val="3"/>
        <w:numPr>
          <w:ilvl w:val="0"/>
          <w:numId w:val="0"/>
        </w:numPr>
        <w:ind w:left="360" w:leftChars="0" w:hanging="360" w:firstLineChars="0"/>
        <w:rPr>
          <w:rFonts w:hint="eastAsia" w:ascii="仿宋" w:hAnsi="仿宋" w:eastAsia="仿宋"/>
          <w:sz w:val="30"/>
          <w:szCs w:val="30"/>
          <w:highlight w:val="none"/>
          <w:lang w:eastAsia="zh-CN"/>
        </w:rPr>
      </w:pPr>
      <w:r>
        <w:rPr>
          <w:rFonts w:hint="default" w:ascii="仿宋" w:hAnsi="仿宋" w:eastAsia="仿宋" w:cs="Times New Roman"/>
          <w:b/>
          <w:bCs/>
          <w:kern w:val="0"/>
          <w:sz w:val="30"/>
          <w:szCs w:val="30"/>
          <w:highlight w:val="none"/>
          <w:lang w:val="en-US" w:eastAsia="zh-CN" w:bidi="en-US"/>
        </w:rPr>
        <w:t>第1章</w:t>
      </w:r>
      <w:r>
        <w:rPr>
          <w:rFonts w:hint="eastAsia" w:ascii="仿宋" w:hAnsi="仿宋" w:eastAsia="仿宋"/>
          <w:sz w:val="30"/>
          <w:szCs w:val="30"/>
          <w:highlight w:val="none"/>
          <w:lang w:eastAsia="zh-CN"/>
        </w:rPr>
        <w:t xml:space="preserve">  概述</w:t>
      </w:r>
    </w:p>
    <w:p w14:paraId="50324DCA">
      <w:pPr>
        <w:pStyle w:val="4"/>
        <w:numPr>
          <w:ilvl w:val="1"/>
          <w:numId w:val="0"/>
        </w:numPr>
        <w:ind w:left="792" w:leftChars="0" w:hanging="432" w:firstLineChars="0"/>
        <w:rPr>
          <w:rFonts w:hint="eastAsia" w:ascii="仿宋" w:hAnsi="仿宋" w:eastAsia="仿宋"/>
          <w:sz w:val="30"/>
          <w:szCs w:val="30"/>
          <w:highlight w:val="none"/>
          <w:lang w:eastAsia="zh-CN"/>
        </w:rPr>
      </w:pPr>
      <w:r>
        <w:rPr>
          <w:rFonts w:hint="eastAsia" w:ascii="仿宋" w:hAnsi="仿宋" w:eastAsia="仿宋" w:cs="Times New Roman"/>
          <w:b/>
          <w:bCs/>
          <w:kern w:val="0"/>
          <w:sz w:val="30"/>
          <w:szCs w:val="30"/>
          <w:highlight w:val="none"/>
          <w:lang w:val="en-US" w:eastAsia="zh-CN" w:bidi="en-US"/>
        </w:rPr>
        <w:t>1.1.</w:t>
      </w:r>
      <w:r>
        <w:rPr>
          <w:rFonts w:hint="eastAsia" w:ascii="仿宋" w:hAnsi="仿宋" w:eastAsia="仿宋"/>
          <w:sz w:val="30"/>
          <w:szCs w:val="30"/>
          <w:highlight w:val="none"/>
          <w:lang w:eastAsia="zh-CN"/>
        </w:rPr>
        <w:t>主要内容</w:t>
      </w:r>
    </w:p>
    <w:p w14:paraId="34DF141A">
      <w:pPr>
        <w:pStyle w:val="72"/>
        <w:spacing w:line="360" w:lineRule="auto"/>
        <w:ind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b/>
          <w:sz w:val="28"/>
          <w:szCs w:val="28"/>
          <w:highlight w:val="none"/>
        </w:rPr>
        <w:t>实时监测功能</w:t>
      </w:r>
      <w:r>
        <w:rPr>
          <w:rFonts w:hint="eastAsia" w:ascii="仿宋_GB2312" w:hAnsi="仿宋_GB2312" w:eastAsia="仿宋_GB2312" w:cs="仿宋_GB2312"/>
          <w:sz w:val="28"/>
          <w:szCs w:val="28"/>
          <w:highlight w:val="none"/>
        </w:rPr>
        <w:t>。在数据平台系统中实现债券、外汇、利率、大宗、信用等业务系统数据的实时接入，以及所承载的各项业务的实时监测，并支持实时数据分析。</w:t>
      </w:r>
    </w:p>
    <w:p w14:paraId="6D12FB7D">
      <w:pPr>
        <w:pStyle w:val="72"/>
        <w:spacing w:line="360" w:lineRule="auto"/>
        <w:ind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b/>
          <w:bCs/>
          <w:sz w:val="28"/>
          <w:szCs w:val="28"/>
          <w:highlight w:val="none"/>
        </w:rPr>
        <w:t>同步链路功能。</w:t>
      </w:r>
      <w:r>
        <w:rPr>
          <w:rFonts w:hint="eastAsia" w:ascii="仿宋_GB2312" w:hAnsi="仿宋_GB2312" w:eastAsia="仿宋_GB2312" w:cs="仿宋_GB2312"/>
          <w:sz w:val="28"/>
          <w:szCs w:val="28"/>
          <w:highlight w:val="none"/>
        </w:rPr>
        <w:t>支持业务数据的实时更新和采集，主要是从</w:t>
      </w:r>
      <w:r>
        <w:rPr>
          <w:rFonts w:hint="eastAsia" w:ascii="仿宋_GB2312" w:hAnsi="仿宋_GB2312" w:eastAsia="仿宋_GB2312" w:cs="仿宋_GB2312"/>
          <w:sz w:val="28"/>
          <w:szCs w:val="28"/>
          <w:highlight w:val="none"/>
          <w:lang w:val="en-US" w:eastAsia="zh-CN"/>
        </w:rPr>
        <w:t>主流商用数据库</w:t>
      </w:r>
      <w:r>
        <w:rPr>
          <w:rFonts w:hint="eastAsia" w:ascii="仿宋_GB2312" w:hAnsi="仿宋_GB2312" w:eastAsia="仿宋_GB2312" w:cs="仿宋_GB2312"/>
          <w:sz w:val="28"/>
          <w:szCs w:val="28"/>
          <w:highlight w:val="none"/>
        </w:rPr>
        <w:t>数据增量同步至</w:t>
      </w:r>
      <w:r>
        <w:rPr>
          <w:rFonts w:hint="eastAsia" w:ascii="仿宋_GB2312" w:hAnsi="仿宋_GB2312" w:eastAsia="仿宋_GB2312" w:cs="仿宋_GB2312"/>
          <w:sz w:val="28"/>
          <w:szCs w:val="28"/>
          <w:highlight w:val="none"/>
          <w:lang w:val="en-US" w:eastAsia="zh-CN"/>
        </w:rPr>
        <w:t>数据平台</w:t>
      </w:r>
      <w:r>
        <w:rPr>
          <w:rFonts w:hint="eastAsia" w:ascii="仿宋_GB2312" w:hAnsi="仿宋_GB2312" w:eastAsia="仿宋_GB2312" w:cs="仿宋_GB2312"/>
          <w:sz w:val="28"/>
          <w:szCs w:val="28"/>
          <w:highlight w:val="none"/>
        </w:rPr>
        <w:t>。对于支持数据同步链路数不作限制。</w:t>
      </w:r>
    </w:p>
    <w:p w14:paraId="0C46E6A5">
      <w:pPr>
        <w:pStyle w:val="4"/>
        <w:numPr>
          <w:ilvl w:val="1"/>
          <w:numId w:val="0"/>
        </w:numPr>
        <w:ind w:left="792" w:leftChars="0" w:hanging="432" w:firstLineChars="0"/>
        <w:rPr>
          <w:rFonts w:hint="eastAsia" w:ascii="仿宋" w:hAnsi="仿宋" w:eastAsia="仿宋"/>
          <w:sz w:val="30"/>
          <w:szCs w:val="30"/>
          <w:highlight w:val="none"/>
          <w:lang w:eastAsia="zh-CN"/>
        </w:rPr>
      </w:pPr>
      <w:r>
        <w:rPr>
          <w:rFonts w:hint="eastAsia" w:ascii="仿宋" w:hAnsi="仿宋" w:eastAsia="仿宋" w:cs="Times New Roman"/>
          <w:b/>
          <w:bCs/>
          <w:kern w:val="0"/>
          <w:sz w:val="30"/>
          <w:szCs w:val="30"/>
          <w:highlight w:val="none"/>
          <w:lang w:val="en-US" w:eastAsia="zh-CN" w:bidi="en-US"/>
        </w:rPr>
        <w:t>1.2.</w:t>
      </w:r>
      <w:r>
        <w:rPr>
          <w:rFonts w:hint="eastAsia" w:ascii="仿宋" w:hAnsi="仿宋" w:eastAsia="仿宋"/>
          <w:sz w:val="30"/>
          <w:szCs w:val="30"/>
          <w:highlight w:val="none"/>
          <w:lang w:eastAsia="zh-CN"/>
        </w:rPr>
        <w:t>完成时间</w:t>
      </w:r>
    </w:p>
    <w:p w14:paraId="170B01B7">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本项目应于2026年10月内完成上线投产。</w:t>
      </w:r>
    </w:p>
    <w:p w14:paraId="1C4D7EAF">
      <w:pPr>
        <w:spacing w:line="580" w:lineRule="exact"/>
        <w:ind w:firstLine="643" w:firstLineChars="200"/>
        <w:rPr>
          <w:rFonts w:hint="eastAsia" w:ascii="仿宋" w:hAnsi="仿宋" w:eastAsia="仿宋" w:cs="仿宋"/>
          <w:b/>
          <w:kern w:val="0"/>
          <w:sz w:val="32"/>
          <w:szCs w:val="32"/>
          <w:highlight w:val="none"/>
          <w:lang w:bidi="ar"/>
        </w:rPr>
      </w:pPr>
    </w:p>
    <w:p w14:paraId="6401B1B3">
      <w:pPr>
        <w:pStyle w:val="3"/>
        <w:numPr>
          <w:ilvl w:val="0"/>
          <w:numId w:val="0"/>
        </w:numPr>
        <w:ind w:left="360" w:leftChars="0" w:hanging="360" w:firstLineChars="0"/>
        <w:rPr>
          <w:rFonts w:hint="eastAsia" w:ascii="仿宋" w:hAnsi="仿宋" w:eastAsia="仿宋"/>
          <w:sz w:val="30"/>
          <w:szCs w:val="30"/>
          <w:highlight w:val="none"/>
          <w:lang w:eastAsia="zh-CN"/>
        </w:rPr>
      </w:pPr>
      <w:r>
        <w:rPr>
          <w:rFonts w:hint="default" w:ascii="仿宋" w:hAnsi="仿宋" w:eastAsia="仿宋" w:cs="Times New Roman"/>
          <w:b/>
          <w:bCs/>
          <w:kern w:val="0"/>
          <w:sz w:val="30"/>
          <w:szCs w:val="30"/>
          <w:highlight w:val="none"/>
          <w:lang w:val="en-US" w:eastAsia="zh-CN" w:bidi="en-US"/>
        </w:rPr>
        <w:t>第2章</w:t>
      </w:r>
      <w:r>
        <w:rPr>
          <w:rFonts w:hint="eastAsia" w:ascii="仿宋" w:hAnsi="仿宋" w:eastAsia="仿宋"/>
          <w:sz w:val="30"/>
          <w:szCs w:val="30"/>
          <w:highlight w:val="none"/>
          <w:lang w:eastAsia="zh-CN"/>
        </w:rPr>
        <w:t xml:space="preserve">  业务</w:t>
      </w:r>
      <w:r>
        <w:rPr>
          <w:rFonts w:ascii="仿宋" w:hAnsi="仿宋" w:eastAsia="仿宋"/>
          <w:sz w:val="30"/>
          <w:szCs w:val="30"/>
          <w:highlight w:val="none"/>
          <w:lang w:eastAsia="zh-CN"/>
        </w:rPr>
        <w:t>总体说明</w:t>
      </w:r>
    </w:p>
    <w:p w14:paraId="300B0DB9">
      <w:pPr>
        <w:pStyle w:val="4"/>
        <w:numPr>
          <w:ilvl w:val="1"/>
          <w:numId w:val="0"/>
        </w:numPr>
        <w:ind w:left="792" w:leftChars="0" w:hanging="432" w:firstLineChars="0"/>
        <w:rPr>
          <w:rFonts w:hint="eastAsia" w:ascii="仿宋" w:hAnsi="仿宋" w:eastAsia="仿宋"/>
          <w:sz w:val="30"/>
          <w:szCs w:val="30"/>
          <w:highlight w:val="none"/>
          <w:lang w:eastAsia="zh-CN"/>
        </w:rPr>
      </w:pPr>
      <w:r>
        <w:rPr>
          <w:rFonts w:hint="eastAsia" w:ascii="仿宋" w:hAnsi="仿宋" w:eastAsia="仿宋" w:cs="Times New Roman"/>
          <w:b/>
          <w:bCs/>
          <w:kern w:val="0"/>
          <w:sz w:val="30"/>
          <w:szCs w:val="30"/>
          <w:highlight w:val="none"/>
          <w:lang w:val="en-US" w:eastAsia="zh-CN" w:bidi="en-US"/>
        </w:rPr>
        <w:t>2.1.</w:t>
      </w:r>
      <w:r>
        <w:rPr>
          <w:rFonts w:hint="eastAsia" w:ascii="仿宋" w:hAnsi="仿宋" w:eastAsia="仿宋"/>
          <w:sz w:val="30"/>
          <w:szCs w:val="30"/>
          <w:highlight w:val="none"/>
          <w:lang w:eastAsia="zh-CN"/>
        </w:rPr>
        <w:t>业务连续性要求</w:t>
      </w:r>
    </w:p>
    <w:p w14:paraId="331A490D">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系统的业务连续性为三级，系统的恢复时间目标（</w:t>
      </w:r>
      <w:r>
        <w:rPr>
          <w:rFonts w:ascii="仿宋_GB2312" w:hAnsi="仿宋_GB2312" w:eastAsia="仿宋_GB2312" w:cs="仿宋_GB2312"/>
          <w:kern w:val="0"/>
          <w:sz w:val="28"/>
          <w:szCs w:val="28"/>
          <w:highlight w:val="none"/>
        </w:rPr>
        <w:t>RTO</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&lt;=4</w:t>
      </w:r>
      <w:r>
        <w:rPr>
          <w:rFonts w:hint="eastAsia" w:ascii="仿宋_GB2312" w:hAnsi="仿宋_GB2312" w:eastAsia="仿宋_GB2312" w:cs="仿宋_GB2312"/>
          <w:kern w:val="0"/>
          <w:sz w:val="28"/>
          <w:szCs w:val="28"/>
          <w:highlight w:val="none"/>
        </w:rPr>
        <w:t>小时、恢复点目标（</w:t>
      </w:r>
      <w:r>
        <w:rPr>
          <w:rFonts w:ascii="仿宋_GB2312" w:hAnsi="仿宋_GB2312" w:eastAsia="仿宋_GB2312" w:cs="仿宋_GB2312"/>
          <w:kern w:val="0"/>
          <w:sz w:val="28"/>
          <w:szCs w:val="28"/>
          <w:highlight w:val="none"/>
        </w:rPr>
        <w:t>RPO</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&lt;=1</w:t>
      </w:r>
      <w:r>
        <w:rPr>
          <w:rFonts w:hint="eastAsia" w:ascii="仿宋_GB2312" w:hAnsi="仿宋_GB2312" w:eastAsia="仿宋_GB2312" w:cs="仿宋_GB2312"/>
          <w:kern w:val="0"/>
          <w:sz w:val="28"/>
          <w:szCs w:val="28"/>
          <w:highlight w:val="none"/>
        </w:rPr>
        <w:t>小时。</w:t>
      </w:r>
    </w:p>
    <w:p w14:paraId="12713F35">
      <w:pPr>
        <w:pStyle w:val="4"/>
        <w:numPr>
          <w:ilvl w:val="1"/>
          <w:numId w:val="0"/>
        </w:numPr>
        <w:ind w:left="792" w:leftChars="0" w:hanging="432" w:firstLineChars="0"/>
        <w:rPr>
          <w:rFonts w:hint="eastAsia" w:ascii="仿宋" w:hAnsi="仿宋" w:eastAsia="仿宋"/>
          <w:sz w:val="30"/>
          <w:szCs w:val="30"/>
          <w:highlight w:val="none"/>
          <w:lang w:eastAsia="zh-CN"/>
        </w:rPr>
      </w:pPr>
      <w:r>
        <w:rPr>
          <w:rFonts w:hint="eastAsia" w:ascii="仿宋" w:hAnsi="仿宋" w:eastAsia="仿宋" w:cs="Times New Roman"/>
          <w:b/>
          <w:bCs/>
          <w:kern w:val="0"/>
          <w:sz w:val="30"/>
          <w:szCs w:val="30"/>
          <w:highlight w:val="none"/>
          <w:lang w:val="en-US" w:eastAsia="zh-CN" w:bidi="en-US"/>
        </w:rPr>
        <w:t>2.2.</w:t>
      </w:r>
      <w:r>
        <w:rPr>
          <w:rFonts w:ascii="仿宋" w:hAnsi="仿宋" w:eastAsia="仿宋"/>
          <w:sz w:val="30"/>
          <w:szCs w:val="30"/>
          <w:highlight w:val="none"/>
          <w:lang w:eastAsia="zh-CN"/>
        </w:rPr>
        <w:t>与其他项目</w:t>
      </w:r>
      <w:r>
        <w:rPr>
          <w:rFonts w:hint="eastAsia" w:ascii="仿宋" w:hAnsi="仿宋" w:eastAsia="仿宋"/>
          <w:sz w:val="30"/>
          <w:szCs w:val="30"/>
          <w:highlight w:val="none"/>
          <w:lang w:eastAsia="zh-CN"/>
        </w:rPr>
        <w:t>的</w:t>
      </w:r>
      <w:r>
        <w:rPr>
          <w:rFonts w:ascii="仿宋" w:hAnsi="仿宋" w:eastAsia="仿宋"/>
          <w:sz w:val="30"/>
          <w:szCs w:val="30"/>
          <w:highlight w:val="none"/>
          <w:lang w:eastAsia="zh-CN"/>
        </w:rPr>
        <w:t>关系</w:t>
      </w:r>
      <w:r>
        <w:rPr>
          <w:rFonts w:hint="eastAsia" w:ascii="仿宋" w:hAnsi="仿宋" w:eastAsia="仿宋"/>
          <w:sz w:val="30"/>
          <w:szCs w:val="30"/>
          <w:highlight w:val="none"/>
          <w:lang w:eastAsia="zh-CN"/>
        </w:rPr>
        <w:t>说明</w:t>
      </w:r>
    </w:p>
    <w:p w14:paraId="1D9292AC">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上游系统任何元数据变化将影响本系统数据采集功能及数据湖结构，因此上游系统所有涉及变更数据结构、内容、定义的项目均对本项目有影响。</w:t>
      </w:r>
    </w:p>
    <w:p w14:paraId="1B118FBA">
      <w:pPr>
        <w:pStyle w:val="4"/>
        <w:numPr>
          <w:ilvl w:val="1"/>
          <w:numId w:val="0"/>
        </w:numPr>
        <w:ind w:left="792" w:leftChars="0" w:hanging="432" w:firstLineChars="0"/>
        <w:rPr>
          <w:rFonts w:hint="eastAsia" w:ascii="仿宋" w:hAnsi="仿宋" w:eastAsia="仿宋"/>
          <w:sz w:val="30"/>
          <w:szCs w:val="30"/>
          <w:highlight w:val="none"/>
          <w:lang w:eastAsia="zh-CN"/>
        </w:rPr>
      </w:pPr>
      <w:r>
        <w:rPr>
          <w:rFonts w:hint="eastAsia" w:ascii="仿宋" w:hAnsi="仿宋" w:eastAsia="仿宋" w:cs="Times New Roman"/>
          <w:b/>
          <w:bCs/>
          <w:kern w:val="0"/>
          <w:sz w:val="30"/>
          <w:szCs w:val="30"/>
          <w:highlight w:val="none"/>
          <w:lang w:val="en-US" w:eastAsia="zh-CN" w:bidi="en-US"/>
        </w:rPr>
        <w:t>2.3.</w:t>
      </w:r>
      <w:r>
        <w:rPr>
          <w:rFonts w:ascii="仿宋" w:hAnsi="仿宋" w:eastAsia="仿宋"/>
          <w:sz w:val="30"/>
          <w:szCs w:val="30"/>
          <w:highlight w:val="none"/>
          <w:lang w:eastAsia="zh-CN"/>
        </w:rPr>
        <w:t>与其他</w:t>
      </w:r>
      <w:r>
        <w:rPr>
          <w:rFonts w:hint="eastAsia" w:ascii="仿宋" w:hAnsi="仿宋" w:eastAsia="仿宋"/>
          <w:sz w:val="30"/>
          <w:szCs w:val="30"/>
          <w:highlight w:val="none"/>
          <w:lang w:eastAsia="zh-CN"/>
        </w:rPr>
        <w:t>系统的</w:t>
      </w:r>
      <w:r>
        <w:rPr>
          <w:rFonts w:ascii="仿宋" w:hAnsi="仿宋" w:eastAsia="仿宋"/>
          <w:sz w:val="30"/>
          <w:szCs w:val="30"/>
          <w:highlight w:val="none"/>
          <w:lang w:eastAsia="zh-CN"/>
        </w:rPr>
        <w:t>关系</w:t>
      </w:r>
      <w:r>
        <w:rPr>
          <w:rFonts w:hint="eastAsia" w:ascii="仿宋" w:hAnsi="仿宋" w:eastAsia="仿宋"/>
          <w:sz w:val="30"/>
          <w:szCs w:val="30"/>
          <w:highlight w:val="none"/>
          <w:lang w:eastAsia="zh-CN"/>
        </w:rPr>
        <w:t>说明</w:t>
      </w:r>
    </w:p>
    <w:p w14:paraId="0BC391BD">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本系统从业务系统、外部系统、外部数据等采集数据。</w:t>
      </w:r>
    </w:p>
    <w:p w14:paraId="68BAB7DB">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本系统从</w:t>
      </w:r>
      <w:r>
        <w:rPr>
          <w:rFonts w:hint="eastAsia" w:ascii="仿宋_GB2312" w:hAnsi="仿宋_GB2312" w:eastAsia="仿宋_GB2312" w:cs="仿宋_GB2312"/>
          <w:kern w:val="0"/>
          <w:sz w:val="28"/>
          <w:szCs w:val="28"/>
          <w:highlight w:val="none"/>
        </w:rPr>
        <w:t>6家货币经纪公司接口接收数据。</w:t>
      </w:r>
    </w:p>
    <w:p w14:paraId="5E2C2F3D">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本系统向</w:t>
      </w:r>
      <w:r>
        <w:rPr>
          <w:rFonts w:hint="eastAsia" w:ascii="仿宋_GB2312" w:hAnsi="仿宋_GB2312" w:eastAsia="仿宋_GB2312" w:cs="仿宋_GB2312"/>
          <w:kern w:val="0"/>
          <w:sz w:val="28"/>
          <w:szCs w:val="28"/>
          <w:highlight w:val="none"/>
        </w:rPr>
        <w:t>FMMS、</w:t>
      </w:r>
      <w:r>
        <w:rPr>
          <w:rFonts w:ascii="仿宋_GB2312" w:hAnsi="仿宋_GB2312" w:eastAsia="仿宋_GB2312" w:cs="仿宋_GB2312"/>
          <w:kern w:val="0"/>
          <w:sz w:val="28"/>
          <w:szCs w:val="28"/>
          <w:highlight w:val="none"/>
        </w:rPr>
        <w:t>RC</w:t>
      </w:r>
      <w:r>
        <w:rPr>
          <w:rFonts w:hint="eastAsia" w:ascii="仿宋_GB2312" w:hAnsi="仿宋_GB2312" w:eastAsia="仿宋_GB2312" w:cs="仿宋_GB2312"/>
          <w:kern w:val="0"/>
          <w:sz w:val="28"/>
          <w:szCs w:val="28"/>
          <w:highlight w:val="none"/>
        </w:rPr>
        <w:t>P</w:t>
      </w:r>
      <w:r>
        <w:rPr>
          <w:rFonts w:ascii="仿宋_GB2312" w:hAnsi="仿宋_GB2312" w:eastAsia="仿宋_GB2312" w:cs="仿宋_GB2312"/>
          <w:kern w:val="0"/>
          <w:sz w:val="28"/>
          <w:szCs w:val="28"/>
          <w:highlight w:val="none"/>
        </w:rPr>
        <w:t>MIS</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门户</w:t>
      </w:r>
      <w:r>
        <w:rPr>
          <w:rFonts w:hint="eastAsia" w:ascii="仿宋_GB2312" w:hAnsi="仿宋_GB2312" w:eastAsia="仿宋_GB2312" w:cs="仿宋_GB2312"/>
          <w:kern w:val="0"/>
          <w:sz w:val="28"/>
          <w:szCs w:val="28"/>
          <w:highlight w:val="none"/>
        </w:rPr>
        <w:t>网站等系统发送数据。</w:t>
      </w:r>
    </w:p>
    <w:p w14:paraId="601D1977">
      <w:pPr>
        <w:pStyle w:val="3"/>
        <w:numPr>
          <w:ilvl w:val="0"/>
          <w:numId w:val="0"/>
        </w:numPr>
        <w:ind w:left="360" w:leftChars="0" w:hanging="360" w:firstLineChars="0"/>
        <w:rPr>
          <w:rFonts w:hint="eastAsia" w:ascii="仿宋" w:hAnsi="仿宋" w:eastAsia="仿宋"/>
          <w:sz w:val="30"/>
          <w:szCs w:val="30"/>
          <w:highlight w:val="none"/>
          <w:lang w:eastAsia="zh-CN"/>
        </w:rPr>
      </w:pPr>
      <w:r>
        <w:rPr>
          <w:rFonts w:hint="default" w:ascii="仿宋" w:hAnsi="仿宋" w:eastAsia="仿宋" w:cs="Times New Roman"/>
          <w:b/>
          <w:bCs/>
          <w:kern w:val="0"/>
          <w:sz w:val="30"/>
          <w:szCs w:val="30"/>
          <w:highlight w:val="none"/>
          <w:lang w:val="en-US" w:eastAsia="zh-CN" w:bidi="en-US"/>
        </w:rPr>
        <w:t>第3章</w:t>
      </w:r>
      <w:r>
        <w:rPr>
          <w:rFonts w:hint="eastAsia" w:ascii="仿宋" w:hAnsi="仿宋" w:eastAsia="仿宋"/>
          <w:sz w:val="30"/>
          <w:szCs w:val="30"/>
          <w:highlight w:val="none"/>
          <w:lang w:eastAsia="zh-CN"/>
        </w:rPr>
        <w:t xml:space="preserve">  数据需求</w:t>
      </w:r>
    </w:p>
    <w:p w14:paraId="5766D00F">
      <w:pPr>
        <w:pStyle w:val="4"/>
        <w:numPr>
          <w:ilvl w:val="1"/>
          <w:numId w:val="0"/>
        </w:numPr>
        <w:ind w:left="792" w:leftChars="0" w:hanging="432" w:firstLineChars="0"/>
        <w:rPr>
          <w:rFonts w:hint="eastAsia" w:ascii="仿宋" w:hAnsi="仿宋" w:eastAsia="仿宋"/>
          <w:sz w:val="30"/>
          <w:szCs w:val="30"/>
          <w:highlight w:val="none"/>
          <w:lang w:eastAsia="zh-CN"/>
        </w:rPr>
      </w:pPr>
      <w:r>
        <w:rPr>
          <w:rFonts w:hint="eastAsia" w:ascii="仿宋" w:hAnsi="仿宋" w:eastAsia="仿宋" w:cs="Times New Roman"/>
          <w:b/>
          <w:bCs/>
          <w:kern w:val="0"/>
          <w:sz w:val="30"/>
          <w:szCs w:val="30"/>
          <w:highlight w:val="none"/>
          <w:lang w:val="en-US" w:eastAsia="zh-CN" w:bidi="en-US"/>
        </w:rPr>
        <w:t>3.1.</w:t>
      </w:r>
      <w:r>
        <w:rPr>
          <w:rFonts w:hint="eastAsia" w:ascii="仿宋" w:hAnsi="仿宋" w:eastAsia="仿宋"/>
          <w:sz w:val="30"/>
          <w:szCs w:val="30"/>
          <w:highlight w:val="none"/>
          <w:lang w:eastAsia="zh-CN"/>
        </w:rPr>
        <w:t>系统的</w:t>
      </w:r>
      <w:r>
        <w:rPr>
          <w:rFonts w:ascii="仿宋" w:hAnsi="仿宋" w:eastAsia="仿宋"/>
          <w:sz w:val="30"/>
          <w:szCs w:val="30"/>
          <w:highlight w:val="none"/>
          <w:lang w:eastAsia="zh-CN"/>
        </w:rPr>
        <w:t>数据</w:t>
      </w:r>
      <w:r>
        <w:rPr>
          <w:rFonts w:hint="eastAsia" w:ascii="仿宋" w:hAnsi="仿宋" w:eastAsia="仿宋"/>
          <w:sz w:val="30"/>
          <w:szCs w:val="30"/>
          <w:highlight w:val="none"/>
          <w:lang w:eastAsia="zh-CN"/>
        </w:rPr>
        <w:t>容量要求</w:t>
      </w:r>
    </w:p>
    <w:tbl>
      <w:tblPr>
        <w:tblStyle w:val="25"/>
        <w:tblW w:w="8789" w:type="dxa"/>
        <w:tblInd w:w="-34" w:type="dxa"/>
        <w:tblLayout w:type="autofit"/>
        <w:tblCellMar>
          <w:top w:w="0" w:type="dxa"/>
          <w:left w:w="0" w:type="dxa"/>
          <w:bottom w:w="0" w:type="dxa"/>
          <w:right w:w="0" w:type="dxa"/>
        </w:tblCellMar>
      </w:tblPr>
      <w:tblGrid>
        <w:gridCol w:w="2552"/>
        <w:gridCol w:w="3119"/>
        <w:gridCol w:w="3118"/>
      </w:tblGrid>
      <w:tr w14:paraId="33E43A6F">
        <w:tblPrEx>
          <w:tblCellMar>
            <w:top w:w="0" w:type="dxa"/>
            <w:left w:w="0" w:type="dxa"/>
            <w:bottom w:w="0" w:type="dxa"/>
            <w:right w:w="0" w:type="dxa"/>
          </w:tblCellMar>
        </w:tblPrEx>
        <w:trPr>
          <w:trHeight w:val="409" w:hRule="atLeast"/>
        </w:trPr>
        <w:tc>
          <w:tcPr>
            <w:tcW w:w="2552" w:type="dxa"/>
            <w:tcBorders>
              <w:top w:val="single" w:color="000000" w:sz="8" w:space="0"/>
              <w:left w:val="single" w:color="000000" w:sz="8" w:space="0"/>
              <w:bottom w:val="single" w:color="auto" w:sz="4" w:space="0"/>
              <w:right w:val="single" w:color="000000" w:sz="8" w:space="0"/>
            </w:tcBorders>
            <w:shd w:val="clear" w:color="auto" w:fill="C6D9F1"/>
            <w:tcMar>
              <w:top w:w="0" w:type="dxa"/>
              <w:left w:w="108" w:type="dxa"/>
              <w:bottom w:w="0" w:type="dxa"/>
              <w:right w:w="108" w:type="dxa"/>
            </w:tcMar>
            <w:vAlign w:val="center"/>
          </w:tcPr>
          <w:p w14:paraId="1E48A385">
            <w:pPr>
              <w:spacing w:line="360" w:lineRule="exact"/>
              <w:jc w:val="center"/>
              <w:rPr>
                <w:rFonts w:hint="eastAsia" w:ascii="仿宋" w:hAnsi="仿宋" w:eastAsia="仿宋" w:cs="Calibri"/>
                <w:b/>
                <w:bCs/>
                <w:color w:val="000000"/>
                <w:highlight w:val="none"/>
              </w:rPr>
            </w:pPr>
            <w:r>
              <w:rPr>
                <w:rFonts w:hint="eastAsia" w:ascii="仿宋" w:hAnsi="仿宋" w:eastAsia="仿宋"/>
                <w:b/>
                <w:bCs/>
                <w:highlight w:val="none"/>
              </w:rPr>
              <w:t>条目</w:t>
            </w:r>
          </w:p>
        </w:tc>
        <w:tc>
          <w:tcPr>
            <w:tcW w:w="3119" w:type="dxa"/>
            <w:tcBorders>
              <w:top w:val="single" w:color="000000" w:sz="8" w:space="0"/>
              <w:left w:val="nil"/>
              <w:bottom w:val="single" w:color="auto" w:sz="4" w:space="0"/>
              <w:right w:val="single" w:color="000000" w:sz="8" w:space="0"/>
            </w:tcBorders>
            <w:shd w:val="clear" w:color="auto" w:fill="C6D9F1"/>
            <w:tcMar>
              <w:top w:w="0" w:type="dxa"/>
              <w:left w:w="108" w:type="dxa"/>
              <w:bottom w:w="0" w:type="dxa"/>
              <w:right w:w="108" w:type="dxa"/>
            </w:tcMar>
            <w:vAlign w:val="center"/>
          </w:tcPr>
          <w:p w14:paraId="63B5F783">
            <w:pPr>
              <w:spacing w:line="360" w:lineRule="exact"/>
              <w:jc w:val="center"/>
              <w:rPr>
                <w:rFonts w:hint="eastAsia" w:ascii="仿宋" w:hAnsi="仿宋" w:eastAsia="仿宋" w:cs="Calibri"/>
                <w:b/>
                <w:bCs/>
                <w:color w:val="000000"/>
                <w:highlight w:val="none"/>
              </w:rPr>
            </w:pPr>
            <w:r>
              <w:rPr>
                <w:rFonts w:hint="eastAsia" w:ascii="仿宋" w:hAnsi="仿宋" w:eastAsia="仿宋"/>
                <w:b/>
                <w:bCs/>
                <w:color w:val="000000"/>
                <w:highlight w:val="none"/>
              </w:rPr>
              <w:t>业务需求</w:t>
            </w:r>
          </w:p>
        </w:tc>
        <w:tc>
          <w:tcPr>
            <w:tcW w:w="3118" w:type="dxa"/>
            <w:tcBorders>
              <w:top w:val="single" w:color="000000" w:sz="8" w:space="0"/>
              <w:left w:val="nil"/>
              <w:bottom w:val="single" w:color="auto" w:sz="4" w:space="0"/>
              <w:right w:val="single" w:color="000000" w:sz="8" w:space="0"/>
            </w:tcBorders>
            <w:shd w:val="clear" w:color="auto" w:fill="C6D9F1"/>
            <w:tcMar>
              <w:top w:w="0" w:type="dxa"/>
              <w:left w:w="108" w:type="dxa"/>
              <w:bottom w:w="0" w:type="dxa"/>
              <w:right w:w="108" w:type="dxa"/>
            </w:tcMar>
            <w:vAlign w:val="center"/>
          </w:tcPr>
          <w:p w14:paraId="56E54065">
            <w:pPr>
              <w:spacing w:line="360" w:lineRule="exact"/>
              <w:jc w:val="center"/>
              <w:rPr>
                <w:rFonts w:hint="eastAsia" w:ascii="仿宋" w:hAnsi="仿宋" w:eastAsia="仿宋" w:cs="Calibri"/>
                <w:b/>
                <w:bCs/>
                <w:color w:val="000000"/>
                <w:highlight w:val="none"/>
              </w:rPr>
            </w:pPr>
            <w:r>
              <w:rPr>
                <w:rFonts w:hint="eastAsia" w:ascii="仿宋" w:hAnsi="仿宋" w:eastAsia="仿宋"/>
                <w:b/>
                <w:bCs/>
                <w:color w:val="000000"/>
                <w:highlight w:val="none"/>
              </w:rPr>
              <w:t>系统目标</w:t>
            </w:r>
          </w:p>
        </w:tc>
      </w:tr>
      <w:tr w14:paraId="2D6CE366">
        <w:tblPrEx>
          <w:tblCellMar>
            <w:top w:w="0" w:type="dxa"/>
            <w:left w:w="0" w:type="dxa"/>
            <w:bottom w:w="0" w:type="dxa"/>
            <w:right w:w="0" w:type="dxa"/>
          </w:tblCellMar>
        </w:tblPrEx>
        <w:trPr>
          <w:trHeight w:val="543" w:hRule="atLeast"/>
        </w:trPr>
        <w:tc>
          <w:tcPr>
            <w:tcW w:w="2552" w:type="dxa"/>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14:paraId="55A282B3">
            <w:pPr>
              <w:spacing w:line="360" w:lineRule="exact"/>
              <w:jc w:val="center"/>
              <w:rPr>
                <w:rFonts w:hint="eastAsia" w:ascii="仿宋" w:hAnsi="仿宋" w:eastAsia="仿宋" w:cs="Calibri"/>
                <w:color w:val="000000"/>
                <w:highlight w:val="none"/>
              </w:rPr>
            </w:pPr>
            <w:r>
              <w:rPr>
                <w:rFonts w:hint="eastAsia" w:ascii="仿宋" w:hAnsi="仿宋" w:eastAsia="仿宋"/>
                <w:color w:val="000000"/>
                <w:highlight w:val="none"/>
              </w:rPr>
              <w:t>注册用户</w:t>
            </w:r>
            <w:r>
              <w:rPr>
                <w:rFonts w:ascii="仿宋" w:hAnsi="仿宋" w:eastAsia="仿宋"/>
                <w:color w:val="000000"/>
                <w:highlight w:val="none"/>
              </w:rPr>
              <w:t>数</w:t>
            </w:r>
          </w:p>
        </w:tc>
        <w:tc>
          <w:tcPr>
            <w:tcW w:w="311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567CE6B7">
            <w:pPr>
              <w:spacing w:line="360" w:lineRule="exact"/>
              <w:jc w:val="center"/>
              <w:rPr>
                <w:rFonts w:hint="eastAsia" w:ascii="仿宋" w:hAnsi="仿宋" w:eastAsia="仿宋" w:cs="Calibri"/>
                <w:color w:val="000000"/>
                <w:highlight w:val="none"/>
              </w:rPr>
            </w:pPr>
            <w:r>
              <w:rPr>
                <w:rFonts w:hint="eastAsia" w:ascii="仿宋" w:hAnsi="仿宋" w:eastAsia="仿宋" w:cs="Calibri"/>
                <w:color w:val="000000"/>
                <w:highlight w:val="none"/>
              </w:rPr>
              <w:t>2</w:t>
            </w:r>
            <w:r>
              <w:rPr>
                <w:rFonts w:ascii="仿宋" w:hAnsi="仿宋" w:eastAsia="仿宋" w:cs="Calibri"/>
                <w:color w:val="000000"/>
                <w:highlight w:val="none"/>
              </w:rPr>
              <w:t>5</w:t>
            </w:r>
            <w:r>
              <w:rPr>
                <w:rFonts w:hint="eastAsia" w:ascii="仿宋" w:hAnsi="仿宋" w:eastAsia="仿宋" w:cs="Calibri"/>
                <w:color w:val="000000"/>
                <w:highlight w:val="none"/>
              </w:rPr>
              <w:t>0</w:t>
            </w:r>
          </w:p>
        </w:tc>
        <w:tc>
          <w:tcPr>
            <w:tcW w:w="311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10ABE495">
            <w:pPr>
              <w:spacing w:line="360" w:lineRule="exact"/>
              <w:jc w:val="center"/>
              <w:rPr>
                <w:rFonts w:hint="eastAsia" w:ascii="仿宋" w:hAnsi="仿宋" w:eastAsia="仿宋" w:cs="Calibri"/>
                <w:highlight w:val="none"/>
              </w:rPr>
            </w:pPr>
            <w:r>
              <w:rPr>
                <w:rFonts w:hint="eastAsia" w:ascii="仿宋" w:hAnsi="仿宋" w:eastAsia="仿宋" w:cs="Calibri"/>
                <w:highlight w:val="none"/>
              </w:rPr>
              <w:t>500</w:t>
            </w:r>
          </w:p>
        </w:tc>
      </w:tr>
      <w:tr w14:paraId="7CC6739D">
        <w:tblPrEx>
          <w:tblCellMar>
            <w:top w:w="0" w:type="dxa"/>
            <w:left w:w="0" w:type="dxa"/>
            <w:bottom w:w="0" w:type="dxa"/>
            <w:right w:w="0" w:type="dxa"/>
          </w:tblCellMar>
        </w:tblPrEx>
        <w:trPr>
          <w:trHeight w:val="551" w:hRule="atLeast"/>
        </w:trPr>
        <w:tc>
          <w:tcPr>
            <w:tcW w:w="2552" w:type="dxa"/>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14:paraId="455C8D88">
            <w:pPr>
              <w:spacing w:line="360" w:lineRule="exact"/>
              <w:jc w:val="center"/>
              <w:rPr>
                <w:rFonts w:hint="eastAsia" w:ascii="仿宋" w:hAnsi="仿宋" w:eastAsia="仿宋" w:cs="Calibri"/>
                <w:color w:val="000000"/>
                <w:highlight w:val="none"/>
              </w:rPr>
            </w:pPr>
            <w:r>
              <w:rPr>
                <w:rFonts w:hint="eastAsia" w:ascii="仿宋" w:hAnsi="仿宋" w:eastAsia="仿宋"/>
                <w:color w:val="000000"/>
                <w:highlight w:val="none"/>
              </w:rPr>
              <w:t>在线用户数</w:t>
            </w:r>
          </w:p>
        </w:tc>
        <w:tc>
          <w:tcPr>
            <w:tcW w:w="311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0AAE6D35">
            <w:pPr>
              <w:spacing w:line="360" w:lineRule="exact"/>
              <w:jc w:val="center"/>
              <w:rPr>
                <w:rFonts w:hint="eastAsia" w:ascii="仿宋" w:hAnsi="仿宋" w:eastAsia="仿宋" w:cs="Calibri"/>
                <w:color w:val="000000"/>
                <w:highlight w:val="none"/>
              </w:rPr>
            </w:pPr>
            <w:r>
              <w:rPr>
                <w:rFonts w:ascii="仿宋" w:hAnsi="仿宋" w:eastAsia="仿宋" w:cs="Calibri"/>
                <w:color w:val="000000"/>
                <w:highlight w:val="none"/>
              </w:rPr>
              <w:t>150</w:t>
            </w:r>
          </w:p>
        </w:tc>
        <w:tc>
          <w:tcPr>
            <w:tcW w:w="311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60A032B7">
            <w:pPr>
              <w:spacing w:line="360" w:lineRule="exact"/>
              <w:jc w:val="center"/>
              <w:rPr>
                <w:rFonts w:hint="eastAsia" w:ascii="仿宋" w:hAnsi="仿宋" w:eastAsia="仿宋" w:cs="Calibri"/>
                <w:highlight w:val="none"/>
              </w:rPr>
            </w:pPr>
            <w:r>
              <w:rPr>
                <w:rFonts w:hint="eastAsia" w:ascii="仿宋" w:hAnsi="仿宋" w:eastAsia="仿宋" w:cs="Calibri"/>
                <w:highlight w:val="none"/>
              </w:rPr>
              <w:t>300</w:t>
            </w:r>
          </w:p>
        </w:tc>
      </w:tr>
      <w:tr w14:paraId="38F8D7A9">
        <w:tblPrEx>
          <w:tblCellMar>
            <w:top w:w="0" w:type="dxa"/>
            <w:left w:w="0" w:type="dxa"/>
            <w:bottom w:w="0" w:type="dxa"/>
            <w:right w:w="0" w:type="dxa"/>
          </w:tblCellMar>
        </w:tblPrEx>
        <w:trPr>
          <w:trHeight w:val="570" w:hRule="atLeast"/>
        </w:trPr>
        <w:tc>
          <w:tcPr>
            <w:tcW w:w="2552" w:type="dxa"/>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14:paraId="644E45C5">
            <w:pPr>
              <w:spacing w:line="360" w:lineRule="exact"/>
              <w:jc w:val="center"/>
              <w:rPr>
                <w:rFonts w:hint="eastAsia" w:ascii="仿宋" w:hAnsi="仿宋" w:eastAsia="仿宋" w:cs="Calibri"/>
                <w:color w:val="000000"/>
                <w:highlight w:val="none"/>
              </w:rPr>
            </w:pPr>
            <w:r>
              <w:rPr>
                <w:rFonts w:hint="eastAsia" w:ascii="仿宋" w:hAnsi="仿宋" w:eastAsia="仿宋"/>
                <w:color w:val="000000"/>
                <w:highlight w:val="none"/>
              </w:rPr>
              <w:t>并发用户数</w:t>
            </w:r>
          </w:p>
        </w:tc>
        <w:tc>
          <w:tcPr>
            <w:tcW w:w="311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29D77A99">
            <w:pPr>
              <w:spacing w:line="360" w:lineRule="exact"/>
              <w:jc w:val="center"/>
              <w:rPr>
                <w:rFonts w:hint="eastAsia" w:ascii="仿宋" w:hAnsi="仿宋" w:eastAsia="仿宋" w:cs="Calibri"/>
                <w:color w:val="000000"/>
                <w:highlight w:val="none"/>
              </w:rPr>
            </w:pPr>
            <w:r>
              <w:rPr>
                <w:rFonts w:hint="eastAsia" w:ascii="仿宋" w:hAnsi="仿宋" w:eastAsia="仿宋" w:cs="Calibri"/>
                <w:color w:val="000000"/>
                <w:highlight w:val="none"/>
              </w:rPr>
              <w:t>50</w:t>
            </w:r>
          </w:p>
        </w:tc>
        <w:tc>
          <w:tcPr>
            <w:tcW w:w="311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4A8705DD">
            <w:pPr>
              <w:spacing w:line="360" w:lineRule="exact"/>
              <w:jc w:val="center"/>
              <w:rPr>
                <w:rFonts w:hint="eastAsia" w:ascii="仿宋" w:hAnsi="仿宋" w:eastAsia="仿宋" w:cs="Calibri"/>
                <w:highlight w:val="none"/>
              </w:rPr>
            </w:pPr>
            <w:r>
              <w:rPr>
                <w:rFonts w:hint="eastAsia" w:ascii="仿宋" w:hAnsi="仿宋" w:eastAsia="仿宋" w:cs="Calibri"/>
                <w:highlight w:val="none"/>
              </w:rPr>
              <w:t>1</w:t>
            </w:r>
            <w:r>
              <w:rPr>
                <w:rFonts w:ascii="仿宋" w:hAnsi="仿宋" w:eastAsia="仿宋" w:cs="Calibri"/>
                <w:highlight w:val="none"/>
              </w:rPr>
              <w:t>0</w:t>
            </w:r>
            <w:r>
              <w:rPr>
                <w:rFonts w:hint="eastAsia" w:ascii="仿宋" w:hAnsi="仿宋" w:eastAsia="仿宋" w:cs="Calibri"/>
                <w:highlight w:val="none"/>
              </w:rPr>
              <w:t>0</w:t>
            </w:r>
          </w:p>
        </w:tc>
      </w:tr>
      <w:tr w14:paraId="763F978E">
        <w:tblPrEx>
          <w:tblCellMar>
            <w:top w:w="0" w:type="dxa"/>
            <w:left w:w="0" w:type="dxa"/>
            <w:bottom w:w="0" w:type="dxa"/>
            <w:right w:w="0" w:type="dxa"/>
          </w:tblCellMar>
        </w:tblPrEx>
        <w:trPr>
          <w:trHeight w:val="570" w:hRule="atLeast"/>
        </w:trPr>
        <w:tc>
          <w:tcPr>
            <w:tcW w:w="2552" w:type="dxa"/>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14:paraId="3D764935">
            <w:pPr>
              <w:spacing w:line="360" w:lineRule="exact"/>
              <w:jc w:val="center"/>
              <w:rPr>
                <w:rFonts w:hint="eastAsia" w:ascii="仿宋" w:hAnsi="仿宋" w:eastAsia="仿宋"/>
                <w:color w:val="000000"/>
                <w:highlight w:val="none"/>
              </w:rPr>
            </w:pPr>
            <w:r>
              <w:rPr>
                <w:rFonts w:hint="eastAsia" w:ascii="仿宋" w:hAnsi="仿宋" w:eastAsia="仿宋"/>
                <w:color w:val="000000"/>
                <w:highlight w:val="none"/>
              </w:rPr>
              <w:t>数据年增长率</w:t>
            </w:r>
          </w:p>
        </w:tc>
        <w:tc>
          <w:tcPr>
            <w:tcW w:w="311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7DE355C9">
            <w:pPr>
              <w:spacing w:line="360" w:lineRule="exact"/>
              <w:jc w:val="center"/>
              <w:rPr>
                <w:rFonts w:hint="eastAsia" w:ascii="仿宋" w:hAnsi="仿宋" w:eastAsia="仿宋" w:cs="Calibri"/>
                <w:color w:val="000000"/>
                <w:highlight w:val="none"/>
              </w:rPr>
            </w:pPr>
            <w:r>
              <w:rPr>
                <w:rFonts w:ascii="仿宋" w:hAnsi="仿宋" w:eastAsia="仿宋" w:cs="Calibri"/>
                <w:color w:val="000000"/>
                <w:highlight w:val="none"/>
              </w:rPr>
              <w:t>50</w:t>
            </w:r>
            <w:r>
              <w:rPr>
                <w:rFonts w:hint="eastAsia" w:ascii="仿宋" w:hAnsi="仿宋" w:eastAsia="仿宋" w:cs="Calibri"/>
                <w:color w:val="000000"/>
                <w:highlight w:val="none"/>
              </w:rPr>
              <w:t>%</w:t>
            </w:r>
          </w:p>
        </w:tc>
        <w:tc>
          <w:tcPr>
            <w:tcW w:w="311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155EF091">
            <w:pPr>
              <w:spacing w:line="360" w:lineRule="exact"/>
              <w:jc w:val="center"/>
              <w:rPr>
                <w:rFonts w:hint="eastAsia" w:ascii="仿宋" w:hAnsi="仿宋" w:eastAsia="仿宋" w:cs="Calibri"/>
                <w:highlight w:val="none"/>
              </w:rPr>
            </w:pPr>
            <w:r>
              <w:rPr>
                <w:rFonts w:ascii="仿宋" w:hAnsi="仿宋" w:eastAsia="仿宋" w:cs="Calibri"/>
                <w:highlight w:val="none"/>
              </w:rPr>
              <w:t>10</w:t>
            </w:r>
            <w:r>
              <w:rPr>
                <w:rFonts w:hint="eastAsia" w:ascii="仿宋" w:hAnsi="仿宋" w:eastAsia="仿宋" w:cs="Calibri"/>
                <w:highlight w:val="none"/>
              </w:rPr>
              <w:t>0%</w:t>
            </w:r>
          </w:p>
        </w:tc>
      </w:tr>
    </w:tbl>
    <w:p w14:paraId="00A61B3A">
      <w:pPr>
        <w:pStyle w:val="4"/>
        <w:numPr>
          <w:ilvl w:val="1"/>
          <w:numId w:val="0"/>
        </w:numPr>
        <w:ind w:left="792" w:leftChars="0" w:hanging="432" w:firstLineChars="0"/>
        <w:rPr>
          <w:rFonts w:hint="eastAsia" w:ascii="仿宋" w:hAnsi="仿宋" w:eastAsia="仿宋"/>
          <w:sz w:val="30"/>
          <w:szCs w:val="30"/>
          <w:highlight w:val="none"/>
          <w:lang w:eastAsia="zh-CN"/>
        </w:rPr>
      </w:pPr>
      <w:r>
        <w:rPr>
          <w:rFonts w:hint="eastAsia" w:ascii="仿宋" w:hAnsi="仿宋" w:eastAsia="仿宋" w:cs="Times New Roman"/>
          <w:b/>
          <w:bCs/>
          <w:kern w:val="0"/>
          <w:sz w:val="30"/>
          <w:szCs w:val="30"/>
          <w:highlight w:val="none"/>
          <w:lang w:val="en-US" w:eastAsia="zh-CN" w:bidi="en-US"/>
        </w:rPr>
        <w:t>3.2.</w:t>
      </w:r>
      <w:r>
        <w:rPr>
          <w:rFonts w:hint="eastAsia" w:ascii="仿宋" w:hAnsi="仿宋" w:eastAsia="仿宋"/>
          <w:sz w:val="30"/>
          <w:szCs w:val="30"/>
          <w:highlight w:val="none"/>
          <w:lang w:eastAsia="zh-CN"/>
        </w:rPr>
        <w:t>数据生命周期管理</w:t>
      </w:r>
    </w:p>
    <w:p w14:paraId="7F6F1E43">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采集阶段</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采集频率为日</w:t>
      </w:r>
      <w:r>
        <w:rPr>
          <w:rFonts w:hint="eastAsia" w:ascii="仿宋_GB2312" w:hAnsi="仿宋_GB2312" w:eastAsia="仿宋_GB2312" w:cs="仿宋_GB2312"/>
          <w:kern w:val="0"/>
          <w:sz w:val="28"/>
          <w:szCs w:val="28"/>
          <w:highlight w:val="none"/>
        </w:rPr>
        <w:t>；校验规则为记录数校验、关键数量汇总校验。</w:t>
      </w:r>
    </w:p>
    <w:p w14:paraId="64E8F842">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存储阶段：可用性符合业务连续性三级要求；无需备份；除4级数据外无需加密。</w:t>
      </w:r>
    </w:p>
    <w:p w14:paraId="5888F463">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归档阶段：归档频率为日，ODS层根据各系统数据下线情况设置保存期限；数据仓库层及数据集市层不归档。</w:t>
      </w:r>
    </w:p>
    <w:p w14:paraId="19144FD6">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销毁阶段</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无特殊要求</w:t>
      </w:r>
      <w:r>
        <w:rPr>
          <w:rFonts w:hint="eastAsia" w:ascii="仿宋_GB2312" w:hAnsi="仿宋_GB2312" w:eastAsia="仿宋_GB2312" w:cs="仿宋_GB2312"/>
          <w:kern w:val="0"/>
          <w:sz w:val="28"/>
          <w:szCs w:val="28"/>
          <w:highlight w:val="none"/>
        </w:rPr>
        <w:t>。</w:t>
      </w:r>
    </w:p>
    <w:p w14:paraId="3B477E5D">
      <w:pPr>
        <w:pStyle w:val="4"/>
        <w:numPr>
          <w:ilvl w:val="1"/>
          <w:numId w:val="0"/>
        </w:numPr>
        <w:ind w:left="792" w:leftChars="0" w:hanging="432" w:firstLineChars="0"/>
        <w:rPr>
          <w:rFonts w:hint="eastAsia" w:ascii="仿宋" w:hAnsi="仿宋" w:eastAsia="仿宋"/>
          <w:sz w:val="30"/>
          <w:szCs w:val="30"/>
          <w:highlight w:val="none"/>
          <w:lang w:eastAsia="zh-CN"/>
        </w:rPr>
      </w:pPr>
      <w:r>
        <w:rPr>
          <w:rFonts w:hint="eastAsia" w:ascii="仿宋" w:hAnsi="仿宋" w:eastAsia="仿宋" w:cs="Times New Roman"/>
          <w:b/>
          <w:bCs/>
          <w:kern w:val="0"/>
          <w:sz w:val="30"/>
          <w:szCs w:val="30"/>
          <w:highlight w:val="none"/>
          <w:lang w:val="en-US" w:eastAsia="zh-CN" w:bidi="en-US"/>
        </w:rPr>
        <w:t>3.3.</w:t>
      </w:r>
      <w:r>
        <w:rPr>
          <w:rFonts w:ascii="仿宋" w:hAnsi="仿宋" w:eastAsia="仿宋"/>
          <w:sz w:val="30"/>
          <w:szCs w:val="30"/>
          <w:highlight w:val="none"/>
          <w:lang w:eastAsia="zh-CN"/>
        </w:rPr>
        <w:t>系统</w:t>
      </w:r>
      <w:r>
        <w:rPr>
          <w:rFonts w:hint="eastAsia" w:ascii="仿宋" w:hAnsi="仿宋" w:eastAsia="仿宋"/>
          <w:sz w:val="30"/>
          <w:szCs w:val="30"/>
          <w:highlight w:val="none"/>
          <w:lang w:eastAsia="zh-CN"/>
        </w:rPr>
        <w:t>的数据安全分类定级</w:t>
      </w:r>
      <w:r>
        <w:rPr>
          <w:rFonts w:ascii="仿宋" w:hAnsi="仿宋" w:eastAsia="仿宋"/>
          <w:sz w:val="30"/>
          <w:szCs w:val="30"/>
          <w:highlight w:val="none"/>
          <w:lang w:eastAsia="zh-CN"/>
        </w:rPr>
        <w:t>要求</w:t>
      </w:r>
    </w:p>
    <w:p w14:paraId="40C78369">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系统的数据安全定级原则为：</w:t>
      </w:r>
    </w:p>
    <w:p w14:paraId="410933E1">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1.既有数据使用当前数据安全等级，上游数据的复制品与上游数据安全等级保持一致，有特殊要求的从其要求；</w:t>
      </w:r>
    </w:p>
    <w:p w14:paraId="19180553">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2</w:t>
      </w:r>
      <w:r>
        <w:rPr>
          <w:rFonts w:hint="eastAsia" w:ascii="仿宋_GB2312" w:hAnsi="仿宋_GB2312" w:eastAsia="仿宋_GB2312" w:cs="仿宋_GB2312"/>
          <w:kern w:val="0"/>
          <w:sz w:val="28"/>
          <w:szCs w:val="28"/>
          <w:highlight w:val="none"/>
        </w:rPr>
        <w:t>.数据颗粒度（业务主键，包括联合主键）中包含持有人名称或持有人账号（发行人账号排除在外）的，数据定为3级，有特殊要求的从其要求；</w:t>
      </w:r>
    </w:p>
    <w:p w14:paraId="4990F8AD">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3</w:t>
      </w:r>
      <w:r>
        <w:rPr>
          <w:rFonts w:hint="eastAsia" w:ascii="仿宋_GB2312" w:hAnsi="仿宋_GB2312" w:eastAsia="仿宋_GB2312" w:cs="仿宋_GB2312"/>
          <w:kern w:val="0"/>
          <w:sz w:val="28"/>
          <w:szCs w:val="28"/>
          <w:highlight w:val="none"/>
        </w:rPr>
        <w:t>.其他数据一般定为2级，有特殊要求的从其要求。</w:t>
      </w:r>
    </w:p>
    <w:p w14:paraId="59A0CF2D">
      <w:pPr>
        <w:pStyle w:val="4"/>
        <w:numPr>
          <w:ilvl w:val="1"/>
          <w:numId w:val="0"/>
        </w:numPr>
        <w:ind w:left="792" w:leftChars="0" w:hanging="432" w:firstLineChars="0"/>
        <w:rPr>
          <w:rFonts w:hint="eastAsia" w:ascii="仿宋" w:hAnsi="仿宋" w:eastAsia="仿宋"/>
          <w:sz w:val="30"/>
          <w:szCs w:val="30"/>
          <w:highlight w:val="none"/>
          <w:lang w:eastAsia="zh-CN"/>
        </w:rPr>
      </w:pPr>
      <w:r>
        <w:rPr>
          <w:rFonts w:hint="eastAsia" w:ascii="仿宋" w:hAnsi="仿宋" w:eastAsia="仿宋" w:cs="Times New Roman"/>
          <w:b/>
          <w:bCs/>
          <w:kern w:val="0"/>
          <w:sz w:val="30"/>
          <w:szCs w:val="30"/>
          <w:highlight w:val="none"/>
          <w:lang w:val="en-US" w:eastAsia="zh-CN" w:bidi="en-US"/>
        </w:rPr>
        <w:t>3.4.</w:t>
      </w:r>
      <w:r>
        <w:rPr>
          <w:rFonts w:ascii="仿宋" w:hAnsi="仿宋" w:eastAsia="仿宋"/>
          <w:sz w:val="30"/>
          <w:szCs w:val="30"/>
          <w:highlight w:val="none"/>
          <w:lang w:eastAsia="zh-CN"/>
        </w:rPr>
        <w:t>系统数据的安全保护要求</w:t>
      </w:r>
    </w:p>
    <w:p w14:paraId="0938D262">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按照等保三级要求建设。</w:t>
      </w:r>
    </w:p>
    <w:p w14:paraId="63EBB5B1">
      <w:pPr>
        <w:pStyle w:val="3"/>
        <w:numPr>
          <w:ilvl w:val="0"/>
          <w:numId w:val="0"/>
        </w:numPr>
        <w:ind w:left="360" w:leftChars="0" w:hanging="360" w:firstLineChars="0"/>
        <w:rPr>
          <w:rFonts w:hint="eastAsia" w:ascii="仿宋" w:hAnsi="仿宋" w:eastAsia="仿宋"/>
          <w:sz w:val="30"/>
          <w:szCs w:val="30"/>
          <w:highlight w:val="none"/>
          <w:lang w:eastAsia="zh-CN"/>
        </w:rPr>
      </w:pPr>
      <w:r>
        <w:rPr>
          <w:rFonts w:hint="default" w:ascii="仿宋" w:hAnsi="仿宋" w:eastAsia="仿宋" w:cs="Times New Roman"/>
          <w:b/>
          <w:bCs/>
          <w:kern w:val="0"/>
          <w:sz w:val="30"/>
          <w:szCs w:val="30"/>
          <w:highlight w:val="none"/>
          <w:lang w:val="en-US" w:eastAsia="zh-CN" w:bidi="en-US"/>
        </w:rPr>
        <w:t>第4章</w:t>
      </w:r>
      <w:r>
        <w:rPr>
          <w:rFonts w:hint="eastAsia" w:ascii="仿宋" w:hAnsi="仿宋" w:eastAsia="仿宋"/>
          <w:sz w:val="30"/>
          <w:szCs w:val="30"/>
          <w:highlight w:val="none"/>
          <w:lang w:eastAsia="zh-CN"/>
        </w:rPr>
        <w:t xml:space="preserve">  </w:t>
      </w:r>
      <w:r>
        <w:rPr>
          <w:rFonts w:ascii="仿宋" w:hAnsi="仿宋" w:eastAsia="仿宋"/>
          <w:sz w:val="30"/>
          <w:szCs w:val="30"/>
          <w:highlight w:val="none"/>
          <w:lang w:eastAsia="zh-CN"/>
        </w:rPr>
        <w:t>非功能性需求</w:t>
      </w:r>
    </w:p>
    <w:p w14:paraId="64A63B10">
      <w:pPr>
        <w:pStyle w:val="4"/>
        <w:numPr>
          <w:ilvl w:val="1"/>
          <w:numId w:val="0"/>
        </w:numPr>
        <w:ind w:left="792" w:leftChars="0" w:hanging="432" w:firstLineChars="0"/>
        <w:rPr>
          <w:rFonts w:hint="eastAsia" w:ascii="仿宋" w:hAnsi="仿宋" w:eastAsia="仿宋"/>
          <w:sz w:val="30"/>
          <w:szCs w:val="30"/>
          <w:highlight w:val="none"/>
          <w:lang w:eastAsia="zh-CN"/>
        </w:rPr>
      </w:pPr>
      <w:r>
        <w:rPr>
          <w:rFonts w:hint="eastAsia" w:ascii="仿宋" w:hAnsi="仿宋" w:eastAsia="仿宋" w:cs="Times New Roman"/>
          <w:b/>
          <w:bCs/>
          <w:kern w:val="0"/>
          <w:sz w:val="30"/>
          <w:szCs w:val="30"/>
          <w:highlight w:val="none"/>
          <w:lang w:val="en-US" w:eastAsia="zh-CN" w:bidi="en-US"/>
        </w:rPr>
        <w:t>4.1.</w:t>
      </w:r>
      <w:r>
        <w:rPr>
          <w:rFonts w:ascii="仿宋" w:hAnsi="仿宋" w:eastAsia="仿宋"/>
          <w:sz w:val="30"/>
          <w:szCs w:val="30"/>
          <w:highlight w:val="none"/>
          <w:lang w:eastAsia="zh-CN"/>
        </w:rPr>
        <w:t>系统的安全要求</w:t>
      </w:r>
    </w:p>
    <w:p w14:paraId="5834C701">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按照等保三级要求建设。包括以下几个方面：</w:t>
      </w:r>
    </w:p>
    <w:p w14:paraId="7BC3444E">
      <w:pPr>
        <w:pStyle w:val="43"/>
        <w:numPr>
          <w:ilvl w:val="0"/>
          <w:numId w:val="9"/>
        </w:numPr>
        <w:ind w:firstLineChars="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通讯协议，应用系统及系统间的访问通讯协议为HTTPS；</w:t>
      </w:r>
    </w:p>
    <w:p w14:paraId="0D206777">
      <w:pPr>
        <w:pStyle w:val="43"/>
        <w:numPr>
          <w:ilvl w:val="0"/>
          <w:numId w:val="9"/>
        </w:numPr>
        <w:ind w:firstLineChars="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敏感数据处理，</w:t>
      </w:r>
      <w:r>
        <w:rPr>
          <w:rFonts w:hint="eastAsia" w:ascii="仿宋" w:hAnsi="仿宋" w:eastAsia="仿宋"/>
          <w:sz w:val="30"/>
          <w:szCs w:val="30"/>
          <w:highlight w:val="none"/>
        </w:rPr>
        <w:t>系统中的业务敏感数据，如个人身份信息、手机号码、身份证号、银行卡号、金融账户信息、地址信息、电子邮箱、密码、资金信息等，在数据存储时进行加密存储。</w:t>
      </w:r>
    </w:p>
    <w:p w14:paraId="2F2DEEEA">
      <w:pPr>
        <w:pStyle w:val="43"/>
        <w:numPr>
          <w:ilvl w:val="0"/>
          <w:numId w:val="9"/>
        </w:numPr>
        <w:ind w:firstLineChars="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安全审计，系统中的操作都将被完整记录下来，审计人员可以随时查看用户是否存在非法、越权操作。</w:t>
      </w:r>
    </w:p>
    <w:p w14:paraId="103340B5">
      <w:pPr>
        <w:pStyle w:val="43"/>
        <w:numPr>
          <w:ilvl w:val="0"/>
          <w:numId w:val="9"/>
        </w:numPr>
        <w:ind w:firstLineChars="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应用安全加固，系统的各业务接口进行权限设置并进行后端控制；检查输入数据是否符合预期，对特殊字符进行转义处理或编码转换，防止SQL注入和CSV命令注入。</w:t>
      </w:r>
    </w:p>
    <w:p w14:paraId="19460DFD">
      <w:pPr>
        <w:pStyle w:val="43"/>
        <w:numPr>
          <w:ilvl w:val="0"/>
          <w:numId w:val="9"/>
        </w:numPr>
        <w:ind w:firstLineChars="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用户安全设计，设置口令复杂度要求，不允许用户保存简单密码，并且</w:t>
      </w:r>
      <w:r>
        <w:rPr>
          <w:rFonts w:hint="eastAsia" w:ascii="仿宋_GB2312" w:hAnsi="仿宋_GB2312" w:eastAsia="仿宋_GB2312" w:cs="仿宋_GB2312"/>
          <w:kern w:val="0"/>
          <w:sz w:val="28"/>
          <w:szCs w:val="28"/>
          <w:highlight w:val="none"/>
        </w:rPr>
        <w:t>30分钟未操作，进行自动登出。</w:t>
      </w:r>
    </w:p>
    <w:p w14:paraId="2F935929">
      <w:pPr>
        <w:rPr>
          <w:rFonts w:hint="eastAsia" w:ascii="仿宋" w:hAnsi="仿宋" w:eastAsia="仿宋"/>
          <w:i/>
          <w:color w:val="0000CC"/>
          <w:sz w:val="24"/>
          <w:szCs w:val="30"/>
          <w:highlight w:val="none"/>
        </w:rPr>
      </w:pPr>
    </w:p>
    <w:p w14:paraId="42D040DA">
      <w:pPr>
        <w:pStyle w:val="4"/>
        <w:numPr>
          <w:ilvl w:val="1"/>
          <w:numId w:val="0"/>
        </w:numPr>
        <w:ind w:left="792" w:leftChars="0" w:hanging="432" w:firstLineChars="0"/>
        <w:rPr>
          <w:rFonts w:hint="eastAsia" w:ascii="仿宋" w:hAnsi="仿宋" w:eastAsia="仿宋"/>
          <w:sz w:val="30"/>
          <w:szCs w:val="30"/>
          <w:highlight w:val="none"/>
          <w:lang w:eastAsia="zh-CN"/>
        </w:rPr>
      </w:pPr>
      <w:r>
        <w:rPr>
          <w:rFonts w:hint="eastAsia" w:ascii="仿宋" w:hAnsi="仿宋" w:eastAsia="仿宋" w:cs="Times New Roman"/>
          <w:b/>
          <w:bCs/>
          <w:kern w:val="0"/>
          <w:sz w:val="30"/>
          <w:szCs w:val="30"/>
          <w:highlight w:val="none"/>
          <w:lang w:val="en-US" w:eastAsia="zh-CN" w:bidi="en-US"/>
        </w:rPr>
        <w:t>4.2.</w:t>
      </w:r>
      <w:r>
        <w:rPr>
          <w:rFonts w:ascii="仿宋" w:hAnsi="仿宋" w:eastAsia="仿宋"/>
          <w:sz w:val="30"/>
          <w:szCs w:val="30"/>
          <w:highlight w:val="none"/>
          <w:lang w:eastAsia="zh-CN"/>
        </w:rPr>
        <w:t>系统</w:t>
      </w:r>
      <w:r>
        <w:rPr>
          <w:rFonts w:hint="eastAsia" w:ascii="仿宋" w:hAnsi="仿宋" w:eastAsia="仿宋"/>
          <w:sz w:val="30"/>
          <w:szCs w:val="30"/>
          <w:highlight w:val="none"/>
          <w:lang w:eastAsia="zh-CN"/>
        </w:rPr>
        <w:t>的</w:t>
      </w:r>
      <w:r>
        <w:rPr>
          <w:rFonts w:ascii="仿宋" w:hAnsi="仿宋" w:eastAsia="仿宋"/>
          <w:sz w:val="30"/>
          <w:szCs w:val="30"/>
          <w:highlight w:val="none"/>
          <w:lang w:eastAsia="zh-CN"/>
        </w:rPr>
        <w:t>性能要求</w:t>
      </w:r>
    </w:p>
    <w:p w14:paraId="4A54C58F">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系统</w:t>
      </w:r>
      <w:r>
        <w:rPr>
          <w:rFonts w:ascii="仿宋_GB2312" w:hAnsi="仿宋_GB2312" w:eastAsia="仿宋_GB2312" w:cs="仿宋_GB2312"/>
          <w:kern w:val="0"/>
          <w:sz w:val="28"/>
          <w:szCs w:val="28"/>
          <w:highlight w:val="none"/>
        </w:rPr>
        <w:t>内查询统计反馈结果等待时间不超过10</w:t>
      </w:r>
      <w:r>
        <w:rPr>
          <w:rFonts w:hint="eastAsia" w:ascii="仿宋_GB2312" w:hAnsi="仿宋_GB2312" w:eastAsia="仿宋_GB2312" w:cs="仿宋_GB2312"/>
          <w:kern w:val="0"/>
          <w:sz w:val="28"/>
          <w:szCs w:val="28"/>
          <w:highlight w:val="none"/>
        </w:rPr>
        <w:t>分钟。</w:t>
      </w:r>
    </w:p>
    <w:p w14:paraId="312BDB0A">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数据同步工具性能要求：</w:t>
      </w:r>
    </w:p>
    <w:p w14:paraId="7A7ECB2C">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（1）NVMe SSD环境下，全量同步的情况下，单链路卸载性能 ≥ 200GB/小时，单链路加载性能 ≥ 150MB/s。</w:t>
      </w:r>
    </w:p>
    <w:p w14:paraId="6D454E31">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（2）NVMe SSD环境下，增量同步的情况下，Oracle小事务(≤1000行)延迟&lt;1秒；大事务(&gt;10万行)延迟&lt;10秒，同时可处理≥1GB/分钟redo日志且不积压。</w:t>
      </w:r>
    </w:p>
    <w:p w14:paraId="16D5ADB5">
      <w:pPr>
        <w:rPr>
          <w:rFonts w:hint="eastAsia" w:ascii="仿宋" w:hAnsi="仿宋" w:eastAsia="仿宋"/>
          <w:i/>
          <w:color w:val="0000CC"/>
          <w:sz w:val="24"/>
          <w:szCs w:val="30"/>
          <w:highlight w:val="none"/>
        </w:rPr>
      </w:pPr>
    </w:p>
    <w:p w14:paraId="1E75AEA1">
      <w:pPr>
        <w:pStyle w:val="4"/>
        <w:numPr>
          <w:ilvl w:val="1"/>
          <w:numId w:val="0"/>
        </w:numPr>
        <w:ind w:left="792" w:leftChars="0" w:hanging="432" w:firstLineChars="0"/>
        <w:rPr>
          <w:rFonts w:hint="eastAsia" w:ascii="仿宋" w:hAnsi="仿宋" w:eastAsia="仿宋"/>
          <w:sz w:val="30"/>
          <w:szCs w:val="30"/>
          <w:highlight w:val="none"/>
          <w:lang w:eastAsia="zh-CN"/>
        </w:rPr>
      </w:pPr>
      <w:r>
        <w:rPr>
          <w:rFonts w:hint="eastAsia" w:ascii="仿宋" w:hAnsi="仿宋" w:eastAsia="仿宋" w:cs="Times New Roman"/>
          <w:b/>
          <w:bCs/>
          <w:kern w:val="0"/>
          <w:sz w:val="30"/>
          <w:szCs w:val="30"/>
          <w:highlight w:val="none"/>
          <w:lang w:val="en-US" w:eastAsia="zh-CN" w:bidi="en-US"/>
        </w:rPr>
        <w:t>4.3.</w:t>
      </w:r>
      <w:r>
        <w:rPr>
          <w:rFonts w:hint="eastAsia" w:ascii="仿宋" w:hAnsi="仿宋" w:eastAsia="仿宋"/>
          <w:sz w:val="30"/>
          <w:szCs w:val="30"/>
          <w:highlight w:val="none"/>
          <w:lang w:eastAsia="zh-CN"/>
        </w:rPr>
        <w:t>系统的兼容性要求</w:t>
      </w:r>
    </w:p>
    <w:p w14:paraId="23B920F8">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lang w:val="en-US" w:eastAsia="zh-CN"/>
        </w:rPr>
        <w:t>同现有系统的兼容性要求保持一致。</w:t>
      </w:r>
    </w:p>
    <w:p w14:paraId="103292B4">
      <w:pPr>
        <w:pStyle w:val="4"/>
        <w:numPr>
          <w:ilvl w:val="1"/>
          <w:numId w:val="0"/>
        </w:numPr>
        <w:ind w:left="792" w:leftChars="0" w:hanging="432" w:firstLineChars="0"/>
        <w:rPr>
          <w:rFonts w:hint="eastAsia" w:ascii="仿宋" w:hAnsi="仿宋" w:eastAsia="仿宋"/>
          <w:sz w:val="30"/>
          <w:szCs w:val="30"/>
          <w:highlight w:val="none"/>
          <w:lang w:eastAsia="zh-CN"/>
        </w:rPr>
      </w:pPr>
      <w:r>
        <w:rPr>
          <w:rFonts w:hint="eastAsia" w:ascii="仿宋" w:hAnsi="仿宋" w:eastAsia="仿宋" w:cs="Times New Roman"/>
          <w:b/>
          <w:bCs/>
          <w:kern w:val="0"/>
          <w:sz w:val="30"/>
          <w:szCs w:val="30"/>
          <w:highlight w:val="none"/>
          <w:lang w:val="en-US" w:eastAsia="zh-CN" w:bidi="en-US"/>
        </w:rPr>
        <w:t>4.4.</w:t>
      </w:r>
      <w:r>
        <w:rPr>
          <w:rFonts w:hint="eastAsia" w:ascii="仿宋" w:hAnsi="仿宋" w:eastAsia="仿宋"/>
          <w:sz w:val="30"/>
          <w:szCs w:val="30"/>
          <w:highlight w:val="none"/>
          <w:lang w:eastAsia="zh-CN"/>
        </w:rPr>
        <w:t>系统的</w:t>
      </w:r>
      <w:r>
        <w:rPr>
          <w:rFonts w:ascii="仿宋" w:hAnsi="仿宋" w:eastAsia="仿宋"/>
          <w:sz w:val="30"/>
          <w:szCs w:val="30"/>
          <w:highlight w:val="none"/>
          <w:lang w:eastAsia="zh-CN"/>
        </w:rPr>
        <w:t>投产</w:t>
      </w:r>
      <w:r>
        <w:rPr>
          <w:rFonts w:hint="eastAsia" w:ascii="仿宋" w:hAnsi="仿宋" w:eastAsia="仿宋"/>
          <w:sz w:val="30"/>
          <w:szCs w:val="30"/>
          <w:highlight w:val="none"/>
          <w:lang w:val="en-US" w:eastAsia="zh-CN"/>
        </w:rPr>
        <w:t>关联要求</w:t>
      </w:r>
    </w:p>
    <w:p w14:paraId="7F32B73D">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本项目实时监测</w:t>
      </w:r>
      <w:r>
        <w:rPr>
          <w:rFonts w:hint="eastAsia" w:ascii="仿宋_GB2312" w:hAnsi="仿宋_GB2312" w:eastAsia="仿宋_GB2312" w:cs="仿宋_GB2312"/>
          <w:kern w:val="0"/>
          <w:sz w:val="28"/>
          <w:szCs w:val="28"/>
          <w:highlight w:val="none"/>
          <w:lang w:val="en-US" w:eastAsia="zh-CN"/>
        </w:rPr>
        <w:t>依赖</w:t>
      </w:r>
      <w:r>
        <w:rPr>
          <w:rFonts w:hint="eastAsia" w:ascii="仿宋_GB2312" w:hAnsi="仿宋_GB2312" w:eastAsia="仿宋_GB2312" w:cs="仿宋_GB2312"/>
          <w:kern w:val="0"/>
          <w:sz w:val="28"/>
          <w:szCs w:val="28"/>
          <w:highlight w:val="none"/>
        </w:rPr>
        <w:t>CDC同步工具。</w:t>
      </w:r>
    </w:p>
    <w:p w14:paraId="57AC93AC">
      <w:pPr>
        <w:pStyle w:val="3"/>
        <w:numPr>
          <w:ilvl w:val="0"/>
          <w:numId w:val="0"/>
        </w:numPr>
        <w:ind w:left="360" w:leftChars="0" w:hanging="360" w:firstLineChars="0"/>
        <w:rPr>
          <w:rFonts w:hint="eastAsia" w:ascii="仿宋" w:hAnsi="仿宋" w:eastAsia="仿宋"/>
          <w:sz w:val="30"/>
          <w:szCs w:val="30"/>
          <w:highlight w:val="none"/>
          <w:lang w:eastAsia="zh-CN"/>
        </w:rPr>
      </w:pPr>
      <w:r>
        <w:rPr>
          <w:rFonts w:hint="default" w:ascii="仿宋" w:hAnsi="仿宋" w:eastAsia="仿宋" w:cs="Times New Roman"/>
          <w:b/>
          <w:bCs/>
          <w:kern w:val="0"/>
          <w:sz w:val="30"/>
          <w:szCs w:val="30"/>
          <w:highlight w:val="none"/>
          <w:lang w:val="en-US" w:eastAsia="zh-CN" w:bidi="en-US"/>
        </w:rPr>
        <w:t>第5章</w:t>
      </w:r>
      <w:r>
        <w:rPr>
          <w:rFonts w:hint="eastAsia" w:ascii="仿宋" w:hAnsi="仿宋" w:eastAsia="仿宋"/>
          <w:sz w:val="30"/>
          <w:szCs w:val="30"/>
          <w:highlight w:val="none"/>
          <w:lang w:eastAsia="zh-CN"/>
        </w:rPr>
        <w:t>功能</w:t>
      </w:r>
      <w:r>
        <w:rPr>
          <w:rFonts w:ascii="仿宋" w:hAnsi="仿宋" w:eastAsia="仿宋"/>
          <w:sz w:val="30"/>
          <w:szCs w:val="30"/>
          <w:highlight w:val="none"/>
          <w:lang w:eastAsia="zh-CN"/>
        </w:rPr>
        <w:t>需求描述</w:t>
      </w:r>
    </w:p>
    <w:p w14:paraId="12AA18B6">
      <w:pPr>
        <w:pStyle w:val="4"/>
        <w:numPr>
          <w:ilvl w:val="1"/>
          <w:numId w:val="0"/>
        </w:numPr>
        <w:ind w:left="792" w:leftChars="0" w:hanging="432" w:firstLineChars="0"/>
        <w:rPr>
          <w:rFonts w:hint="eastAsia" w:ascii="仿宋" w:hAnsi="仿宋" w:eastAsia="仿宋"/>
          <w:sz w:val="30"/>
          <w:szCs w:val="30"/>
          <w:highlight w:val="none"/>
          <w:lang w:eastAsia="zh-CN"/>
        </w:rPr>
      </w:pPr>
      <w:r>
        <w:rPr>
          <w:rFonts w:hint="eastAsia" w:ascii="仿宋" w:hAnsi="仿宋" w:eastAsia="仿宋" w:cs="Times New Roman"/>
          <w:b/>
          <w:bCs/>
          <w:kern w:val="0"/>
          <w:sz w:val="30"/>
          <w:szCs w:val="30"/>
          <w:highlight w:val="none"/>
          <w:lang w:val="en-US" w:eastAsia="zh-CN" w:bidi="en-US"/>
        </w:rPr>
        <w:t>5.1.</w:t>
      </w:r>
      <w:r>
        <w:rPr>
          <w:rFonts w:ascii="仿宋" w:hAnsi="仿宋" w:eastAsia="仿宋"/>
          <w:sz w:val="30"/>
          <w:szCs w:val="30"/>
          <w:highlight w:val="none"/>
          <w:lang w:eastAsia="zh-CN"/>
        </w:rPr>
        <w:t>功能列表</w:t>
      </w:r>
    </w:p>
    <w:p w14:paraId="2282AED3">
      <w:pPr>
        <w:rPr>
          <w:rFonts w:hint="eastAsia" w:ascii="仿宋" w:hAnsi="仿宋" w:eastAsia="仿宋"/>
          <w:color w:val="0000CC"/>
          <w:sz w:val="24"/>
          <w:szCs w:val="30"/>
          <w:highlight w:val="none"/>
        </w:rPr>
      </w:pPr>
    </w:p>
    <w:p w14:paraId="0A798AAE">
      <w:pPr>
        <w:pStyle w:val="4"/>
        <w:numPr>
          <w:ilvl w:val="1"/>
          <w:numId w:val="0"/>
        </w:numPr>
        <w:ind w:left="792" w:leftChars="0" w:hanging="432" w:firstLineChars="0"/>
        <w:rPr>
          <w:rFonts w:hint="eastAsia" w:ascii="仿宋" w:hAnsi="仿宋" w:eastAsia="仿宋"/>
          <w:sz w:val="30"/>
          <w:szCs w:val="30"/>
          <w:highlight w:val="none"/>
          <w:lang w:eastAsia="zh-CN"/>
        </w:rPr>
      </w:pPr>
      <w:r>
        <w:rPr>
          <w:rFonts w:hint="eastAsia" w:ascii="仿宋" w:hAnsi="仿宋" w:eastAsia="仿宋" w:cs="Times New Roman"/>
          <w:b/>
          <w:bCs/>
          <w:kern w:val="0"/>
          <w:sz w:val="30"/>
          <w:szCs w:val="30"/>
          <w:highlight w:val="none"/>
          <w:lang w:val="en-US" w:eastAsia="zh-CN" w:bidi="en-US"/>
        </w:rPr>
        <w:t>5.2.</w:t>
      </w:r>
      <w:r>
        <w:rPr>
          <w:rFonts w:hint="eastAsia" w:ascii="仿宋" w:hAnsi="仿宋" w:eastAsia="仿宋"/>
          <w:sz w:val="30"/>
          <w:szCs w:val="30"/>
          <w:highlight w:val="none"/>
          <w:lang w:eastAsia="zh-CN"/>
        </w:rPr>
        <w:t>业务方案/需求概要场景</w:t>
      </w:r>
    </w:p>
    <w:p w14:paraId="73C9E743">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不涉及。</w:t>
      </w:r>
    </w:p>
    <w:p w14:paraId="23B9DC12">
      <w:pPr>
        <w:rPr>
          <w:rFonts w:hint="eastAsia" w:ascii="仿宋" w:hAnsi="仿宋" w:eastAsia="仿宋"/>
          <w:i/>
          <w:color w:val="0000CC"/>
          <w:sz w:val="24"/>
          <w:szCs w:val="30"/>
          <w:highlight w:val="none"/>
        </w:rPr>
      </w:pPr>
    </w:p>
    <w:p w14:paraId="2C3C5337">
      <w:pPr>
        <w:pStyle w:val="4"/>
        <w:numPr>
          <w:ilvl w:val="1"/>
          <w:numId w:val="0"/>
        </w:numPr>
        <w:ind w:left="792" w:leftChars="0" w:hanging="432" w:firstLineChars="0"/>
        <w:rPr>
          <w:rFonts w:hint="eastAsia" w:ascii="仿宋" w:hAnsi="仿宋" w:eastAsia="仿宋"/>
          <w:sz w:val="30"/>
          <w:szCs w:val="30"/>
          <w:highlight w:val="none"/>
          <w:lang w:eastAsia="zh-CN"/>
        </w:rPr>
      </w:pPr>
      <w:r>
        <w:rPr>
          <w:rFonts w:hint="eastAsia" w:ascii="仿宋" w:hAnsi="仿宋" w:eastAsia="仿宋" w:cs="Times New Roman"/>
          <w:b/>
          <w:bCs/>
          <w:kern w:val="0"/>
          <w:sz w:val="30"/>
          <w:szCs w:val="30"/>
          <w:highlight w:val="none"/>
          <w:lang w:val="en-US" w:eastAsia="zh-CN" w:bidi="en-US"/>
        </w:rPr>
        <w:t>5.3.</w:t>
      </w:r>
      <w:r>
        <w:rPr>
          <w:rFonts w:hint="eastAsia" w:ascii="仿宋" w:hAnsi="仿宋" w:eastAsia="仿宋"/>
          <w:sz w:val="30"/>
          <w:szCs w:val="30"/>
          <w:highlight w:val="none"/>
          <w:lang w:eastAsia="zh-CN"/>
        </w:rPr>
        <w:t>实时</w:t>
      </w:r>
      <w:r>
        <w:rPr>
          <w:rFonts w:ascii="仿宋" w:hAnsi="仿宋" w:eastAsia="仿宋"/>
          <w:sz w:val="30"/>
          <w:szCs w:val="30"/>
          <w:highlight w:val="none"/>
          <w:lang w:eastAsia="zh-CN"/>
        </w:rPr>
        <w:t>监测功能</w:t>
      </w:r>
    </w:p>
    <w:p w14:paraId="2151330F">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实时监测功能为数据平台系统内的功能，在数据平台系统统一的前后台框架下实现。</w:t>
      </w:r>
    </w:p>
    <w:p w14:paraId="43208444">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使用</w:t>
      </w:r>
      <w:r>
        <w:rPr>
          <w:rFonts w:hint="eastAsia" w:ascii="仿宋_GB2312" w:hAnsi="仿宋_GB2312" w:eastAsia="仿宋_GB2312" w:cs="仿宋_GB2312"/>
          <w:kern w:val="0"/>
          <w:sz w:val="28"/>
          <w:szCs w:val="28"/>
          <w:highlight w:val="none"/>
        </w:rPr>
        <w:t>数据平台的用户、角色和权限管理体系。本期设置“实时监测操作员”角色，赋予研究统计部统计操作员角色。</w:t>
      </w:r>
    </w:p>
    <w:p w14:paraId="668B0135">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支持</w:t>
      </w:r>
      <w:r>
        <w:rPr>
          <w:rFonts w:hint="eastAsia" w:ascii="仿宋_GB2312" w:hAnsi="仿宋_GB2312" w:eastAsia="仿宋_GB2312" w:cs="仿宋_GB2312"/>
          <w:kern w:val="0"/>
          <w:sz w:val="28"/>
          <w:szCs w:val="28"/>
          <w:highlight w:val="none"/>
        </w:rPr>
        <w:t>数据平台接入的</w:t>
      </w:r>
      <w:r>
        <w:rPr>
          <w:rFonts w:ascii="仿宋_GB2312" w:hAnsi="仿宋_GB2312" w:eastAsia="仿宋_GB2312" w:cs="仿宋_GB2312"/>
          <w:kern w:val="0"/>
          <w:sz w:val="28"/>
          <w:szCs w:val="28"/>
          <w:highlight w:val="none"/>
        </w:rPr>
        <w:t>实时数据与批量数据结合使用</w:t>
      </w:r>
      <w:r>
        <w:rPr>
          <w:rFonts w:hint="eastAsia" w:ascii="仿宋_GB2312" w:hAnsi="仿宋_GB2312" w:eastAsia="仿宋_GB2312" w:cs="仿宋_GB2312"/>
          <w:kern w:val="0"/>
          <w:sz w:val="28"/>
          <w:szCs w:val="28"/>
          <w:highlight w:val="none"/>
        </w:rPr>
        <w:t>。</w:t>
      </w:r>
    </w:p>
    <w:p w14:paraId="7DBA4D1B">
      <w:pPr>
        <w:pStyle w:val="5"/>
        <w:numPr>
          <w:ilvl w:val="2"/>
          <w:numId w:val="0"/>
        </w:numPr>
        <w:ind w:left="1224" w:leftChars="0" w:hanging="504" w:firstLineChars="0"/>
        <w:rPr>
          <w:rFonts w:hint="eastAsia" w:ascii="仿宋" w:hAnsi="仿宋" w:eastAsia="仿宋"/>
          <w:sz w:val="30"/>
          <w:szCs w:val="30"/>
          <w:highlight w:val="none"/>
        </w:rPr>
      </w:pPr>
      <w:r>
        <w:rPr>
          <w:rFonts w:hint="eastAsia" w:ascii="仿宋" w:hAnsi="仿宋" w:eastAsia="仿宋" w:cs="Times New Roman"/>
          <w:b/>
          <w:bCs/>
          <w:kern w:val="2"/>
          <w:sz w:val="30"/>
          <w:szCs w:val="30"/>
          <w:highlight w:val="none"/>
          <w:lang w:val="en-US" w:eastAsia="zh-CN" w:bidi="ar-SA"/>
        </w:rPr>
        <w:t>5.3.1.</w:t>
      </w:r>
      <w:r>
        <w:rPr>
          <w:rFonts w:hint="eastAsia" w:ascii="仿宋" w:hAnsi="仿宋" w:eastAsia="仿宋"/>
          <w:sz w:val="30"/>
          <w:szCs w:val="30"/>
          <w:highlight w:val="none"/>
        </w:rPr>
        <w:t>公共功能</w:t>
      </w:r>
    </w:p>
    <w:p w14:paraId="6F2CF280">
      <w:pPr>
        <w:pStyle w:val="6"/>
        <w:numPr>
          <w:ilvl w:val="3"/>
          <w:numId w:val="0"/>
        </w:numPr>
        <w:ind w:left="1728" w:leftChars="0" w:hanging="648" w:firstLineChars="0"/>
        <w:rPr>
          <w:rFonts w:hint="eastAsia" w:ascii="仿宋" w:hAnsi="仿宋" w:eastAsia="仿宋"/>
          <w:sz w:val="30"/>
          <w:szCs w:val="30"/>
          <w:highlight w:val="none"/>
        </w:rPr>
      </w:pPr>
      <w:r>
        <w:rPr>
          <w:rFonts w:hint="eastAsia" w:ascii="仿宋" w:hAnsi="仿宋" w:eastAsia="仿宋" w:cstheme="majorBidi"/>
          <w:b/>
          <w:bCs/>
          <w:kern w:val="2"/>
          <w:sz w:val="30"/>
          <w:szCs w:val="30"/>
          <w:highlight w:val="none"/>
          <w:lang w:val="en-US" w:eastAsia="zh-CN" w:bidi="ar-SA"/>
        </w:rPr>
        <w:t>5.3.1.1.</w:t>
      </w:r>
      <w:r>
        <w:rPr>
          <w:rFonts w:hint="eastAsia" w:ascii="仿宋" w:hAnsi="仿宋" w:eastAsia="仿宋"/>
          <w:sz w:val="30"/>
          <w:szCs w:val="30"/>
          <w:highlight w:val="none"/>
        </w:rPr>
        <w:t>自动</w:t>
      </w:r>
      <w:r>
        <w:rPr>
          <w:rFonts w:ascii="仿宋" w:hAnsi="仿宋" w:eastAsia="仿宋"/>
          <w:sz w:val="30"/>
          <w:szCs w:val="30"/>
          <w:highlight w:val="none"/>
        </w:rPr>
        <w:t>监测</w:t>
      </w:r>
    </w:p>
    <w:p w14:paraId="2A6015B5">
      <w:pPr>
        <w:ind w:firstLine="560" w:firstLineChars="20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基于预先开发好的规则及用户自定义的规则，自动执行监测任务，支持配置（包括新增、调整、删除）任务运行的时间区间、频率等参数。</w:t>
      </w:r>
    </w:p>
    <w:p w14:paraId="6B77FE2C">
      <w:pPr>
        <w:ind w:firstLine="560" w:firstLineChars="20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其中预置固定规则除“告警通知”外均为灰色，仅展示既定配置情况。</w:t>
      </w:r>
    </w:p>
    <w:p w14:paraId="755ECE4D">
      <w:pPr>
        <w:pStyle w:val="6"/>
        <w:numPr>
          <w:ilvl w:val="3"/>
          <w:numId w:val="0"/>
        </w:numPr>
        <w:ind w:left="1728" w:leftChars="0" w:hanging="648" w:firstLineChars="0"/>
        <w:rPr>
          <w:rFonts w:hint="eastAsia" w:ascii="仿宋" w:hAnsi="仿宋" w:eastAsia="仿宋"/>
          <w:sz w:val="30"/>
          <w:szCs w:val="30"/>
          <w:highlight w:val="none"/>
        </w:rPr>
      </w:pPr>
      <w:r>
        <w:rPr>
          <w:rFonts w:hint="eastAsia" w:ascii="仿宋" w:hAnsi="仿宋" w:eastAsia="仿宋" w:cstheme="majorBidi"/>
          <w:b/>
          <w:bCs/>
          <w:kern w:val="2"/>
          <w:sz w:val="30"/>
          <w:szCs w:val="30"/>
          <w:highlight w:val="none"/>
          <w:lang w:val="en-US" w:eastAsia="zh-CN" w:bidi="ar-SA"/>
        </w:rPr>
        <w:t>5.3.1.2.</w:t>
      </w:r>
      <w:r>
        <w:rPr>
          <w:rFonts w:hint="eastAsia" w:ascii="仿宋" w:hAnsi="仿宋" w:eastAsia="仿宋"/>
          <w:sz w:val="30"/>
          <w:szCs w:val="30"/>
          <w:highlight w:val="none"/>
        </w:rPr>
        <w:t>告警通知</w:t>
      </w:r>
    </w:p>
    <w:p w14:paraId="511D449A">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基于设置的告警通知条件</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方式及对象</w:t>
      </w:r>
      <w:r>
        <w:rPr>
          <w:rFonts w:hint="eastAsia" w:ascii="仿宋_GB2312" w:hAnsi="仿宋_GB2312" w:eastAsia="仿宋_GB2312" w:cs="仿宋_GB2312"/>
          <w:kern w:val="0"/>
          <w:sz w:val="28"/>
          <w:szCs w:val="28"/>
          <w:highlight w:val="none"/>
        </w:rPr>
        <w:t>，进行自动告警通知。</w:t>
      </w:r>
    </w:p>
    <w:p w14:paraId="6ADD9FAF">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上节</w:t>
      </w:r>
      <w:r>
        <w:rPr>
          <w:rFonts w:hint="eastAsia" w:ascii="仿宋_GB2312" w:hAnsi="仿宋_GB2312" w:eastAsia="仿宋_GB2312" w:cs="仿宋_GB2312"/>
          <w:kern w:val="0"/>
          <w:sz w:val="28"/>
          <w:szCs w:val="28"/>
          <w:highlight w:val="none"/>
        </w:rPr>
        <w:t>自动监测任务配置中点击</w:t>
      </w:r>
      <w:r>
        <w:rPr>
          <w:rFonts w:ascii="仿宋_GB2312" w:hAnsi="仿宋_GB2312" w:eastAsia="仿宋_GB2312" w:cs="仿宋_GB2312"/>
          <w:kern w:val="0"/>
          <w:sz w:val="28"/>
          <w:szCs w:val="28"/>
          <w:highlight w:val="none"/>
        </w:rPr>
        <w:t>告警通知</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触发</w:t>
      </w:r>
      <w:r>
        <w:rPr>
          <w:rFonts w:hint="eastAsia" w:ascii="仿宋_GB2312" w:hAnsi="仿宋_GB2312" w:eastAsia="仿宋_GB2312" w:cs="仿宋_GB2312"/>
          <w:kern w:val="0"/>
          <w:sz w:val="28"/>
          <w:szCs w:val="28"/>
          <w:highlight w:val="none"/>
        </w:rPr>
        <w:t>告警通知配置子流程。一个任务可以配置多个告警通知。</w:t>
      </w:r>
    </w:p>
    <w:p w14:paraId="34CE680A">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首页告警栏发布是所有告警方式均需要执行的动作（包括弹窗告警、短信通知方式），一次自动监测任务触发告警仅发布一条信息，显示配置的通知内容。点击信息详情可以查看告警的全部（一条或多条）详细数据。</w:t>
      </w:r>
    </w:p>
    <w:p w14:paraId="6D7A175B">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横幅</w:t>
      </w:r>
      <w:r>
        <w:rPr>
          <w:rFonts w:ascii="仿宋_GB2312" w:hAnsi="仿宋_GB2312" w:eastAsia="仿宋_GB2312" w:cs="仿宋_GB2312"/>
          <w:kern w:val="0"/>
          <w:sz w:val="28"/>
          <w:szCs w:val="28"/>
          <w:highlight w:val="none"/>
        </w:rPr>
        <w:t>通知显示在页面顶部</w:t>
      </w:r>
      <w:r>
        <w:rPr>
          <w:rFonts w:hint="eastAsia" w:ascii="仿宋_GB2312" w:hAnsi="仿宋_GB2312" w:eastAsia="仿宋_GB2312" w:cs="仿宋_GB2312"/>
          <w:kern w:val="0"/>
          <w:sz w:val="28"/>
          <w:szCs w:val="28"/>
          <w:highlight w:val="none"/>
        </w:rPr>
        <w:t>横幅栏中，横幅中显示通知内容，内容显示需明显，为超链接，点击跳转至信息详情。横幅栏显示在页面内容上方，半透明底色。支持多个横幅栏，由新到旧向下方扩展排列。同一监测任务同时仅占用一条横幅，同一监测任务的新横幅出现时，旧横幅消失。横幅在（1）横幅的超链接被点击（2）横幅的“X”按钮被点击（3）未被点击满10分钟（4）页面被刷新情况下消失。</w:t>
      </w:r>
    </w:p>
    <w:p w14:paraId="7FDEE216">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短信通知</w:t>
      </w:r>
      <w:r>
        <w:rPr>
          <w:rFonts w:hint="eastAsia" w:ascii="仿宋_GB2312" w:hAnsi="仿宋_GB2312" w:eastAsia="仿宋_GB2312" w:cs="仿宋_GB2312"/>
          <w:kern w:val="0"/>
          <w:sz w:val="28"/>
          <w:szCs w:val="28"/>
          <w:highlight w:val="none"/>
        </w:rPr>
        <w:t>一次自动监测任务触发一个发送任务，短信发送通知内容。不同的监测任务将触发不同的发送任务；同一监测任务多次触发的，时间间隔为10分钟。</w:t>
      </w:r>
    </w:p>
    <w:p w14:paraId="249452B7">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注意</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上文中</w:t>
      </w:r>
      <w:r>
        <w:rPr>
          <w:rFonts w:hint="eastAsia" w:ascii="仿宋_GB2312" w:hAnsi="仿宋_GB2312" w:eastAsia="仿宋_GB2312" w:cs="仿宋_GB2312"/>
          <w:kern w:val="0"/>
          <w:sz w:val="28"/>
          <w:szCs w:val="28"/>
          <w:highlight w:val="none"/>
        </w:rPr>
        <w:t>一次自动监测任务触发告警仅发布一条信息是指，即使一次监测任务返回多条数据记录，也仅提取其中一条记录发布信息。以防止短时间大量发出弹窗、短信。</w:t>
      </w:r>
    </w:p>
    <w:p w14:paraId="6935FF89">
      <w:pPr>
        <w:pStyle w:val="6"/>
        <w:numPr>
          <w:ilvl w:val="3"/>
          <w:numId w:val="0"/>
        </w:numPr>
        <w:ind w:left="1728" w:leftChars="0" w:hanging="648" w:firstLineChars="0"/>
        <w:rPr>
          <w:rFonts w:hint="eastAsia" w:ascii="仿宋" w:hAnsi="仿宋" w:eastAsia="仿宋"/>
          <w:sz w:val="30"/>
          <w:szCs w:val="30"/>
          <w:highlight w:val="none"/>
        </w:rPr>
      </w:pPr>
      <w:r>
        <w:rPr>
          <w:rFonts w:hint="eastAsia" w:ascii="仿宋" w:hAnsi="仿宋" w:eastAsia="仿宋" w:cstheme="majorBidi"/>
          <w:b/>
          <w:bCs/>
          <w:kern w:val="2"/>
          <w:sz w:val="30"/>
          <w:szCs w:val="30"/>
          <w:highlight w:val="none"/>
          <w:lang w:val="en-US" w:eastAsia="zh-CN" w:bidi="ar-SA"/>
        </w:rPr>
        <w:t>5.3.1.3.</w:t>
      </w:r>
      <w:r>
        <w:rPr>
          <w:rFonts w:hint="eastAsia" w:ascii="仿宋" w:hAnsi="仿宋" w:eastAsia="仿宋"/>
          <w:sz w:val="30"/>
          <w:szCs w:val="30"/>
          <w:highlight w:val="none"/>
        </w:rPr>
        <w:t>界面显示</w:t>
      </w:r>
    </w:p>
    <w:p w14:paraId="5799086E">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支持对各类规则的界面显示</w:t>
      </w:r>
      <w:r>
        <w:rPr>
          <w:rFonts w:hint="eastAsia" w:ascii="仿宋_GB2312" w:hAnsi="仿宋_GB2312" w:eastAsia="仿宋_GB2312" w:cs="仿宋_GB2312"/>
          <w:kern w:val="0"/>
          <w:sz w:val="28"/>
          <w:szCs w:val="28"/>
          <w:highlight w:val="none"/>
        </w:rPr>
        <w:t>。具体显示方式见下文需求。</w:t>
      </w:r>
    </w:p>
    <w:p w14:paraId="24E53FC0">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公共需求有</w:t>
      </w:r>
      <w:r>
        <w:rPr>
          <w:rFonts w:hint="eastAsia" w:ascii="仿宋_GB2312" w:hAnsi="仿宋_GB2312" w:eastAsia="仿宋_GB2312" w:cs="仿宋_GB2312"/>
          <w:kern w:val="0"/>
          <w:sz w:val="28"/>
          <w:szCs w:val="28"/>
          <w:highlight w:val="none"/>
        </w:rPr>
        <w:t>：</w:t>
      </w:r>
    </w:p>
    <w:p w14:paraId="09CB6FC9">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（1）四舍五入：数值均保留2位。</w:t>
      </w:r>
    </w:p>
    <w:p w14:paraId="5C8C2CFD">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（2）单位自适应：当数据超过5位数时，则自动调整单位，例如100000</w:t>
      </w:r>
      <w:r>
        <w:rPr>
          <w:rFonts w:ascii="仿宋_GB2312" w:hAnsi="仿宋_GB2312" w:eastAsia="仿宋_GB2312" w:cs="仿宋_GB2312"/>
          <w:kern w:val="0"/>
          <w:sz w:val="28"/>
          <w:szCs w:val="28"/>
          <w:highlight w:val="none"/>
        </w:rPr>
        <w:t>.00</w:t>
      </w:r>
      <w:r>
        <w:rPr>
          <w:rFonts w:hint="eastAsia" w:ascii="仿宋_GB2312" w:hAnsi="仿宋_GB2312" w:eastAsia="仿宋_GB2312" w:cs="仿宋_GB2312"/>
          <w:kern w:val="0"/>
          <w:sz w:val="28"/>
          <w:szCs w:val="28"/>
          <w:highlight w:val="none"/>
        </w:rPr>
        <w:t>亿自动显示为10.00万亿</w:t>
      </w:r>
    </w:p>
    <w:p w14:paraId="08A6BDE1">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（3）动态效果：图中实时监测指标有动态效果；</w:t>
      </w:r>
    </w:p>
    <w:p w14:paraId="7FCF1DA7">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（4）保存自定义设置功能。保存用户当前界面配置的菜单选项。点击“保存自定义设置”，弹出框要求用户填写保存设置的名称，允许用户保存多套设置。</w:t>
      </w:r>
    </w:p>
    <w:p w14:paraId="47B1835B">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（5）应用自定义设置。调取用户保存的自定义设置进行显示。此按钮为一个下拉框，用户可选择已保存的设置。此设置独立于所有数据显示区域，在页面最顶端。</w:t>
      </w:r>
    </w:p>
    <w:p w14:paraId="00092549">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（6）</w:t>
      </w:r>
      <w:r>
        <w:rPr>
          <w:rFonts w:ascii="仿宋_GB2312" w:hAnsi="仿宋_GB2312" w:eastAsia="仿宋_GB2312" w:cs="仿宋_GB2312"/>
          <w:kern w:val="0"/>
          <w:sz w:val="28"/>
          <w:szCs w:val="28"/>
          <w:highlight w:val="none"/>
        </w:rPr>
        <w:t>顶部右侧为计时器</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显示YYYY年MM月DD日HH：MI</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SS</w:t>
      </w:r>
      <w:r>
        <w:rPr>
          <w:rFonts w:hint="eastAsia" w:ascii="仿宋_GB2312" w:hAnsi="仿宋_GB2312" w:eastAsia="仿宋_GB2312" w:cs="仿宋_GB2312"/>
          <w:kern w:val="0"/>
          <w:sz w:val="28"/>
          <w:szCs w:val="28"/>
          <w:highlight w:val="none"/>
        </w:rPr>
        <w:t>。所有页面同样位置均为该组件。</w:t>
      </w:r>
    </w:p>
    <w:p w14:paraId="79E81238">
      <w:pPr>
        <w:pStyle w:val="6"/>
        <w:numPr>
          <w:ilvl w:val="3"/>
          <w:numId w:val="0"/>
        </w:numPr>
        <w:ind w:left="1728" w:leftChars="0" w:hanging="648" w:firstLineChars="0"/>
        <w:rPr>
          <w:rFonts w:hint="eastAsia" w:ascii="仿宋" w:hAnsi="仿宋" w:eastAsia="仿宋"/>
          <w:sz w:val="30"/>
          <w:szCs w:val="30"/>
          <w:highlight w:val="none"/>
        </w:rPr>
      </w:pPr>
      <w:r>
        <w:rPr>
          <w:rFonts w:hint="eastAsia" w:ascii="仿宋" w:hAnsi="仿宋" w:eastAsia="仿宋" w:cstheme="majorBidi"/>
          <w:b/>
          <w:bCs/>
          <w:kern w:val="2"/>
          <w:sz w:val="30"/>
          <w:szCs w:val="30"/>
          <w:highlight w:val="none"/>
          <w:lang w:val="en-US" w:eastAsia="zh-CN" w:bidi="ar-SA"/>
        </w:rPr>
        <w:t>5.3.1.4.</w:t>
      </w:r>
      <w:r>
        <w:rPr>
          <w:rFonts w:hint="eastAsia" w:ascii="仿宋" w:hAnsi="仿宋" w:eastAsia="仿宋"/>
          <w:sz w:val="30"/>
          <w:szCs w:val="30"/>
          <w:highlight w:val="none"/>
        </w:rPr>
        <w:t>流程管理</w:t>
      </w:r>
    </w:p>
    <w:p w14:paraId="570FF118">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监测任务配置、告警通知配置需经复核方可生效，需设置复核流程，支持逐条复核即可。同角色之间可相互复核，不允许发起人自我复核。</w:t>
      </w:r>
    </w:p>
    <w:p w14:paraId="19A10BD9">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自定义规则编写与修改</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展示无需复核</w:t>
      </w:r>
      <w:r>
        <w:rPr>
          <w:rFonts w:hint="eastAsia" w:ascii="仿宋_GB2312" w:hAnsi="仿宋_GB2312" w:eastAsia="仿宋_GB2312" w:cs="仿宋_GB2312"/>
          <w:kern w:val="0"/>
          <w:sz w:val="28"/>
          <w:szCs w:val="28"/>
          <w:highlight w:val="none"/>
        </w:rPr>
        <w:t>。</w:t>
      </w:r>
    </w:p>
    <w:p w14:paraId="52504D69">
      <w:pPr>
        <w:pStyle w:val="6"/>
        <w:numPr>
          <w:ilvl w:val="3"/>
          <w:numId w:val="0"/>
        </w:numPr>
        <w:ind w:left="1728" w:leftChars="0" w:hanging="648" w:firstLineChars="0"/>
        <w:rPr>
          <w:rFonts w:hint="eastAsia" w:ascii="仿宋" w:hAnsi="仿宋" w:eastAsia="仿宋"/>
          <w:sz w:val="30"/>
          <w:szCs w:val="30"/>
          <w:highlight w:val="none"/>
        </w:rPr>
      </w:pPr>
      <w:r>
        <w:rPr>
          <w:rFonts w:hint="eastAsia" w:ascii="仿宋" w:hAnsi="仿宋" w:eastAsia="仿宋" w:cstheme="majorBidi"/>
          <w:b/>
          <w:bCs/>
          <w:kern w:val="2"/>
          <w:sz w:val="30"/>
          <w:szCs w:val="30"/>
          <w:highlight w:val="none"/>
          <w:lang w:val="en-US" w:eastAsia="zh-CN" w:bidi="ar-SA"/>
        </w:rPr>
        <w:t>5.3.1.5.</w:t>
      </w:r>
      <w:r>
        <w:rPr>
          <w:rFonts w:hint="eastAsia" w:ascii="仿宋" w:hAnsi="仿宋" w:eastAsia="仿宋"/>
          <w:sz w:val="30"/>
          <w:szCs w:val="30"/>
          <w:highlight w:val="none"/>
        </w:rPr>
        <w:t>数据存储</w:t>
      </w:r>
    </w:p>
    <w:p w14:paraId="6DB69D38">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监测数据需缓存供各页面显示多个时点的数据记录</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防止查询失败导致界面无数据异常之用</w:t>
      </w:r>
      <w:r>
        <w:rPr>
          <w:rFonts w:hint="eastAsia" w:ascii="仿宋_GB2312" w:hAnsi="仿宋_GB2312" w:eastAsia="仿宋_GB2312" w:cs="仿宋_GB2312"/>
          <w:kern w:val="0"/>
          <w:sz w:val="28"/>
          <w:szCs w:val="28"/>
          <w:highlight w:val="none"/>
        </w:rPr>
        <w:t>。可以采用内存存储方式。</w:t>
      </w:r>
      <w:r>
        <w:rPr>
          <w:rFonts w:ascii="仿宋_GB2312" w:hAnsi="仿宋_GB2312" w:eastAsia="仿宋_GB2312" w:cs="仿宋_GB2312"/>
          <w:kern w:val="0"/>
          <w:sz w:val="28"/>
          <w:szCs w:val="28"/>
          <w:highlight w:val="none"/>
        </w:rPr>
        <w:t>具体的缓存条数</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可根据自定义规则展示的条数设置及相关技术需要确定</w:t>
      </w:r>
      <w:r>
        <w:rPr>
          <w:rFonts w:hint="eastAsia" w:ascii="仿宋_GB2312" w:hAnsi="仿宋_GB2312" w:eastAsia="仿宋_GB2312" w:cs="仿宋_GB2312"/>
          <w:kern w:val="0"/>
          <w:sz w:val="28"/>
          <w:szCs w:val="28"/>
          <w:highlight w:val="none"/>
        </w:rPr>
        <w:t>。</w:t>
      </w:r>
    </w:p>
    <w:p w14:paraId="11BA52A6">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告警数据均需持久化存储</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数据下线时间根据运行情况另行确定</w:t>
      </w:r>
      <w:r>
        <w:rPr>
          <w:rFonts w:hint="eastAsia" w:ascii="仿宋_GB2312" w:hAnsi="仿宋_GB2312" w:eastAsia="仿宋_GB2312" w:cs="仿宋_GB2312"/>
          <w:kern w:val="0"/>
          <w:sz w:val="28"/>
          <w:szCs w:val="28"/>
          <w:highlight w:val="none"/>
        </w:rPr>
        <w:t>。</w:t>
      </w:r>
    </w:p>
    <w:p w14:paraId="340173F6">
      <w:pPr>
        <w:pStyle w:val="6"/>
        <w:numPr>
          <w:ilvl w:val="3"/>
          <w:numId w:val="0"/>
        </w:numPr>
        <w:ind w:left="1728" w:leftChars="0" w:hanging="648" w:firstLineChars="0"/>
        <w:rPr>
          <w:rFonts w:hint="eastAsia" w:ascii="仿宋" w:hAnsi="仿宋" w:eastAsia="仿宋"/>
          <w:sz w:val="30"/>
          <w:szCs w:val="30"/>
          <w:highlight w:val="none"/>
        </w:rPr>
      </w:pPr>
      <w:r>
        <w:rPr>
          <w:rFonts w:hint="eastAsia" w:ascii="仿宋" w:hAnsi="仿宋" w:eastAsia="仿宋" w:cstheme="majorBidi"/>
          <w:b/>
          <w:bCs/>
          <w:kern w:val="2"/>
          <w:sz w:val="30"/>
          <w:szCs w:val="30"/>
          <w:highlight w:val="none"/>
          <w:lang w:val="en-US" w:eastAsia="zh-CN" w:bidi="ar-SA"/>
        </w:rPr>
        <w:t>5.3.1.6.</w:t>
      </w:r>
      <w:r>
        <w:rPr>
          <w:rFonts w:hint="eastAsia" w:ascii="仿宋" w:hAnsi="仿宋" w:eastAsia="仿宋"/>
          <w:sz w:val="30"/>
          <w:szCs w:val="30"/>
          <w:highlight w:val="none"/>
        </w:rPr>
        <w:t>平台运行情况监控</w:t>
      </w:r>
    </w:p>
    <w:p w14:paraId="36CA6D0C">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应提供平台自身运行情况、数据库连接、数据库响应情况、数据延迟情况的监控，可集中至监控平台。</w:t>
      </w:r>
    </w:p>
    <w:p w14:paraId="0EC6468B">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其中</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需</w:t>
      </w:r>
      <w:r>
        <w:rPr>
          <w:rFonts w:hint="eastAsia" w:ascii="仿宋_GB2312" w:hAnsi="仿宋_GB2312" w:eastAsia="仿宋_GB2312" w:cs="仿宋_GB2312"/>
          <w:kern w:val="0"/>
          <w:sz w:val="28"/>
          <w:szCs w:val="28"/>
          <w:highlight w:val="none"/>
        </w:rPr>
        <w:t>监控的异常类型包括：</w:t>
      </w:r>
    </w:p>
    <w:p w14:paraId="678D0C86">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（1）平台无法正常运行；</w:t>
      </w:r>
    </w:p>
    <w:p w14:paraId="29265C34">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（2）数据库连接中断；</w:t>
      </w:r>
    </w:p>
    <w:p w14:paraId="3FAC0378">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（3）查询延迟过大，如结果返回时间超过监测任务调度间隔。</w:t>
      </w:r>
    </w:p>
    <w:p w14:paraId="450DDE7F">
      <w:pPr>
        <w:pStyle w:val="5"/>
        <w:numPr>
          <w:ilvl w:val="2"/>
          <w:numId w:val="0"/>
        </w:numPr>
        <w:ind w:left="1224" w:leftChars="0" w:hanging="504" w:firstLineChars="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b/>
          <w:bCs/>
          <w:kern w:val="0"/>
          <w:sz w:val="28"/>
          <w:szCs w:val="28"/>
          <w:highlight w:val="none"/>
          <w:lang w:val="en-US" w:eastAsia="zh-CN" w:bidi="ar-SA"/>
        </w:rPr>
        <w:t>5.3.2.</w:t>
      </w:r>
      <w:r>
        <w:rPr>
          <w:rFonts w:hint="eastAsia" w:ascii="仿宋" w:hAnsi="仿宋" w:eastAsia="仿宋"/>
          <w:sz w:val="30"/>
          <w:szCs w:val="30"/>
          <w:highlight w:val="none"/>
        </w:rPr>
        <w:t>首页模块</w:t>
      </w:r>
    </w:p>
    <w:p w14:paraId="401D880D">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各部分内容引用自各分页面。</w:t>
      </w:r>
    </w:p>
    <w:p w14:paraId="47F9335D">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其中</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监测预警通知集中所有告警通知的显示</w:t>
      </w:r>
      <w:r>
        <w:rPr>
          <w:rFonts w:hint="eastAsia" w:ascii="仿宋_GB2312" w:hAnsi="仿宋_GB2312" w:eastAsia="仿宋_GB2312" w:cs="仿宋_GB2312"/>
          <w:kern w:val="0"/>
          <w:sz w:val="28"/>
          <w:szCs w:val="28"/>
          <w:highlight w:val="none"/>
        </w:rPr>
        <w:t>。</w:t>
      </w:r>
    </w:p>
    <w:p w14:paraId="3E344C0E">
      <w:pPr>
        <w:pStyle w:val="5"/>
        <w:numPr>
          <w:ilvl w:val="2"/>
          <w:numId w:val="0"/>
        </w:numPr>
        <w:ind w:left="1224" w:leftChars="0" w:hanging="504" w:firstLineChars="0"/>
        <w:rPr>
          <w:rFonts w:hint="eastAsia" w:ascii="仿宋" w:hAnsi="仿宋" w:eastAsia="仿宋"/>
          <w:sz w:val="30"/>
          <w:szCs w:val="30"/>
          <w:highlight w:val="none"/>
        </w:rPr>
      </w:pPr>
      <w:r>
        <w:rPr>
          <w:rFonts w:hint="eastAsia" w:ascii="仿宋" w:hAnsi="仿宋" w:eastAsia="仿宋" w:cs="Times New Roman"/>
          <w:b/>
          <w:bCs/>
          <w:kern w:val="2"/>
          <w:sz w:val="30"/>
          <w:szCs w:val="30"/>
          <w:highlight w:val="none"/>
          <w:lang w:val="en-US" w:eastAsia="zh-CN" w:bidi="ar-SA"/>
        </w:rPr>
        <w:t>5.3.3.</w:t>
      </w:r>
      <w:r>
        <w:rPr>
          <w:rFonts w:hint="eastAsia" w:ascii="仿宋" w:hAnsi="仿宋" w:eastAsia="仿宋"/>
          <w:sz w:val="30"/>
          <w:szCs w:val="30"/>
          <w:highlight w:val="none"/>
        </w:rPr>
        <w:t>债券清结算监测模块</w:t>
      </w:r>
    </w:p>
    <w:p w14:paraId="775683AF">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此分模块分为以下单独页面。</w:t>
      </w:r>
    </w:p>
    <w:p w14:paraId="4D06BF2B">
      <w:pPr>
        <w:pStyle w:val="6"/>
        <w:numPr>
          <w:ilvl w:val="3"/>
          <w:numId w:val="0"/>
        </w:numPr>
        <w:ind w:left="1728" w:leftChars="0" w:hanging="648" w:firstLineChars="0"/>
        <w:rPr>
          <w:rFonts w:hint="eastAsia" w:ascii="仿宋" w:hAnsi="仿宋" w:eastAsia="仿宋"/>
          <w:sz w:val="30"/>
          <w:szCs w:val="30"/>
          <w:highlight w:val="none"/>
        </w:rPr>
      </w:pPr>
      <w:r>
        <w:rPr>
          <w:rFonts w:hint="eastAsia" w:ascii="仿宋" w:hAnsi="仿宋" w:eastAsia="仿宋" w:cstheme="majorBidi"/>
          <w:b/>
          <w:bCs/>
          <w:kern w:val="2"/>
          <w:sz w:val="30"/>
          <w:szCs w:val="30"/>
          <w:highlight w:val="none"/>
          <w:lang w:val="en-US" w:eastAsia="zh-CN" w:bidi="ar-SA"/>
        </w:rPr>
        <w:t>5.3.3.1.</w:t>
      </w:r>
      <w:r>
        <w:rPr>
          <w:rFonts w:hint="eastAsia" w:ascii="仿宋" w:hAnsi="仿宋" w:eastAsia="仿宋"/>
          <w:sz w:val="30"/>
          <w:szCs w:val="30"/>
          <w:highlight w:val="none"/>
        </w:rPr>
        <w:t>债券</w:t>
      </w:r>
      <w:r>
        <w:rPr>
          <w:rFonts w:ascii="仿宋" w:hAnsi="仿宋" w:eastAsia="仿宋"/>
          <w:sz w:val="30"/>
          <w:szCs w:val="30"/>
          <w:highlight w:val="none"/>
        </w:rPr>
        <w:t>全额结算监测</w:t>
      </w:r>
    </w:p>
    <w:p w14:paraId="16E0B25C">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下方布置两个显示区域</w:t>
      </w:r>
      <w:r>
        <w:rPr>
          <w:rFonts w:hint="eastAsia" w:ascii="仿宋_GB2312" w:hAnsi="仿宋_GB2312" w:eastAsia="仿宋_GB2312" w:cs="仿宋_GB2312"/>
          <w:kern w:val="0"/>
          <w:sz w:val="28"/>
          <w:szCs w:val="28"/>
          <w:highlight w:val="none"/>
        </w:rPr>
        <w:t>：</w:t>
      </w:r>
    </w:p>
    <w:p w14:paraId="45272FD0">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（1）结算总体监测；</w:t>
      </w:r>
    </w:p>
    <w:p w14:paraId="0B6227D7">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（2）分业务监测。</w:t>
      </w:r>
    </w:p>
    <w:p w14:paraId="60B25A89">
      <w:pPr>
        <w:ind w:firstLine="640"/>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rPr>
        <w:t>（3）结算监测表：</w:t>
      </w:r>
      <w:r>
        <w:rPr>
          <w:rFonts w:hint="eastAsia" w:ascii="仿宋_GB2312" w:hAnsi="仿宋_GB2312" w:eastAsia="仿宋_GB2312" w:cs="仿宋_GB2312"/>
          <w:kern w:val="0"/>
          <w:sz w:val="28"/>
          <w:szCs w:val="28"/>
          <w:highlight w:val="none"/>
          <w:lang w:val="en-US" w:eastAsia="zh-CN"/>
        </w:rPr>
        <w:t>把</w:t>
      </w:r>
      <w:r>
        <w:rPr>
          <w:rFonts w:hint="eastAsia" w:ascii="仿宋_GB2312" w:hAnsi="仿宋_GB2312" w:eastAsia="仿宋_GB2312" w:cs="仿宋_GB2312"/>
          <w:kern w:val="0"/>
          <w:sz w:val="28"/>
          <w:szCs w:val="28"/>
          <w:highlight w:val="none"/>
        </w:rPr>
        <w:t>全额结算指令</w:t>
      </w:r>
      <w:r>
        <w:rPr>
          <w:rFonts w:hint="eastAsia" w:ascii="仿宋_GB2312" w:hAnsi="仿宋_GB2312" w:eastAsia="仿宋_GB2312" w:cs="仿宋_GB2312"/>
          <w:kern w:val="0"/>
          <w:sz w:val="28"/>
          <w:szCs w:val="28"/>
          <w:highlight w:val="none"/>
          <w:lang w:val="en-US" w:eastAsia="zh-CN"/>
        </w:rPr>
        <w:t>和交易状态种的待确认、应履行、失败、已撤销、待履行、已拒绝等共26种状态映射到待结算、成功、失败等对应含义。</w:t>
      </w:r>
    </w:p>
    <w:p w14:paraId="27DD8E70">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（3）今日结算进度，为</w:t>
      </w:r>
      <w:r>
        <w:rPr>
          <w:rFonts w:ascii="仿宋_GB2312" w:hAnsi="仿宋_GB2312" w:eastAsia="仿宋_GB2312" w:cs="仿宋_GB2312"/>
          <w:kern w:val="0"/>
          <w:sz w:val="28"/>
          <w:szCs w:val="28"/>
          <w:highlight w:val="none"/>
        </w:rPr>
        <w:t>堆积面积图</w:t>
      </w:r>
      <w:r>
        <w:rPr>
          <w:rFonts w:hint="eastAsia" w:ascii="仿宋_GB2312" w:hAnsi="仿宋_GB2312" w:eastAsia="仿宋_GB2312" w:cs="仿宋_GB2312"/>
          <w:kern w:val="0"/>
          <w:sz w:val="28"/>
          <w:szCs w:val="28"/>
          <w:highlight w:val="none"/>
        </w:rPr>
        <w:t>，从上到下3条线：总数、成功、失败，总数-成功-失败的差值即为待结算。失败线下方区域填充半透明浅红色，成功失败线间区域填充半透明浅蓝色，总数-成功线间区域填充半透明浅黄色，红色、黄色区域从左到右保持渐变波浪式动态颜色变化。</w:t>
      </w:r>
    </w:p>
    <w:p w14:paraId="79AE1D79">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（4）历史结算对比，为待结算数据对比。为簇状柱形图，分为上下两簇，上簇为笔数数据，下簇为金额数据。每簇3个柱形，分别为今日、昨日、历史峰值（YYYY</w:t>
      </w:r>
      <w:r>
        <w:rPr>
          <w:rFonts w:ascii="仿宋_GB2312" w:hAnsi="仿宋_GB2312" w:eastAsia="仿宋_GB2312" w:cs="仿宋_GB2312"/>
          <w:kern w:val="0"/>
          <w:sz w:val="28"/>
          <w:szCs w:val="28"/>
          <w:highlight w:val="none"/>
        </w:rPr>
        <w:t>/MM/DD</w:t>
      </w:r>
      <w:r>
        <w:rPr>
          <w:rFonts w:hint="eastAsia" w:ascii="仿宋_GB2312" w:hAnsi="仿宋_GB2312" w:eastAsia="仿宋_GB2312" w:cs="仿宋_GB2312"/>
          <w:kern w:val="0"/>
          <w:sz w:val="28"/>
          <w:szCs w:val="28"/>
          <w:highlight w:val="none"/>
        </w:rPr>
        <w:t>）。今日数据实时更新，昨日、历史峰值数据以分钟为切片预先算好，到对应时点即更新（历史峰值需同时更新峰值对应的日期）。动态效果：如果今日数据大于历史峰值，则今日数据的柱形轮廓高亮渐变闪烁红光；如果今日数据小于历史峰值但大于昨日数据，则今日数据的柱形轮廓高亮渐变闪烁黄光；否则不高亮闪烁。历史峰值数据的初始化：以数据源描述的方式筛选数据后，以记录的更新时间作为数据状态变为终态的时间（即结算时间）。以历史峰值笔数为例，时点的待结算笔数即是结算时间大于该时点的笔数，历史峰值笔数指所有日期中，该时点的笔数最大值。历史峰值数据的更新：每日调度时，将本日数据计算好后，与历史峰值数据比较，如果本日某时点数据更大，则更新历史峰值数据相应时点的数据。</w:t>
      </w:r>
    </w:p>
    <w:p w14:paraId="27ADB367">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（5）待结算分布，饼图，所有当前处于待结算状态的记录数据（即笔数），按照全额结算指令-全额结算指令状态、全额交易明细-交易状态的原始值对应名称分类展示。</w:t>
      </w:r>
    </w:p>
    <w:p w14:paraId="4DC8476A">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（6）分业务监测-筛选栏，在显示区域左上，并代区域名称，分为上下两栏，</w:t>
      </w:r>
      <w:r>
        <w:rPr>
          <w:rFonts w:ascii="仿宋_GB2312" w:hAnsi="仿宋_GB2312" w:eastAsia="仿宋_GB2312" w:cs="仿宋_GB2312"/>
          <w:kern w:val="0"/>
          <w:sz w:val="28"/>
          <w:szCs w:val="28"/>
          <w:highlight w:val="none"/>
        </w:rPr>
        <w:t>上栏值域为现券</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质押式回购</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买断式回购</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债券借贷</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分销</w:t>
      </w:r>
      <w:r>
        <w:rPr>
          <w:rFonts w:hint="eastAsia" w:ascii="仿宋_GB2312" w:hAnsi="仿宋_GB2312" w:eastAsia="仿宋_GB2312" w:cs="仿宋_GB2312"/>
          <w:kern w:val="0"/>
          <w:sz w:val="28"/>
          <w:szCs w:val="28"/>
          <w:highlight w:val="none"/>
        </w:rPr>
        <w:t>，默认值质押式回购；下栏值域首期、到期，默认值到期，如果上栏选择</w:t>
      </w:r>
      <w:r>
        <w:rPr>
          <w:rFonts w:ascii="仿宋_GB2312" w:hAnsi="仿宋_GB2312" w:eastAsia="仿宋_GB2312" w:cs="仿宋_GB2312"/>
          <w:kern w:val="0"/>
          <w:sz w:val="28"/>
          <w:szCs w:val="28"/>
          <w:highlight w:val="none"/>
        </w:rPr>
        <w:t>现券</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分销</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则下栏隐藏</w:t>
      </w:r>
      <w:r>
        <w:rPr>
          <w:rFonts w:hint="eastAsia" w:ascii="仿宋_GB2312" w:hAnsi="仿宋_GB2312" w:eastAsia="仿宋_GB2312" w:cs="仿宋_GB2312"/>
          <w:kern w:val="0"/>
          <w:sz w:val="28"/>
          <w:szCs w:val="28"/>
          <w:highlight w:val="none"/>
        </w:rPr>
        <w:t>；首期包括全额结算指令类型首期0、首期C0，到期包括全额结算指令类型到期1、到期S0、到期R2。</w:t>
      </w:r>
      <w:r>
        <w:rPr>
          <w:rFonts w:ascii="仿宋_GB2312" w:hAnsi="仿宋_GB2312" w:eastAsia="仿宋_GB2312" w:cs="仿宋_GB2312"/>
          <w:kern w:val="0"/>
          <w:sz w:val="28"/>
          <w:szCs w:val="28"/>
          <w:highlight w:val="none"/>
        </w:rPr>
        <w:t>注意</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各组合对应的历史峰值数据均需要单独计算存储</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无法通过一套数据筛选得出</w:t>
      </w:r>
      <w:r>
        <w:rPr>
          <w:rFonts w:hint="eastAsia" w:ascii="仿宋_GB2312" w:hAnsi="仿宋_GB2312" w:eastAsia="仿宋_GB2312" w:cs="仿宋_GB2312"/>
          <w:kern w:val="0"/>
          <w:sz w:val="28"/>
          <w:szCs w:val="28"/>
          <w:highlight w:val="none"/>
        </w:rPr>
        <w:t>。</w:t>
      </w:r>
    </w:p>
    <w:p w14:paraId="176894E9">
      <w:pPr>
        <w:pStyle w:val="6"/>
        <w:numPr>
          <w:ilvl w:val="3"/>
          <w:numId w:val="0"/>
        </w:numPr>
        <w:ind w:left="1728" w:leftChars="0" w:hanging="648" w:firstLineChars="0"/>
        <w:rPr>
          <w:rFonts w:hint="eastAsia" w:ascii="仿宋" w:hAnsi="仿宋" w:eastAsia="仿宋"/>
          <w:sz w:val="30"/>
          <w:szCs w:val="30"/>
          <w:highlight w:val="none"/>
        </w:rPr>
      </w:pPr>
      <w:r>
        <w:rPr>
          <w:rFonts w:hint="eastAsia" w:ascii="仿宋" w:hAnsi="仿宋" w:eastAsia="仿宋" w:cstheme="majorBidi"/>
          <w:b/>
          <w:bCs/>
          <w:kern w:val="2"/>
          <w:sz w:val="30"/>
          <w:szCs w:val="30"/>
          <w:highlight w:val="none"/>
          <w:lang w:val="en-US" w:eastAsia="zh-CN" w:bidi="ar-SA"/>
        </w:rPr>
        <w:t>5.3.3.2.</w:t>
      </w:r>
      <w:r>
        <w:rPr>
          <w:rFonts w:hint="eastAsia" w:ascii="仿宋" w:hAnsi="仿宋" w:eastAsia="仿宋"/>
          <w:sz w:val="30"/>
          <w:szCs w:val="30"/>
          <w:highlight w:val="none"/>
        </w:rPr>
        <w:t>回购资金压力</w:t>
      </w:r>
      <w:r>
        <w:rPr>
          <w:rFonts w:ascii="仿宋" w:hAnsi="仿宋" w:eastAsia="仿宋"/>
          <w:sz w:val="30"/>
          <w:szCs w:val="30"/>
          <w:highlight w:val="none"/>
        </w:rPr>
        <w:t>监测</w:t>
      </w:r>
    </w:p>
    <w:p w14:paraId="22257B99">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（1）回购利率走势：此表数据每1分钟刷新一次数据。</w:t>
      </w:r>
    </w:p>
    <w:p w14:paraId="130364F7">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数据源：质押式回购源交易</w:t>
      </w:r>
      <w:r>
        <w:rPr>
          <w:rFonts w:ascii="仿宋_GB2312" w:hAnsi="仿宋_GB2312" w:eastAsia="仿宋_GB2312" w:cs="仿宋_GB2312"/>
          <w:kern w:val="0"/>
          <w:sz w:val="28"/>
          <w:szCs w:val="28"/>
          <w:highlight w:val="none"/>
        </w:rPr>
        <w:t>中</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交易日期为当日</w:t>
      </w:r>
      <w:r>
        <w:rPr>
          <w:rFonts w:hint="eastAsia" w:ascii="仿宋_GB2312" w:hAnsi="仿宋_GB2312" w:eastAsia="仿宋_GB2312" w:cs="仿宋_GB2312"/>
          <w:kern w:val="0"/>
          <w:sz w:val="28"/>
          <w:szCs w:val="28"/>
          <w:highlight w:val="none"/>
        </w:rPr>
        <w:t>、源</w:t>
      </w:r>
      <w:r>
        <w:rPr>
          <w:rFonts w:ascii="仿宋_GB2312" w:hAnsi="仿宋_GB2312" w:eastAsia="仿宋_GB2312" w:cs="仿宋_GB2312"/>
          <w:kern w:val="0"/>
          <w:sz w:val="28"/>
          <w:szCs w:val="28"/>
          <w:highlight w:val="none"/>
        </w:rPr>
        <w:t>成交状态为F</w:t>
      </w:r>
      <w:r>
        <w:rPr>
          <w:rFonts w:hint="eastAsia" w:ascii="仿宋_GB2312" w:hAnsi="仿宋_GB2312" w:eastAsia="仿宋_GB2312" w:cs="仿宋_GB2312"/>
          <w:kern w:val="0"/>
          <w:sz w:val="28"/>
          <w:szCs w:val="28"/>
          <w:highlight w:val="none"/>
        </w:rPr>
        <w:t>、到期结算日</w:t>
      </w:r>
      <w:r>
        <w:rPr>
          <w:rFonts w:ascii="仿宋_GB2312" w:hAnsi="仿宋_GB2312" w:eastAsia="仿宋_GB2312" w:cs="仿宋_GB2312"/>
          <w:kern w:val="0"/>
          <w:sz w:val="28"/>
          <w:szCs w:val="28"/>
          <w:highlight w:val="none"/>
        </w:rPr>
        <w:t>的数据记录</w:t>
      </w:r>
      <w:r>
        <w:rPr>
          <w:rFonts w:hint="eastAsia" w:ascii="仿宋_GB2312" w:hAnsi="仿宋_GB2312" w:eastAsia="仿宋_GB2312" w:cs="仿宋_GB2312"/>
          <w:kern w:val="0"/>
          <w:sz w:val="28"/>
          <w:szCs w:val="28"/>
          <w:highlight w:val="none"/>
        </w:rPr>
        <w:t>。图表连动，随时间变化，表在今开和当前之间逐次插入整点，整点时间枚举值如图所示。图中X轴为时间轴，坐标范围9:00至18:00，如果出现18:00之后的数据，时间轴自动缩放。图中Y轴为回购利率，显示两条利率曲线，两条均为等权重移动平均值，具体为，</w:t>
      </w:r>
      <w:r>
        <w:rPr>
          <w:rFonts w:hint="eastAsia" w:ascii="仿宋_GB2312" w:hAnsi="仿宋_GB2312" w:eastAsia="仿宋_GB2312" w:cs="仿宋_GB2312"/>
          <w:b w:val="0"/>
          <w:bCs/>
          <w:kern w:val="0"/>
          <w:sz w:val="28"/>
          <w:szCs w:val="28"/>
          <w:highlight w:val="none"/>
        </w:rPr>
        <w:t>每1分钟</w:t>
      </w:r>
      <w:r>
        <w:rPr>
          <w:rFonts w:hint="eastAsia" w:ascii="仿宋_GB2312" w:hAnsi="仿宋_GB2312" w:eastAsia="仿宋_GB2312" w:cs="仿宋_GB2312"/>
          <w:bCs/>
          <w:kern w:val="0"/>
          <w:sz w:val="28"/>
          <w:szCs w:val="28"/>
          <w:highlight w:val="none"/>
        </w:rPr>
        <w:t>取</w:t>
      </w:r>
      <w:r>
        <w:rPr>
          <w:rFonts w:hint="eastAsia" w:ascii="仿宋_GB2312" w:hAnsi="仿宋_GB2312" w:eastAsia="仿宋_GB2312" w:cs="仿宋_GB2312"/>
          <w:b w:val="0"/>
          <w:bCs/>
          <w:kern w:val="0"/>
          <w:sz w:val="28"/>
          <w:szCs w:val="28"/>
          <w:highlight w:val="none"/>
        </w:rPr>
        <w:t>交易时间</w:t>
      </w:r>
      <w:r>
        <w:rPr>
          <w:rFonts w:hint="eastAsia" w:ascii="仿宋_GB2312" w:hAnsi="仿宋_GB2312" w:eastAsia="仿宋_GB2312" w:cs="仿宋_GB2312"/>
          <w:kern w:val="0"/>
          <w:sz w:val="28"/>
          <w:szCs w:val="28"/>
          <w:highlight w:val="none"/>
        </w:rPr>
        <w:t>在此时刻前10分钟的记录（利率）</w:t>
      </w:r>
      <w:r>
        <w:rPr>
          <w:rFonts w:hint="eastAsia" w:ascii="仿宋_GB2312" w:hAnsi="仿宋_GB2312" w:eastAsia="仿宋_GB2312" w:cs="仿宋_GB2312"/>
          <w:kern w:val="0"/>
          <w:sz w:val="28"/>
          <w:szCs w:val="28"/>
          <w:highlight w:val="none"/>
          <w:lang w:eastAsia="zh-CN"/>
        </w:rPr>
        <w:t>、</w:t>
      </w:r>
      <w:r>
        <w:rPr>
          <w:rFonts w:hint="eastAsia" w:ascii="仿宋_GB2312" w:hAnsi="仿宋_GB2312" w:eastAsia="仿宋_GB2312" w:cs="仿宋_GB2312"/>
          <w:kern w:val="0"/>
          <w:sz w:val="28"/>
          <w:szCs w:val="28"/>
          <w:highlight w:val="none"/>
        </w:rPr>
        <w:t>移动平均值利率</w:t>
      </w:r>
      <w:r>
        <w:rPr>
          <w:rFonts w:hint="eastAsia" w:ascii="仿宋_GB2312" w:hAnsi="仿宋_GB2312" w:eastAsia="仿宋_GB2312" w:cs="仿宋_GB2312"/>
          <w:kern w:val="0"/>
          <w:sz w:val="28"/>
          <w:szCs w:val="28"/>
          <w:highlight w:val="none"/>
          <w:lang w:eastAsia="zh-CN"/>
        </w:rPr>
        <w:t>，</w:t>
      </w:r>
      <w:r>
        <w:rPr>
          <w:rFonts w:hint="eastAsia" w:ascii="仿宋_GB2312" w:hAnsi="仿宋_GB2312" w:eastAsia="仿宋_GB2312" w:cs="仿宋_GB2312"/>
          <w:kern w:val="0"/>
          <w:sz w:val="28"/>
          <w:szCs w:val="28"/>
          <w:highlight w:val="none"/>
        </w:rPr>
        <w:t xml:space="preserve">第一条曲线“市场整体”取全部交易，第二条曲线“非法人产品”仅取正回购方机构类型属于“境内非法人”的记录。表中显示整点/当前第一条曲线“市场整体”的数据点，“今日涨跌”=上格值 </w:t>
      </w:r>
      <w:r>
        <w:rPr>
          <w:rFonts w:ascii="仿宋_GB2312" w:hAnsi="仿宋_GB2312" w:eastAsia="仿宋_GB2312" w:cs="仿宋_GB2312"/>
          <w:kern w:val="0"/>
          <w:sz w:val="28"/>
          <w:szCs w:val="28"/>
          <w:highlight w:val="none"/>
        </w:rPr>
        <w:t>– 昨收值</w:t>
      </w:r>
      <w:r>
        <w:rPr>
          <w:rFonts w:hint="eastAsia" w:ascii="仿宋_GB2312" w:hAnsi="仿宋_GB2312" w:eastAsia="仿宋_GB2312" w:cs="仿宋_GB2312"/>
          <w:kern w:val="0"/>
          <w:sz w:val="28"/>
          <w:szCs w:val="28"/>
          <w:highlight w:val="none"/>
        </w:rPr>
        <w:t>，单位为BP，为正，则“回购利率”、“今日涨跌”红色，为负，则绿色。</w:t>
      </w:r>
    </w:p>
    <w:p w14:paraId="04451D0B">
      <w:pPr>
        <w:numPr>
          <w:ilvl w:val="0"/>
          <w:numId w:val="10"/>
        </w:num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市场资金缺口：此表/图数据实时/每1秒刷新一次数据。</w:t>
      </w:r>
    </w:p>
    <w:p w14:paraId="06DD01CB">
      <w:pPr>
        <w:ind w:firstLine="560" w:firstLineChars="20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图为条形图</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从上到下分为今日</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昨日</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历史峰值资金缺口</w:t>
      </w:r>
      <w:r>
        <w:rPr>
          <w:rFonts w:hint="eastAsia" w:ascii="仿宋_GB2312" w:hAnsi="仿宋_GB2312" w:eastAsia="仿宋_GB2312" w:cs="仿宋_GB2312"/>
          <w:kern w:val="0"/>
          <w:sz w:val="28"/>
          <w:szCs w:val="28"/>
          <w:highlight w:val="none"/>
        </w:rPr>
        <w:t>。今日数据实时更新，昨日、历史峰值数据以分钟为切片预先算好，到对应时点即更新（历史峰值需同时更新峰值对应的日期）。动态效果：如果今日数据大于历史峰值，则今日数据的条形轮廓高亮渐变闪烁红光；如果今日数据小于历史峰值但大于昨日数据，则今日数据的条形轮廓高亮渐变闪烁黄光；否则不高亮闪烁。</w:t>
      </w:r>
    </w:p>
    <w:p w14:paraId="679A74CD">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（3）资金融通情况：簇状柱形图，此表/图数据实时/每1秒刷新一次数据。</w:t>
      </w:r>
    </w:p>
    <w:p w14:paraId="2B7FD52F">
      <w:pPr>
        <w:ind w:firstLine="640"/>
        <w:rPr>
          <w:rFonts w:hint="default" w:ascii="仿宋_GB2312" w:hAnsi="仿宋_GB2312" w:eastAsia="仿宋_GB2312" w:cs="仿宋_GB2312"/>
          <w:kern w:val="0"/>
          <w:sz w:val="28"/>
          <w:szCs w:val="28"/>
          <w:highlight w:val="none"/>
          <w:lang w:val="en-US" w:eastAsia="zh-CN"/>
        </w:rPr>
      </w:pPr>
      <w:r>
        <w:rPr>
          <w:rFonts w:ascii="仿宋_GB2312" w:hAnsi="仿宋_GB2312" w:eastAsia="仿宋_GB2312" w:cs="仿宋_GB2312"/>
          <w:kern w:val="0"/>
          <w:sz w:val="28"/>
          <w:szCs w:val="28"/>
          <w:highlight w:val="none"/>
        </w:rPr>
        <w:t>图中按机构类型分簇</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每簇有两个柱形</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左柱为回笼</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右柱为投放</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机构类型</w:t>
      </w:r>
      <w:r>
        <w:rPr>
          <w:rFonts w:hint="eastAsia" w:ascii="仿宋_GB2312" w:hAnsi="仿宋_GB2312" w:eastAsia="仿宋_GB2312" w:cs="仿宋_GB2312"/>
          <w:kern w:val="0"/>
          <w:sz w:val="28"/>
          <w:szCs w:val="28"/>
          <w:highlight w:val="none"/>
          <w:lang w:val="en-US" w:eastAsia="zh-CN"/>
        </w:rPr>
        <w:t>包含银行、券商、货币基金、境外机构等11种。</w:t>
      </w:r>
    </w:p>
    <w:p w14:paraId="35FAEC56">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（4）最大缺口机构Top</w:t>
      </w:r>
      <w:r>
        <w:rPr>
          <w:rFonts w:ascii="仿宋_GB2312" w:hAnsi="仿宋_GB2312" w:eastAsia="仿宋_GB2312" w:cs="仿宋_GB2312"/>
          <w:kern w:val="0"/>
          <w:sz w:val="28"/>
          <w:szCs w:val="28"/>
          <w:highlight w:val="none"/>
        </w:rPr>
        <w:t>10</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条形图</w:t>
      </w:r>
      <w:r>
        <w:rPr>
          <w:rFonts w:hint="eastAsia" w:ascii="仿宋_GB2312" w:hAnsi="仿宋_GB2312" w:eastAsia="仿宋_GB2312" w:cs="仿宋_GB2312"/>
          <w:kern w:val="0"/>
          <w:sz w:val="28"/>
          <w:szCs w:val="28"/>
          <w:highlight w:val="none"/>
        </w:rPr>
        <w:t>，此表/图数据实时/每1秒刷新一次数据。显示最大10家，界面显示不下的，支持滚动条拖拉显示。</w:t>
      </w:r>
    </w:p>
    <w:p w14:paraId="764963A6">
      <w:pPr>
        <w:pStyle w:val="6"/>
        <w:numPr>
          <w:ilvl w:val="3"/>
          <w:numId w:val="0"/>
        </w:numPr>
        <w:ind w:left="1728" w:leftChars="0" w:hanging="648" w:firstLineChars="0"/>
        <w:rPr>
          <w:rFonts w:hint="eastAsia" w:ascii="仿宋" w:hAnsi="仿宋" w:eastAsia="仿宋"/>
          <w:sz w:val="30"/>
          <w:szCs w:val="30"/>
          <w:highlight w:val="none"/>
        </w:rPr>
      </w:pPr>
      <w:r>
        <w:rPr>
          <w:rFonts w:hint="eastAsia" w:ascii="仿宋" w:hAnsi="仿宋" w:eastAsia="仿宋" w:cstheme="majorBidi"/>
          <w:b/>
          <w:bCs/>
          <w:kern w:val="2"/>
          <w:sz w:val="30"/>
          <w:szCs w:val="30"/>
          <w:highlight w:val="none"/>
          <w:lang w:val="en-US" w:eastAsia="zh-CN" w:bidi="ar-SA"/>
        </w:rPr>
        <w:t>5.3.3.3.</w:t>
      </w:r>
      <w:r>
        <w:rPr>
          <w:rFonts w:hint="eastAsia" w:ascii="仿宋" w:hAnsi="仿宋" w:eastAsia="仿宋"/>
          <w:sz w:val="30"/>
          <w:szCs w:val="30"/>
          <w:highlight w:val="none"/>
        </w:rPr>
        <w:t>债券CCP</w:t>
      </w:r>
      <w:r>
        <w:rPr>
          <w:rFonts w:ascii="仿宋" w:hAnsi="仿宋" w:eastAsia="仿宋"/>
          <w:sz w:val="30"/>
          <w:szCs w:val="30"/>
          <w:highlight w:val="none"/>
        </w:rPr>
        <w:t>监测</w:t>
      </w:r>
    </w:p>
    <w:p w14:paraId="7880D149">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（1）今日结算进度，统计表+</w:t>
      </w:r>
      <w:r>
        <w:rPr>
          <w:rFonts w:ascii="仿宋_GB2312" w:hAnsi="仿宋_GB2312" w:eastAsia="仿宋_GB2312" w:cs="仿宋_GB2312"/>
          <w:kern w:val="0"/>
          <w:sz w:val="28"/>
          <w:szCs w:val="28"/>
          <w:highlight w:val="none"/>
        </w:rPr>
        <w:t>堆积面积图</w:t>
      </w:r>
      <w:r>
        <w:rPr>
          <w:rFonts w:hint="eastAsia" w:ascii="仿宋_GB2312" w:hAnsi="仿宋_GB2312" w:eastAsia="仿宋_GB2312" w:cs="仿宋_GB2312"/>
          <w:kern w:val="0"/>
          <w:sz w:val="28"/>
          <w:szCs w:val="28"/>
          <w:highlight w:val="none"/>
        </w:rPr>
        <w:t>。</w:t>
      </w:r>
    </w:p>
    <w:p w14:paraId="25426719">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图表左上角有下拉菜单</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堆积面积图</w:t>
      </w:r>
      <w:r>
        <w:rPr>
          <w:rFonts w:hint="eastAsia" w:ascii="仿宋_GB2312" w:hAnsi="仿宋_GB2312" w:eastAsia="仿宋_GB2312" w:cs="仿宋_GB2312"/>
          <w:kern w:val="0"/>
          <w:sz w:val="28"/>
          <w:szCs w:val="28"/>
          <w:highlight w:val="none"/>
        </w:rPr>
        <w:t>，从上到下3条线：已收到、已接单、已拒绝，已收到-已接单-已拒绝的差值即为处理中。已拒绝线下方区域填充半透明浅红色，已接单-已拒绝线间区域填充半透明浅蓝色，已收到-已接单线间区域填充半透明浅黄色，红色、黄色区域从左到右保持渐变波浪式动态颜色变化。</w:t>
      </w:r>
    </w:p>
    <w:p w14:paraId="1A1454F1">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状态映射</w:t>
      </w:r>
      <w:r>
        <w:rPr>
          <w:rFonts w:hint="eastAsia" w:ascii="仿宋_GB2312" w:hAnsi="仿宋_GB2312" w:eastAsia="仿宋_GB2312" w:cs="仿宋_GB2312"/>
          <w:kern w:val="0"/>
          <w:sz w:val="28"/>
          <w:szCs w:val="28"/>
          <w:highlight w:val="none"/>
          <w:lang w:val="en-US" w:eastAsia="zh-CN"/>
        </w:rPr>
        <w:t>把作废、通过、不通过共6种映射到已接单、已拒绝两种含义上。</w:t>
      </w:r>
    </w:p>
    <w:p w14:paraId="190B60F1">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（2）清算</w:t>
      </w:r>
      <w:r>
        <w:rPr>
          <w:rFonts w:ascii="仿宋_GB2312" w:hAnsi="仿宋_GB2312" w:eastAsia="仿宋_GB2312" w:cs="仿宋_GB2312"/>
          <w:kern w:val="0"/>
          <w:sz w:val="28"/>
          <w:szCs w:val="28"/>
          <w:highlight w:val="none"/>
        </w:rPr>
        <w:t>风险预警</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由汇总表和详细信息构成</w:t>
      </w:r>
      <w:r>
        <w:rPr>
          <w:rFonts w:hint="eastAsia" w:ascii="仿宋_GB2312" w:hAnsi="仿宋_GB2312" w:eastAsia="仿宋_GB2312" w:cs="仿宋_GB2312"/>
          <w:kern w:val="0"/>
          <w:sz w:val="28"/>
          <w:szCs w:val="28"/>
          <w:highlight w:val="none"/>
        </w:rPr>
        <w:t>。</w:t>
      </w:r>
    </w:p>
    <w:p w14:paraId="6492CAA6">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汇总表今日数据实时</w:t>
      </w:r>
      <w:r>
        <w:rPr>
          <w:rFonts w:hint="eastAsia" w:ascii="仿宋_GB2312" w:hAnsi="仿宋_GB2312" w:eastAsia="仿宋_GB2312" w:cs="仿宋_GB2312"/>
          <w:kern w:val="0"/>
          <w:sz w:val="28"/>
          <w:szCs w:val="28"/>
          <w:highlight w:val="none"/>
        </w:rPr>
        <w:t>/每1秒更新，昨日、历史峰值数，均取日终数，全天不变，历史峰值数日终与今日数比较，逐日更新。此处数据为数据记录数。</w:t>
      </w:r>
    </w:p>
    <w:p w14:paraId="6E753EFC">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详细信息为超链接可以点击</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点击后</w:t>
      </w:r>
      <w:r>
        <w:rPr>
          <w:rFonts w:hint="eastAsia" w:ascii="仿宋_GB2312" w:hAnsi="仿宋_GB2312" w:eastAsia="仿宋_GB2312" w:cs="仿宋_GB2312"/>
          <w:kern w:val="0"/>
          <w:sz w:val="28"/>
          <w:szCs w:val="28"/>
          <w:highlight w:val="none"/>
        </w:rPr>
        <w:t>跳转</w:t>
      </w:r>
      <w:r>
        <w:rPr>
          <w:rFonts w:ascii="仿宋_GB2312" w:hAnsi="仿宋_GB2312" w:eastAsia="仿宋_GB2312" w:cs="仿宋_GB2312"/>
          <w:kern w:val="0"/>
          <w:sz w:val="28"/>
          <w:szCs w:val="28"/>
          <w:highlight w:val="none"/>
        </w:rPr>
        <w:t>至详情</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该条</w:t>
      </w:r>
      <w:r>
        <w:rPr>
          <w:rFonts w:ascii="仿宋_GB2312" w:hAnsi="仿宋_GB2312" w:eastAsia="仿宋_GB2312" w:cs="仿宋_GB2312"/>
          <w:kern w:val="0"/>
          <w:sz w:val="28"/>
          <w:szCs w:val="28"/>
          <w:highlight w:val="none"/>
        </w:rPr>
        <w:t>对应的数据记录</w:t>
      </w:r>
      <w:r>
        <w:rPr>
          <w:rFonts w:hint="eastAsia" w:ascii="仿宋_GB2312" w:hAnsi="仿宋_GB2312" w:eastAsia="仿宋_GB2312" w:cs="仿宋_GB2312"/>
          <w:kern w:val="0"/>
          <w:sz w:val="28"/>
          <w:szCs w:val="28"/>
          <w:highlight w:val="none"/>
        </w:rPr>
        <w:t>（保留原表所有有意义的要素）。</w:t>
      </w:r>
    </w:p>
    <w:p w14:paraId="22FE2CFB">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清算</w:t>
      </w:r>
      <w:r>
        <w:rPr>
          <w:rFonts w:ascii="仿宋_GB2312" w:hAnsi="仿宋_GB2312" w:eastAsia="仿宋_GB2312" w:cs="仿宋_GB2312"/>
          <w:kern w:val="0"/>
          <w:sz w:val="28"/>
          <w:szCs w:val="28"/>
          <w:highlight w:val="none"/>
        </w:rPr>
        <w:t>风险由以下事件触发</w:t>
      </w:r>
      <w:r>
        <w:rPr>
          <w:rFonts w:hint="eastAsia" w:ascii="仿宋_GB2312" w:hAnsi="仿宋_GB2312" w:eastAsia="仿宋_GB2312" w:cs="仿宋_GB2312"/>
          <w:kern w:val="0"/>
          <w:sz w:val="28"/>
          <w:szCs w:val="28"/>
          <w:highlight w:val="none"/>
        </w:rPr>
        <w:t>：</w:t>
      </w:r>
    </w:p>
    <w:p w14:paraId="0C104E29">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1）保证金试算超限：</w:t>
      </w:r>
    </w:p>
    <w:p w14:paraId="351FD7D7">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YYYY/MM/DD HH:MI:SS保证金试算超限、预警等级和风险等</w:t>
      </w:r>
      <w:r>
        <w:rPr>
          <w:rFonts w:ascii="仿宋_GB2312" w:hAnsi="仿宋_GB2312" w:eastAsia="仿宋_GB2312" w:cs="仿宋_GB2312"/>
          <w:kern w:val="0"/>
          <w:sz w:val="28"/>
          <w:szCs w:val="28"/>
          <w:highlight w:val="none"/>
        </w:rPr>
        <w:t>级</w:t>
      </w:r>
      <w:r>
        <w:rPr>
          <w:rFonts w:hint="eastAsia" w:ascii="仿宋_GB2312" w:hAnsi="仿宋_GB2312" w:eastAsia="仿宋_GB2312" w:cs="仿宋_GB2312"/>
          <w:kern w:val="0"/>
          <w:sz w:val="28"/>
          <w:szCs w:val="28"/>
          <w:highlight w:val="none"/>
        </w:rPr>
        <w:t>。</w:t>
      </w:r>
    </w:p>
    <w:p w14:paraId="21A820BC">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w:t>
      </w:r>
      <w:r>
        <w:rPr>
          <w:rFonts w:ascii="仿宋_GB2312" w:hAnsi="仿宋_GB2312" w:eastAsia="仿宋_GB2312" w:cs="仿宋_GB2312"/>
          <w:kern w:val="0"/>
          <w:sz w:val="28"/>
          <w:szCs w:val="28"/>
          <w:highlight w:val="none"/>
        </w:rPr>
        <w:t>)保证金不足</w:t>
      </w:r>
    </w:p>
    <w:p w14:paraId="5B8E1C97">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YYYY/MM/DD HH:MI:SS</w:t>
      </w:r>
      <w:r>
        <w:rPr>
          <w:rFonts w:ascii="仿宋_GB2312" w:hAnsi="仿宋_GB2312" w:eastAsia="仿宋_GB2312" w:cs="仿宋_GB2312"/>
          <w:kern w:val="0"/>
          <w:sz w:val="28"/>
          <w:szCs w:val="28"/>
          <w:highlight w:val="none"/>
        </w:rPr>
        <w:t>保证金不足</w:t>
      </w:r>
      <w:r>
        <w:rPr>
          <w:rFonts w:hint="eastAsia" w:ascii="仿宋_GB2312" w:hAnsi="仿宋_GB2312" w:eastAsia="仿宋_GB2312" w:cs="仿宋_GB2312"/>
          <w:kern w:val="0"/>
          <w:sz w:val="28"/>
          <w:szCs w:val="28"/>
          <w:highlight w:val="none"/>
        </w:rPr>
        <w:t>。</w:t>
      </w:r>
    </w:p>
    <w:p w14:paraId="75EBC111">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3）现金流预警</w:t>
      </w:r>
    </w:p>
    <w:p w14:paraId="66D724F0">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YYYY/MM/DD HH:MI:SS现金流预警、日应收/应付。</w:t>
      </w:r>
    </w:p>
    <w:p w14:paraId="66B0EA1F">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4）债券集中度预警</w:t>
      </w:r>
    </w:p>
    <w:p w14:paraId="2F55206F">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YYYY/MM/DD HH:MI:SS债券集中度预警、预警等级和风险等</w:t>
      </w:r>
      <w:r>
        <w:rPr>
          <w:rFonts w:ascii="仿宋_GB2312" w:hAnsi="仿宋_GB2312" w:eastAsia="仿宋_GB2312" w:cs="仿宋_GB2312"/>
          <w:kern w:val="0"/>
          <w:sz w:val="28"/>
          <w:szCs w:val="28"/>
          <w:highlight w:val="none"/>
        </w:rPr>
        <w:t>级</w:t>
      </w:r>
      <w:r>
        <w:rPr>
          <w:rFonts w:hint="eastAsia" w:ascii="仿宋_GB2312" w:hAnsi="仿宋_GB2312" w:eastAsia="仿宋_GB2312" w:cs="仿宋_GB2312"/>
          <w:kern w:val="0"/>
          <w:sz w:val="28"/>
          <w:szCs w:val="28"/>
          <w:highlight w:val="none"/>
        </w:rPr>
        <w:t>。</w:t>
      </w:r>
    </w:p>
    <w:p w14:paraId="6FCA0EC0">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5)清算基金不足预警</w:t>
      </w:r>
    </w:p>
    <w:p w14:paraId="35A4C014">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YYYY/MM/DD HH:MI:SS</w:t>
      </w:r>
      <w:r>
        <w:rPr>
          <w:rFonts w:ascii="仿宋_GB2312" w:hAnsi="仿宋_GB2312" w:eastAsia="仿宋_GB2312" w:cs="仿宋_GB2312"/>
          <w:kern w:val="0"/>
          <w:sz w:val="28"/>
          <w:szCs w:val="28"/>
          <w:highlight w:val="none"/>
        </w:rPr>
        <w:t>清算基金不足预警</w:t>
      </w:r>
      <w:r>
        <w:rPr>
          <w:rFonts w:hint="eastAsia" w:ascii="仿宋_GB2312" w:hAnsi="仿宋_GB2312" w:eastAsia="仿宋_GB2312" w:cs="仿宋_GB2312"/>
          <w:kern w:val="0"/>
          <w:sz w:val="28"/>
          <w:szCs w:val="28"/>
          <w:highlight w:val="none"/>
        </w:rPr>
        <w:t>、清算基金敞口覆盖率、监控指标值。</w:t>
      </w:r>
    </w:p>
    <w:p w14:paraId="0C69A180">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6</w:t>
      </w:r>
      <w:r>
        <w:rPr>
          <w:rFonts w:hint="eastAsia" w:ascii="仿宋_GB2312" w:hAnsi="仿宋_GB2312" w:eastAsia="仿宋_GB2312" w:cs="仿宋_GB2312"/>
          <w:kern w:val="0"/>
          <w:sz w:val="28"/>
          <w:szCs w:val="28"/>
          <w:highlight w:val="none"/>
        </w:rPr>
        <w:t>）风险敞口超限：</w:t>
      </w:r>
    </w:p>
    <w:p w14:paraId="4B6563FF">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YYYY/MM/DD HH:MI:SS风险敞口超限、预警等级和风险等</w:t>
      </w:r>
      <w:r>
        <w:rPr>
          <w:rFonts w:ascii="仿宋_GB2312" w:hAnsi="仿宋_GB2312" w:eastAsia="仿宋_GB2312" w:cs="仿宋_GB2312"/>
          <w:kern w:val="0"/>
          <w:sz w:val="28"/>
          <w:szCs w:val="28"/>
          <w:highlight w:val="none"/>
        </w:rPr>
        <w:t>级</w:t>
      </w:r>
      <w:r>
        <w:rPr>
          <w:rFonts w:hint="eastAsia" w:ascii="仿宋_GB2312" w:hAnsi="仿宋_GB2312" w:eastAsia="仿宋_GB2312" w:cs="仿宋_GB2312"/>
          <w:kern w:val="0"/>
          <w:sz w:val="28"/>
          <w:szCs w:val="28"/>
          <w:highlight w:val="none"/>
        </w:rPr>
        <w:t>。</w:t>
      </w:r>
    </w:p>
    <w:p w14:paraId="7A7E67D6">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7)保证金</w:t>
      </w:r>
      <w:r>
        <w:rPr>
          <w:rFonts w:hint="eastAsia" w:ascii="仿宋_GB2312" w:hAnsi="仿宋_GB2312" w:eastAsia="仿宋_GB2312" w:cs="仿宋_GB2312"/>
          <w:kern w:val="0"/>
          <w:sz w:val="28"/>
          <w:szCs w:val="28"/>
          <w:highlight w:val="none"/>
        </w:rPr>
        <w:t>追缴</w:t>
      </w:r>
    </w:p>
    <w:p w14:paraId="5E626411">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YYYY/MM/DD HH:MI:SS</w:t>
      </w:r>
      <w:r>
        <w:rPr>
          <w:rFonts w:ascii="仿宋_GB2312" w:hAnsi="仿宋_GB2312" w:eastAsia="仿宋_GB2312" w:cs="仿宋_GB2312"/>
          <w:kern w:val="0"/>
          <w:sz w:val="28"/>
          <w:szCs w:val="28"/>
          <w:highlight w:val="none"/>
        </w:rPr>
        <w:t>保证金</w:t>
      </w:r>
      <w:r>
        <w:rPr>
          <w:rFonts w:hint="eastAsia" w:ascii="仿宋_GB2312" w:hAnsi="仿宋_GB2312" w:eastAsia="仿宋_GB2312" w:cs="仿宋_GB2312"/>
          <w:kern w:val="0"/>
          <w:sz w:val="28"/>
          <w:szCs w:val="28"/>
          <w:highlight w:val="none"/>
        </w:rPr>
        <w:t>追缴、应追加金额和在途金额。</w:t>
      </w:r>
    </w:p>
    <w:p w14:paraId="7FA5CC98">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3</w:t>
      </w:r>
      <w:r>
        <w:rPr>
          <w:rFonts w:hint="eastAsia" w:ascii="仿宋_GB2312" w:hAnsi="仿宋_GB2312" w:eastAsia="仿宋_GB2312" w:cs="仿宋_GB2312"/>
          <w:kern w:val="0"/>
          <w:sz w:val="28"/>
          <w:szCs w:val="28"/>
          <w:highlight w:val="none"/>
        </w:rPr>
        <w:t>）资金结算情况，</w:t>
      </w:r>
      <w:r>
        <w:rPr>
          <w:rFonts w:ascii="仿宋_GB2312" w:hAnsi="仿宋_GB2312" w:eastAsia="仿宋_GB2312" w:cs="仿宋_GB2312"/>
          <w:kern w:val="0"/>
          <w:sz w:val="28"/>
          <w:szCs w:val="28"/>
          <w:highlight w:val="none"/>
        </w:rPr>
        <w:t>由汇总表和详细信息构成</w:t>
      </w:r>
      <w:r>
        <w:rPr>
          <w:rFonts w:hint="eastAsia" w:ascii="仿宋_GB2312" w:hAnsi="仿宋_GB2312" w:eastAsia="仿宋_GB2312" w:cs="仿宋_GB2312"/>
          <w:kern w:val="0"/>
          <w:sz w:val="28"/>
          <w:szCs w:val="28"/>
          <w:highlight w:val="none"/>
        </w:rPr>
        <w:t>。</w:t>
      </w:r>
    </w:p>
    <w:p w14:paraId="16A6DD0E">
      <w:pPr>
        <w:ind w:firstLine="640"/>
        <w:rPr>
          <w:rFonts w:hint="default" w:ascii="仿宋_GB2312" w:hAnsi="仿宋_GB2312" w:eastAsia="仿宋_GB2312" w:cs="仿宋_GB2312"/>
          <w:kern w:val="0"/>
          <w:sz w:val="28"/>
          <w:szCs w:val="28"/>
          <w:highlight w:val="none"/>
          <w:lang w:val="en-US" w:eastAsia="zh-CN"/>
        </w:rPr>
      </w:pPr>
      <w:r>
        <w:rPr>
          <w:rFonts w:ascii="仿宋_GB2312" w:hAnsi="仿宋_GB2312" w:eastAsia="仿宋_GB2312" w:cs="仿宋_GB2312"/>
          <w:kern w:val="0"/>
          <w:sz w:val="28"/>
          <w:szCs w:val="28"/>
          <w:highlight w:val="none"/>
        </w:rPr>
        <w:t>汇总表今日数据实时</w:t>
      </w:r>
      <w:r>
        <w:rPr>
          <w:rFonts w:hint="eastAsia" w:ascii="仿宋_GB2312" w:hAnsi="仿宋_GB2312" w:eastAsia="仿宋_GB2312" w:cs="仿宋_GB2312"/>
          <w:kern w:val="0"/>
          <w:sz w:val="28"/>
          <w:szCs w:val="28"/>
          <w:highlight w:val="none"/>
        </w:rPr>
        <w:t>/每1秒更新，“应履行”指符合条件的记录数，其他数据</w:t>
      </w:r>
      <w:r>
        <w:rPr>
          <w:rFonts w:hint="eastAsia" w:ascii="仿宋_GB2312" w:hAnsi="仿宋_GB2312" w:eastAsia="仿宋_GB2312" w:cs="仿宋_GB2312"/>
          <w:kern w:val="0"/>
          <w:sz w:val="28"/>
          <w:szCs w:val="28"/>
          <w:highlight w:val="none"/>
          <w:lang w:val="en-US" w:eastAsia="zh-CN"/>
        </w:rPr>
        <w:t>把应履行、交割中、截止种共13种状态映射到处理中、成功、处置完成、排除等含义上。</w:t>
      </w:r>
    </w:p>
    <w:p w14:paraId="7D7E887F">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详细信息为超链接可以点击</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点击后</w:t>
      </w:r>
      <w:r>
        <w:rPr>
          <w:rFonts w:hint="eastAsia" w:ascii="仿宋_GB2312" w:hAnsi="仿宋_GB2312" w:eastAsia="仿宋_GB2312" w:cs="仿宋_GB2312"/>
          <w:kern w:val="0"/>
          <w:sz w:val="28"/>
          <w:szCs w:val="28"/>
          <w:highlight w:val="none"/>
        </w:rPr>
        <w:t>跳转</w:t>
      </w:r>
      <w:r>
        <w:rPr>
          <w:rFonts w:ascii="仿宋_GB2312" w:hAnsi="仿宋_GB2312" w:eastAsia="仿宋_GB2312" w:cs="仿宋_GB2312"/>
          <w:kern w:val="0"/>
          <w:sz w:val="28"/>
          <w:szCs w:val="28"/>
          <w:highlight w:val="none"/>
        </w:rPr>
        <w:t>至详情</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该条</w:t>
      </w:r>
      <w:r>
        <w:rPr>
          <w:rFonts w:ascii="仿宋_GB2312" w:hAnsi="仿宋_GB2312" w:eastAsia="仿宋_GB2312" w:cs="仿宋_GB2312"/>
          <w:kern w:val="0"/>
          <w:sz w:val="28"/>
          <w:szCs w:val="28"/>
          <w:highlight w:val="none"/>
        </w:rPr>
        <w:t>对应的数据记录</w:t>
      </w:r>
      <w:r>
        <w:rPr>
          <w:rFonts w:hint="eastAsia" w:ascii="仿宋_GB2312" w:hAnsi="仿宋_GB2312" w:eastAsia="仿宋_GB2312" w:cs="仿宋_GB2312"/>
          <w:kern w:val="0"/>
          <w:sz w:val="28"/>
          <w:szCs w:val="28"/>
          <w:highlight w:val="none"/>
        </w:rPr>
        <w:t>（保留原表所有有意义的要素）。取数据记录中状态为“</w:t>
      </w:r>
      <w:r>
        <w:rPr>
          <w:rFonts w:ascii="仿宋_GB2312" w:hAnsi="仿宋_GB2312" w:eastAsia="仿宋_GB2312" w:cs="仿宋_GB2312"/>
          <w:kern w:val="0"/>
          <w:sz w:val="28"/>
          <w:szCs w:val="28"/>
          <w:highlight w:val="none"/>
        </w:rPr>
        <w:t>违约</w:t>
      </w:r>
      <w:r>
        <w:rPr>
          <w:rFonts w:hint="eastAsia" w:ascii="仿宋_GB2312" w:hAnsi="仿宋_GB2312" w:eastAsia="仿宋_GB2312" w:cs="仿宋_GB2312"/>
          <w:kern w:val="0"/>
          <w:sz w:val="28"/>
          <w:szCs w:val="28"/>
          <w:highlight w:val="none"/>
        </w:rPr>
        <w:t>”的记录，</w:t>
      </w: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YYYY/MM/DD HH:MI:SS资金支付</w:t>
      </w:r>
      <w:r>
        <w:rPr>
          <w:rFonts w:ascii="仿宋_GB2312" w:hAnsi="仿宋_GB2312" w:eastAsia="仿宋_GB2312" w:cs="仿宋_GB2312"/>
          <w:kern w:val="0"/>
          <w:sz w:val="28"/>
          <w:szCs w:val="28"/>
          <w:highlight w:val="none"/>
        </w:rPr>
        <w:t>违约</w:t>
      </w:r>
      <w:r>
        <w:rPr>
          <w:rFonts w:hint="eastAsia" w:ascii="仿宋_GB2312" w:hAnsi="仿宋_GB2312" w:eastAsia="仿宋_GB2312" w:cs="仿宋_GB2312"/>
          <w:kern w:val="0"/>
          <w:sz w:val="28"/>
          <w:szCs w:val="28"/>
          <w:highlight w:val="none"/>
        </w:rPr>
        <w:t>。</w:t>
      </w:r>
    </w:p>
    <w:p w14:paraId="2271028F">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4</w:t>
      </w:r>
      <w:r>
        <w:rPr>
          <w:rFonts w:hint="eastAsia" w:ascii="仿宋_GB2312" w:hAnsi="仿宋_GB2312" w:eastAsia="仿宋_GB2312" w:cs="仿宋_GB2312"/>
          <w:kern w:val="0"/>
          <w:sz w:val="28"/>
          <w:szCs w:val="28"/>
          <w:highlight w:val="none"/>
        </w:rPr>
        <w:t>）债券交割情况，</w:t>
      </w:r>
      <w:r>
        <w:rPr>
          <w:rFonts w:ascii="仿宋_GB2312" w:hAnsi="仿宋_GB2312" w:eastAsia="仿宋_GB2312" w:cs="仿宋_GB2312"/>
          <w:kern w:val="0"/>
          <w:sz w:val="28"/>
          <w:szCs w:val="28"/>
          <w:highlight w:val="none"/>
        </w:rPr>
        <w:t>由汇总表和详细信息构成</w:t>
      </w:r>
      <w:r>
        <w:rPr>
          <w:rFonts w:hint="eastAsia" w:ascii="仿宋_GB2312" w:hAnsi="仿宋_GB2312" w:eastAsia="仿宋_GB2312" w:cs="仿宋_GB2312"/>
          <w:kern w:val="0"/>
          <w:sz w:val="28"/>
          <w:szCs w:val="28"/>
          <w:highlight w:val="none"/>
        </w:rPr>
        <w:t>。</w:t>
      </w:r>
    </w:p>
    <w:p w14:paraId="647BFCB1">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汇总表今日数据实时</w:t>
      </w:r>
      <w:r>
        <w:rPr>
          <w:rFonts w:hint="eastAsia" w:ascii="仿宋_GB2312" w:hAnsi="仿宋_GB2312" w:eastAsia="仿宋_GB2312" w:cs="仿宋_GB2312"/>
          <w:kern w:val="0"/>
          <w:sz w:val="28"/>
          <w:szCs w:val="28"/>
          <w:highlight w:val="none"/>
        </w:rPr>
        <w:t>/每1秒更新，“应履行”指符合条件的记录数，其他数据</w:t>
      </w:r>
      <w:r>
        <w:rPr>
          <w:rFonts w:hint="eastAsia" w:ascii="仿宋_GB2312" w:hAnsi="仿宋_GB2312" w:eastAsia="仿宋_GB2312" w:cs="仿宋_GB2312"/>
          <w:kern w:val="0"/>
          <w:sz w:val="28"/>
          <w:szCs w:val="28"/>
          <w:highlight w:val="none"/>
          <w:lang w:val="en-US" w:eastAsia="zh-CN"/>
        </w:rPr>
        <w:t>把应履行、交割中、截止种共13种状态映射到处理中、成功、处置完成、排除等含义上。</w:t>
      </w:r>
    </w:p>
    <w:p w14:paraId="60690A0E">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详细信息为超链接可以点击</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点击后</w:t>
      </w:r>
      <w:r>
        <w:rPr>
          <w:rFonts w:hint="eastAsia" w:ascii="仿宋_GB2312" w:hAnsi="仿宋_GB2312" w:eastAsia="仿宋_GB2312" w:cs="仿宋_GB2312"/>
          <w:kern w:val="0"/>
          <w:sz w:val="28"/>
          <w:szCs w:val="28"/>
          <w:highlight w:val="none"/>
        </w:rPr>
        <w:t>跳转</w:t>
      </w:r>
      <w:r>
        <w:rPr>
          <w:rFonts w:ascii="仿宋_GB2312" w:hAnsi="仿宋_GB2312" w:eastAsia="仿宋_GB2312" w:cs="仿宋_GB2312"/>
          <w:kern w:val="0"/>
          <w:sz w:val="28"/>
          <w:szCs w:val="28"/>
          <w:highlight w:val="none"/>
        </w:rPr>
        <w:t>至详情</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该条</w:t>
      </w:r>
      <w:r>
        <w:rPr>
          <w:rFonts w:ascii="仿宋_GB2312" w:hAnsi="仿宋_GB2312" w:eastAsia="仿宋_GB2312" w:cs="仿宋_GB2312"/>
          <w:kern w:val="0"/>
          <w:sz w:val="28"/>
          <w:szCs w:val="28"/>
          <w:highlight w:val="none"/>
        </w:rPr>
        <w:t>对应的数据记录</w:t>
      </w:r>
      <w:r>
        <w:rPr>
          <w:rFonts w:hint="eastAsia" w:ascii="仿宋_GB2312" w:hAnsi="仿宋_GB2312" w:eastAsia="仿宋_GB2312" w:cs="仿宋_GB2312"/>
          <w:kern w:val="0"/>
          <w:sz w:val="28"/>
          <w:szCs w:val="28"/>
          <w:highlight w:val="none"/>
        </w:rPr>
        <w:t>（保留原表所有有意义的要素）。取数据记录中状态为“D</w:t>
      </w:r>
      <w:r>
        <w:rPr>
          <w:rFonts w:ascii="仿宋_GB2312" w:hAnsi="仿宋_GB2312" w:eastAsia="仿宋_GB2312" w:cs="仿宋_GB2312"/>
          <w:kern w:val="0"/>
          <w:sz w:val="28"/>
          <w:szCs w:val="28"/>
          <w:highlight w:val="none"/>
        </w:rPr>
        <w:t>-违约</w:t>
      </w:r>
      <w:r>
        <w:rPr>
          <w:rFonts w:hint="eastAsia" w:ascii="仿宋_GB2312" w:hAnsi="仿宋_GB2312" w:eastAsia="仿宋_GB2312" w:cs="仿宋_GB2312"/>
          <w:kern w:val="0"/>
          <w:sz w:val="28"/>
          <w:szCs w:val="28"/>
          <w:highlight w:val="none"/>
        </w:rPr>
        <w:t>”的记录，</w:t>
      </w: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YYYY/MM/DD HH:MI:SS债券交割</w:t>
      </w:r>
      <w:r>
        <w:rPr>
          <w:rFonts w:ascii="仿宋_GB2312" w:hAnsi="仿宋_GB2312" w:eastAsia="仿宋_GB2312" w:cs="仿宋_GB2312"/>
          <w:kern w:val="0"/>
          <w:sz w:val="28"/>
          <w:szCs w:val="28"/>
          <w:highlight w:val="none"/>
        </w:rPr>
        <w:t>违约</w:t>
      </w:r>
      <w:r>
        <w:rPr>
          <w:rFonts w:hint="eastAsia" w:ascii="仿宋_GB2312" w:hAnsi="仿宋_GB2312" w:eastAsia="仿宋_GB2312" w:cs="仿宋_GB2312"/>
          <w:kern w:val="0"/>
          <w:sz w:val="28"/>
          <w:szCs w:val="28"/>
          <w:highlight w:val="none"/>
        </w:rPr>
        <w:t>和面额。</w:t>
      </w:r>
    </w:p>
    <w:p w14:paraId="38B39753">
      <w:pPr>
        <w:pStyle w:val="5"/>
        <w:numPr>
          <w:ilvl w:val="2"/>
          <w:numId w:val="0"/>
        </w:numPr>
        <w:ind w:left="1224" w:leftChars="0" w:hanging="504" w:firstLineChars="0"/>
        <w:rPr>
          <w:rFonts w:hint="eastAsia" w:ascii="仿宋" w:hAnsi="仿宋" w:eastAsia="仿宋"/>
          <w:sz w:val="30"/>
          <w:szCs w:val="30"/>
          <w:highlight w:val="none"/>
        </w:rPr>
      </w:pPr>
      <w:r>
        <w:rPr>
          <w:rFonts w:hint="eastAsia" w:ascii="仿宋" w:hAnsi="仿宋" w:eastAsia="仿宋" w:cs="Times New Roman"/>
          <w:b/>
          <w:bCs/>
          <w:kern w:val="2"/>
          <w:sz w:val="30"/>
          <w:szCs w:val="30"/>
          <w:highlight w:val="none"/>
          <w:lang w:val="en-US" w:eastAsia="zh-CN" w:bidi="ar-SA"/>
        </w:rPr>
        <w:t>5.3.4.</w:t>
      </w:r>
      <w:r>
        <w:rPr>
          <w:rFonts w:hint="eastAsia" w:ascii="仿宋" w:hAnsi="仿宋" w:eastAsia="仿宋"/>
          <w:sz w:val="30"/>
          <w:szCs w:val="30"/>
          <w:highlight w:val="none"/>
        </w:rPr>
        <w:t>债券登记托管监测模块</w:t>
      </w:r>
    </w:p>
    <w:p w14:paraId="5CC115A1">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所有数据实时更新或以不低于</w:t>
      </w:r>
      <w:r>
        <w:rPr>
          <w:rFonts w:hint="eastAsia" w:ascii="仿宋_GB2312" w:hAnsi="仿宋_GB2312" w:eastAsia="仿宋_GB2312" w:cs="仿宋_GB2312"/>
          <w:kern w:val="0"/>
          <w:sz w:val="28"/>
          <w:szCs w:val="28"/>
          <w:highlight w:val="none"/>
        </w:rPr>
        <w:t>1分钟的频率更新。</w:t>
      </w:r>
    </w:p>
    <w:p w14:paraId="7667B074">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（1）今日发行兑付，统计表+簇状</w:t>
      </w:r>
      <w:r>
        <w:rPr>
          <w:rFonts w:ascii="仿宋_GB2312" w:hAnsi="仿宋_GB2312" w:eastAsia="仿宋_GB2312" w:cs="仿宋_GB2312"/>
          <w:kern w:val="0"/>
          <w:sz w:val="28"/>
          <w:szCs w:val="28"/>
          <w:highlight w:val="none"/>
        </w:rPr>
        <w:t>柱形图</w:t>
      </w:r>
      <w:r>
        <w:rPr>
          <w:rFonts w:hint="eastAsia" w:ascii="仿宋_GB2312" w:hAnsi="仿宋_GB2312" w:eastAsia="仿宋_GB2312" w:cs="仿宋_GB2312"/>
          <w:kern w:val="0"/>
          <w:sz w:val="28"/>
          <w:szCs w:val="28"/>
          <w:highlight w:val="none"/>
        </w:rPr>
        <w:t>。</w:t>
      </w:r>
    </w:p>
    <w:p w14:paraId="02E952B9">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发行，</w:t>
      </w:r>
      <w:r>
        <w:rPr>
          <w:rFonts w:ascii="仿宋_GB2312" w:hAnsi="仿宋_GB2312" w:eastAsia="仿宋_GB2312" w:cs="仿宋_GB2312"/>
          <w:kern w:val="0"/>
          <w:sz w:val="28"/>
          <w:szCs w:val="28"/>
          <w:highlight w:val="none"/>
        </w:rPr>
        <w:t>登记日为当日</w:t>
      </w:r>
      <w:r>
        <w:rPr>
          <w:rFonts w:hint="eastAsia" w:ascii="仿宋_GB2312" w:hAnsi="仿宋_GB2312" w:eastAsia="仿宋_GB2312" w:cs="仿宋_GB2312"/>
          <w:kern w:val="0"/>
          <w:sz w:val="28"/>
          <w:szCs w:val="28"/>
          <w:highlight w:val="none"/>
        </w:rPr>
        <w:t>。笔数为记录数，面额与发行量统计口径一致，纳入或排除的债券类型同发行量口径。</w:t>
      </w:r>
    </w:p>
    <w:p w14:paraId="4C172AFE">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兑付</w:t>
      </w:r>
      <w:r>
        <w:rPr>
          <w:rFonts w:hint="eastAsia" w:ascii="仿宋_GB2312" w:hAnsi="仿宋_GB2312" w:eastAsia="仿宋_GB2312" w:cs="仿宋_GB2312"/>
          <w:kern w:val="0"/>
          <w:sz w:val="28"/>
          <w:szCs w:val="28"/>
          <w:highlight w:val="none"/>
        </w:rPr>
        <w:t>，口径与兑付本金统计口径一致，纳入或排除的债券类型亦同。</w:t>
      </w:r>
    </w:p>
    <w:p w14:paraId="2FD93D6D">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托管变动，按统计口径</w:t>
      </w:r>
      <w:r>
        <w:rPr>
          <w:rFonts w:ascii="仿宋_GB2312" w:hAnsi="仿宋_GB2312" w:eastAsia="仿宋_GB2312" w:cs="仿宋_GB2312"/>
          <w:kern w:val="0"/>
          <w:sz w:val="28"/>
          <w:szCs w:val="28"/>
          <w:highlight w:val="none"/>
        </w:rPr>
        <w:t>折人民币</w:t>
      </w:r>
      <w:r>
        <w:rPr>
          <w:rFonts w:hint="eastAsia" w:ascii="仿宋_GB2312" w:hAnsi="仿宋_GB2312" w:eastAsia="仿宋_GB2312" w:cs="仿宋_GB2312"/>
          <w:kern w:val="0"/>
          <w:sz w:val="28"/>
          <w:szCs w:val="28"/>
          <w:highlight w:val="none"/>
        </w:rPr>
        <w:t>。纳入或排除的债券类型同托管余额口径。</w:t>
      </w:r>
    </w:p>
    <w:p w14:paraId="3C163F56">
      <w:pPr>
        <w:ind w:firstLine="640"/>
        <w:rPr>
          <w:rFonts w:hint="default" w:ascii="仿宋_GB2312" w:hAnsi="仿宋_GB2312" w:eastAsia="仿宋_GB2312" w:cs="仿宋_GB2312"/>
          <w:kern w:val="0"/>
          <w:sz w:val="28"/>
          <w:szCs w:val="28"/>
          <w:highlight w:val="none"/>
          <w:lang w:val="en-US" w:eastAsia="zh-CN"/>
        </w:rPr>
      </w:pPr>
      <w:r>
        <w:rPr>
          <w:rFonts w:ascii="仿宋_GB2312" w:hAnsi="仿宋_GB2312" w:eastAsia="仿宋_GB2312" w:cs="仿宋_GB2312"/>
          <w:kern w:val="0"/>
          <w:sz w:val="28"/>
          <w:szCs w:val="28"/>
          <w:highlight w:val="none"/>
        </w:rPr>
        <w:t>簇状柱形图</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按债券类别分簇</w:t>
      </w:r>
      <w:r>
        <w:rPr>
          <w:rFonts w:hint="eastAsia" w:ascii="仿宋_GB2312" w:hAnsi="仿宋_GB2312" w:eastAsia="仿宋_GB2312" w:cs="仿宋_GB2312"/>
          <w:kern w:val="0"/>
          <w:sz w:val="28"/>
          <w:szCs w:val="28"/>
          <w:highlight w:val="none"/>
        </w:rPr>
        <w:t>，每簇两个柱形，左柱为发行量，右柱为兑付面额。债券类别</w:t>
      </w:r>
      <w:r>
        <w:rPr>
          <w:rFonts w:hint="eastAsia" w:ascii="仿宋_GB2312" w:hAnsi="仿宋_GB2312" w:eastAsia="仿宋_GB2312" w:cs="仿宋_GB2312"/>
          <w:kern w:val="0"/>
          <w:sz w:val="28"/>
          <w:szCs w:val="28"/>
          <w:highlight w:val="none"/>
          <w:lang w:val="en-US" w:eastAsia="zh-CN"/>
        </w:rPr>
        <w:t>包含银行债、信用债、同业存单等9种类别。</w:t>
      </w:r>
    </w:p>
    <w:p w14:paraId="31075E86">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（2）发行事件，</w:t>
      </w:r>
      <w:r>
        <w:rPr>
          <w:rFonts w:ascii="仿宋_GB2312" w:hAnsi="仿宋_GB2312" w:eastAsia="仿宋_GB2312" w:cs="仿宋_GB2312"/>
          <w:kern w:val="0"/>
          <w:sz w:val="28"/>
          <w:szCs w:val="28"/>
          <w:highlight w:val="none"/>
        </w:rPr>
        <w:t>详细信息</w:t>
      </w:r>
    </w:p>
    <w:p w14:paraId="02C1FD4C">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显示内容</w:t>
      </w:r>
      <w:r>
        <w:rPr>
          <w:rFonts w:hint="eastAsia" w:ascii="仿宋_GB2312" w:hAnsi="仿宋_GB2312" w:eastAsia="仿宋_GB2312" w:cs="仿宋_GB2312"/>
          <w:kern w:val="0"/>
          <w:sz w:val="28"/>
          <w:szCs w:val="28"/>
          <w:highlight w:val="none"/>
        </w:rPr>
        <w:t>：债券代码、债券名称、变动原因。</w:t>
      </w:r>
    </w:p>
    <w:p w14:paraId="2B358258">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（3）兑付事件，</w:t>
      </w:r>
      <w:r>
        <w:rPr>
          <w:rFonts w:ascii="仿宋_GB2312" w:hAnsi="仿宋_GB2312" w:eastAsia="仿宋_GB2312" w:cs="仿宋_GB2312"/>
          <w:kern w:val="0"/>
          <w:sz w:val="28"/>
          <w:szCs w:val="28"/>
          <w:highlight w:val="none"/>
        </w:rPr>
        <w:t>详细信息</w:t>
      </w:r>
    </w:p>
    <w:p w14:paraId="3C1C9792">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YYYY/MM/DD HH:MI:SS：</w:t>
      </w:r>
      <w:r>
        <w:rPr>
          <w:rFonts w:ascii="仿宋_GB2312" w:hAnsi="仿宋_GB2312" w:eastAsia="仿宋_GB2312" w:cs="仿宋_GB2312"/>
          <w:kern w:val="0"/>
          <w:sz w:val="28"/>
          <w:szCs w:val="28"/>
          <w:highlight w:val="none"/>
        </w:rPr>
        <w:t>兑付</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兑付本金</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兑付利息</w:t>
      </w:r>
      <w:r>
        <w:rPr>
          <w:rFonts w:hint="eastAsia" w:ascii="仿宋_GB2312" w:hAnsi="仿宋_GB2312" w:eastAsia="仿宋_GB2312" w:cs="仿宋_GB2312"/>
          <w:kern w:val="0"/>
          <w:sz w:val="28"/>
          <w:szCs w:val="28"/>
          <w:highlight w:val="none"/>
        </w:rPr>
        <w:t>。</w:t>
      </w:r>
    </w:p>
    <w:p w14:paraId="2FEF979A">
      <w:pPr>
        <w:pStyle w:val="5"/>
        <w:numPr>
          <w:ilvl w:val="2"/>
          <w:numId w:val="0"/>
        </w:numPr>
        <w:ind w:left="1224" w:leftChars="0" w:hanging="504" w:firstLineChars="0"/>
        <w:rPr>
          <w:rFonts w:hint="eastAsia" w:ascii="仿宋" w:hAnsi="仿宋" w:eastAsia="仿宋"/>
          <w:sz w:val="30"/>
          <w:szCs w:val="30"/>
          <w:highlight w:val="none"/>
        </w:rPr>
      </w:pPr>
      <w:r>
        <w:rPr>
          <w:rFonts w:hint="eastAsia" w:ascii="仿宋" w:hAnsi="仿宋" w:eastAsia="仿宋" w:cs="Times New Roman"/>
          <w:b/>
          <w:bCs/>
          <w:kern w:val="2"/>
          <w:sz w:val="30"/>
          <w:szCs w:val="30"/>
          <w:highlight w:val="none"/>
          <w:lang w:val="en-US" w:eastAsia="zh-CN" w:bidi="ar-SA"/>
        </w:rPr>
        <w:t>5.3.5.</w:t>
      </w:r>
      <w:r>
        <w:rPr>
          <w:rFonts w:hint="eastAsia" w:ascii="仿宋" w:hAnsi="仿宋" w:eastAsia="仿宋"/>
          <w:sz w:val="30"/>
          <w:szCs w:val="30"/>
          <w:highlight w:val="none"/>
        </w:rPr>
        <w:t>外汇清算监测模块</w:t>
      </w:r>
    </w:p>
    <w:p w14:paraId="1597C770">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（1）今日结算进度，统计表+</w:t>
      </w:r>
      <w:r>
        <w:rPr>
          <w:rFonts w:ascii="仿宋_GB2312" w:hAnsi="仿宋_GB2312" w:eastAsia="仿宋_GB2312" w:cs="仿宋_GB2312"/>
          <w:kern w:val="0"/>
          <w:sz w:val="28"/>
          <w:szCs w:val="28"/>
          <w:highlight w:val="none"/>
        </w:rPr>
        <w:t>堆积面积图</w:t>
      </w:r>
      <w:r>
        <w:rPr>
          <w:rFonts w:hint="eastAsia" w:ascii="仿宋_GB2312" w:hAnsi="仿宋_GB2312" w:eastAsia="仿宋_GB2312" w:cs="仿宋_GB2312"/>
          <w:kern w:val="0"/>
          <w:sz w:val="28"/>
          <w:szCs w:val="28"/>
          <w:highlight w:val="none"/>
        </w:rPr>
        <w:t>。</w:t>
      </w:r>
    </w:p>
    <w:p w14:paraId="7ACADB04">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图表左上角有下拉菜单</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枚举值</w:t>
      </w:r>
      <w:r>
        <w:rPr>
          <w:rFonts w:hint="eastAsia" w:ascii="仿宋_GB2312" w:hAnsi="仿宋_GB2312" w:eastAsia="仿宋_GB2312" w:cs="仿宋_GB2312"/>
          <w:kern w:val="0"/>
          <w:sz w:val="28"/>
          <w:szCs w:val="28"/>
          <w:highlight w:val="none"/>
        </w:rPr>
        <w:t>：外汇</w:t>
      </w:r>
      <w:r>
        <w:rPr>
          <w:rFonts w:ascii="仿宋_GB2312" w:hAnsi="仿宋_GB2312" w:eastAsia="仿宋_GB2312" w:cs="仿宋_GB2312"/>
          <w:kern w:val="0"/>
          <w:sz w:val="28"/>
          <w:szCs w:val="28"/>
          <w:highlight w:val="none"/>
        </w:rPr>
        <w:t>CCP</w:t>
      </w:r>
      <w:r>
        <w:rPr>
          <w:rFonts w:hint="eastAsia" w:ascii="仿宋_GB2312" w:hAnsi="仿宋_GB2312" w:eastAsia="仿宋_GB2312" w:cs="仿宋_GB2312"/>
          <w:kern w:val="0"/>
          <w:sz w:val="28"/>
          <w:szCs w:val="28"/>
          <w:highlight w:val="none"/>
        </w:rPr>
        <w:t>、人民币外汇询价、人民币外汇竞价、外币对询价、外币对竞价、跨境外汇交易明细。</w:t>
      </w:r>
    </w:p>
    <w:p w14:paraId="5A06A41D">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堆积面积图</w:t>
      </w:r>
      <w:r>
        <w:rPr>
          <w:rFonts w:hint="eastAsia" w:ascii="仿宋_GB2312" w:hAnsi="仿宋_GB2312" w:eastAsia="仿宋_GB2312" w:cs="仿宋_GB2312"/>
          <w:kern w:val="0"/>
          <w:sz w:val="28"/>
          <w:szCs w:val="28"/>
          <w:highlight w:val="none"/>
        </w:rPr>
        <w:t>，从上到下3条线：已收到、已接单、已拒绝，已收到-已接单-已拒绝的差值即为处理中。已拒绝线下方区域填充半透明浅红色，已接单-已拒绝线间区域填充半透明浅蓝色，已收到-已接单线间区域填充半透明浅黄色，红色、黄色区域从左到右保持渐变波浪式动态颜色变化。</w:t>
      </w:r>
      <w:r>
        <w:rPr>
          <w:rFonts w:hint="eastAsia" w:ascii="仿宋_GB2312" w:hAnsi="仿宋_GB2312" w:eastAsia="仿宋_GB2312" w:cs="仿宋_GB2312"/>
          <w:kern w:val="0"/>
          <w:sz w:val="28"/>
          <w:szCs w:val="28"/>
          <w:highlight w:val="none"/>
          <w:lang w:val="en-US" w:eastAsia="zh-CN"/>
        </w:rPr>
        <w:t>把待检查、作废、清算退出、带判定共16种状态映射到处理中、排除、已接单、已拒绝等含义上。</w:t>
      </w:r>
    </w:p>
    <w:p w14:paraId="3FE52256">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（2）清算</w:t>
      </w:r>
      <w:r>
        <w:rPr>
          <w:rFonts w:ascii="仿宋_GB2312" w:hAnsi="仿宋_GB2312" w:eastAsia="仿宋_GB2312" w:cs="仿宋_GB2312"/>
          <w:kern w:val="0"/>
          <w:sz w:val="28"/>
          <w:szCs w:val="28"/>
          <w:highlight w:val="none"/>
        </w:rPr>
        <w:t>风险预警</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由汇总表和详细信息构成</w:t>
      </w:r>
      <w:r>
        <w:rPr>
          <w:rFonts w:hint="eastAsia" w:ascii="仿宋_GB2312" w:hAnsi="仿宋_GB2312" w:eastAsia="仿宋_GB2312" w:cs="仿宋_GB2312"/>
          <w:kern w:val="0"/>
          <w:sz w:val="28"/>
          <w:szCs w:val="28"/>
          <w:highlight w:val="none"/>
        </w:rPr>
        <w:t>。</w:t>
      </w:r>
    </w:p>
    <w:p w14:paraId="54631AAD">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汇总表今日数据实时</w:t>
      </w:r>
      <w:r>
        <w:rPr>
          <w:rFonts w:hint="eastAsia" w:ascii="仿宋_GB2312" w:hAnsi="仿宋_GB2312" w:eastAsia="仿宋_GB2312" w:cs="仿宋_GB2312"/>
          <w:kern w:val="0"/>
          <w:sz w:val="28"/>
          <w:szCs w:val="28"/>
          <w:highlight w:val="none"/>
        </w:rPr>
        <w:t>/每1秒更新，昨日、历史峰值数，均取日终数，全天不变，历史峰值数日终与今日数比较，逐日更新。此处数据为数据记录数。</w:t>
      </w:r>
    </w:p>
    <w:p w14:paraId="79034C17">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详细信息为超链接可以点击</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点击后</w:t>
      </w:r>
      <w:r>
        <w:rPr>
          <w:rFonts w:hint="eastAsia" w:ascii="仿宋_GB2312" w:hAnsi="仿宋_GB2312" w:eastAsia="仿宋_GB2312" w:cs="仿宋_GB2312"/>
          <w:kern w:val="0"/>
          <w:sz w:val="28"/>
          <w:szCs w:val="28"/>
          <w:highlight w:val="none"/>
        </w:rPr>
        <w:t>跳转</w:t>
      </w:r>
      <w:r>
        <w:rPr>
          <w:rFonts w:ascii="仿宋_GB2312" w:hAnsi="仿宋_GB2312" w:eastAsia="仿宋_GB2312" w:cs="仿宋_GB2312"/>
          <w:kern w:val="0"/>
          <w:sz w:val="28"/>
          <w:szCs w:val="28"/>
          <w:highlight w:val="none"/>
        </w:rPr>
        <w:t>至详情</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该条</w:t>
      </w:r>
      <w:r>
        <w:rPr>
          <w:rFonts w:ascii="仿宋_GB2312" w:hAnsi="仿宋_GB2312" w:eastAsia="仿宋_GB2312" w:cs="仿宋_GB2312"/>
          <w:kern w:val="0"/>
          <w:sz w:val="28"/>
          <w:szCs w:val="28"/>
          <w:highlight w:val="none"/>
        </w:rPr>
        <w:t>对应的数据记录</w:t>
      </w:r>
      <w:r>
        <w:rPr>
          <w:rFonts w:hint="eastAsia" w:ascii="仿宋_GB2312" w:hAnsi="仿宋_GB2312" w:eastAsia="仿宋_GB2312" w:cs="仿宋_GB2312"/>
          <w:kern w:val="0"/>
          <w:sz w:val="28"/>
          <w:szCs w:val="28"/>
          <w:highlight w:val="none"/>
        </w:rPr>
        <w:t>（保留原表所有有意义的要素）。</w:t>
      </w:r>
    </w:p>
    <w:p w14:paraId="0E8B081E">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清算</w:t>
      </w:r>
      <w:r>
        <w:rPr>
          <w:rFonts w:ascii="仿宋_GB2312" w:hAnsi="仿宋_GB2312" w:eastAsia="仿宋_GB2312" w:cs="仿宋_GB2312"/>
          <w:kern w:val="0"/>
          <w:sz w:val="28"/>
          <w:szCs w:val="28"/>
          <w:highlight w:val="none"/>
        </w:rPr>
        <w:t>风险由以下事件触发</w:t>
      </w:r>
      <w:r>
        <w:rPr>
          <w:rFonts w:hint="eastAsia" w:ascii="仿宋_GB2312" w:hAnsi="仿宋_GB2312" w:eastAsia="仿宋_GB2312" w:cs="仿宋_GB2312"/>
          <w:kern w:val="0"/>
          <w:sz w:val="28"/>
          <w:szCs w:val="28"/>
          <w:highlight w:val="none"/>
        </w:rPr>
        <w:t>：</w:t>
      </w:r>
    </w:p>
    <w:p w14:paraId="06C320D2">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1）保证金试算超限：</w:t>
      </w:r>
    </w:p>
    <w:p w14:paraId="48C4B4D8">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YYYY/MM/DD HH:MI:SS保证金试算超限v2</w:t>
      </w:r>
      <w:r>
        <w:rPr>
          <w:rFonts w:ascii="仿宋_GB2312" w:hAnsi="仿宋_GB2312" w:eastAsia="仿宋_GB2312" w:cs="仿宋_GB2312"/>
          <w:kern w:val="0"/>
          <w:sz w:val="28"/>
          <w:szCs w:val="28"/>
          <w:highlight w:val="none"/>
        </w:rPr>
        <w:t>)保证金不足</w:t>
      </w:r>
    </w:p>
    <w:p w14:paraId="3D5AB0EA">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YYYY/MM/DD HH:MI:SS</w:t>
      </w:r>
      <w:r>
        <w:rPr>
          <w:rFonts w:ascii="仿宋_GB2312" w:hAnsi="仿宋_GB2312" w:eastAsia="仿宋_GB2312" w:cs="仿宋_GB2312"/>
          <w:kern w:val="0"/>
          <w:sz w:val="28"/>
          <w:szCs w:val="28"/>
          <w:highlight w:val="none"/>
        </w:rPr>
        <w:t>保证金不足</w:t>
      </w:r>
      <w:r>
        <w:rPr>
          <w:rFonts w:hint="eastAsia" w:ascii="仿宋_GB2312" w:hAnsi="仿宋_GB2312" w:eastAsia="仿宋_GB2312" w:cs="仿宋_GB2312"/>
          <w:kern w:val="0"/>
          <w:sz w:val="28"/>
          <w:szCs w:val="28"/>
          <w:highlight w:val="none"/>
        </w:rPr>
        <w:t>、缺口。</w:t>
      </w:r>
    </w:p>
    <w:p w14:paraId="5B41D0CE">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3）现金流预警</w:t>
      </w:r>
    </w:p>
    <w:p w14:paraId="06F459D6">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YYYY/MM/DD HH:MI:SS现金流预警、日应收/应付。</w:t>
      </w:r>
    </w:p>
    <w:p w14:paraId="672728E7">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4)清算基金不足预警</w:t>
      </w:r>
    </w:p>
    <w:p w14:paraId="64590EAA">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YYYY/MM/DD HH:MI:SS</w:t>
      </w:r>
      <w:r>
        <w:rPr>
          <w:rFonts w:ascii="仿宋_GB2312" w:hAnsi="仿宋_GB2312" w:eastAsia="仿宋_GB2312" w:cs="仿宋_GB2312"/>
          <w:kern w:val="0"/>
          <w:sz w:val="28"/>
          <w:szCs w:val="28"/>
          <w:highlight w:val="none"/>
        </w:rPr>
        <w:t>清算基金不足预警</w:t>
      </w:r>
      <w:r>
        <w:rPr>
          <w:rFonts w:hint="eastAsia" w:ascii="仿宋_GB2312" w:hAnsi="仿宋_GB2312" w:eastAsia="仿宋_GB2312" w:cs="仿宋_GB2312"/>
          <w:kern w:val="0"/>
          <w:sz w:val="28"/>
          <w:szCs w:val="28"/>
          <w:highlight w:val="none"/>
        </w:rPr>
        <w:t>、清算基金敞口覆盖、监控指标值clear</w:t>
      </w:r>
      <w:r>
        <w:rPr>
          <w:rFonts w:ascii="仿宋_GB2312" w:hAnsi="仿宋_GB2312" w:eastAsia="仿宋_GB2312" w:cs="仿宋_GB2312"/>
          <w:kern w:val="0"/>
          <w:sz w:val="28"/>
          <w:szCs w:val="28"/>
          <w:highlight w:val="none"/>
        </w:rPr>
        <w:t>_fund_monitor_index</w:t>
      </w:r>
      <w:r>
        <w:rPr>
          <w:rFonts w:hint="eastAsia" w:ascii="仿宋_GB2312" w:hAnsi="仿宋_GB2312" w:eastAsia="仿宋_GB2312" w:cs="仿宋_GB2312"/>
          <w:kern w:val="0"/>
          <w:sz w:val="28"/>
          <w:szCs w:val="28"/>
          <w:highlight w:val="none"/>
        </w:rPr>
        <w:t>。</w:t>
      </w:r>
    </w:p>
    <w:p w14:paraId="47948D6A">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5</w:t>
      </w:r>
      <w:r>
        <w:rPr>
          <w:rFonts w:hint="eastAsia" w:ascii="仿宋_GB2312" w:hAnsi="仿宋_GB2312" w:eastAsia="仿宋_GB2312" w:cs="仿宋_GB2312"/>
          <w:kern w:val="0"/>
          <w:sz w:val="28"/>
          <w:szCs w:val="28"/>
          <w:highlight w:val="none"/>
        </w:rPr>
        <w:t>）风险敞口超限：</w:t>
      </w:r>
    </w:p>
    <w:p w14:paraId="2901E670">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YYYY/MM/DD HH:MI:SS风险敞口超限、预警等级和风险等</w:t>
      </w:r>
      <w:r>
        <w:rPr>
          <w:rFonts w:ascii="仿宋_GB2312" w:hAnsi="仿宋_GB2312" w:eastAsia="仿宋_GB2312" w:cs="仿宋_GB2312"/>
          <w:kern w:val="0"/>
          <w:sz w:val="28"/>
          <w:szCs w:val="28"/>
          <w:highlight w:val="none"/>
        </w:rPr>
        <w:t>级</w:t>
      </w:r>
      <w:r>
        <w:rPr>
          <w:rFonts w:hint="eastAsia" w:ascii="仿宋_GB2312" w:hAnsi="仿宋_GB2312" w:eastAsia="仿宋_GB2312" w:cs="仿宋_GB2312"/>
          <w:kern w:val="0"/>
          <w:sz w:val="28"/>
          <w:szCs w:val="28"/>
          <w:highlight w:val="none"/>
        </w:rPr>
        <w:t>。</w:t>
      </w:r>
    </w:p>
    <w:p w14:paraId="48F222BD">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6)保证金</w:t>
      </w:r>
      <w:r>
        <w:rPr>
          <w:rFonts w:hint="eastAsia" w:ascii="仿宋_GB2312" w:hAnsi="仿宋_GB2312" w:eastAsia="仿宋_GB2312" w:cs="仿宋_GB2312"/>
          <w:kern w:val="0"/>
          <w:sz w:val="28"/>
          <w:szCs w:val="28"/>
          <w:highlight w:val="none"/>
        </w:rPr>
        <w:t>追缴</w:t>
      </w:r>
    </w:p>
    <w:p w14:paraId="0C2B9484">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YYYY/MM/DD HH:MI:SS</w:t>
      </w:r>
      <w:r>
        <w:rPr>
          <w:rFonts w:ascii="仿宋_GB2312" w:hAnsi="仿宋_GB2312" w:eastAsia="仿宋_GB2312" w:cs="仿宋_GB2312"/>
          <w:kern w:val="0"/>
          <w:sz w:val="28"/>
          <w:szCs w:val="28"/>
          <w:highlight w:val="none"/>
        </w:rPr>
        <w:t>保证金</w:t>
      </w:r>
      <w:r>
        <w:rPr>
          <w:rFonts w:hint="eastAsia" w:ascii="仿宋_GB2312" w:hAnsi="仿宋_GB2312" w:eastAsia="仿宋_GB2312" w:cs="仿宋_GB2312"/>
          <w:kern w:val="0"/>
          <w:sz w:val="28"/>
          <w:szCs w:val="28"/>
          <w:highlight w:val="none"/>
        </w:rPr>
        <w:t>追缴、应追加、在途。</w:t>
      </w:r>
    </w:p>
    <w:p w14:paraId="7EED35FC">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（3）双边结算情况，表+饼图，内容连动。</w:t>
      </w:r>
    </w:p>
    <w:p w14:paraId="6D3D00ED">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图表左上角有下拉菜单</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枚举值</w:t>
      </w:r>
      <w:r>
        <w:rPr>
          <w:rFonts w:hint="eastAsia" w:ascii="仿宋_GB2312" w:hAnsi="仿宋_GB2312" w:eastAsia="仿宋_GB2312" w:cs="仿宋_GB2312"/>
          <w:kern w:val="0"/>
          <w:sz w:val="28"/>
          <w:szCs w:val="28"/>
          <w:highlight w:val="none"/>
        </w:rPr>
        <w:t>：全部（第二排空）、外币回购、人民币外汇、外币对双边全额。</w:t>
      </w:r>
    </w:p>
    <w:p w14:paraId="58597204">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外币回购逻辑完全同债券全额结算</w:t>
      </w:r>
      <w:r>
        <w:rPr>
          <w:rFonts w:hint="eastAsia" w:ascii="仿宋_GB2312" w:hAnsi="仿宋_GB2312" w:eastAsia="仿宋_GB2312" w:cs="仿宋_GB2312"/>
          <w:kern w:val="0"/>
          <w:sz w:val="28"/>
          <w:szCs w:val="28"/>
          <w:highlight w:val="none"/>
        </w:rPr>
        <w:t>。</w:t>
      </w:r>
    </w:p>
    <w:p w14:paraId="7A77EF46">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lang w:val="en-US" w:eastAsia="zh-CN"/>
        </w:rPr>
        <w:t>把</w:t>
      </w:r>
      <w:r>
        <w:rPr>
          <w:rFonts w:hint="eastAsia" w:ascii="仿宋_GB2312" w:hAnsi="仿宋_GB2312" w:eastAsia="仿宋_GB2312" w:cs="仿宋_GB2312"/>
          <w:kern w:val="0"/>
          <w:sz w:val="28"/>
          <w:szCs w:val="28"/>
          <w:highlight w:val="none"/>
        </w:rPr>
        <w:t>人民币外汇</w:t>
      </w:r>
      <w:r>
        <w:rPr>
          <w:rFonts w:hint="eastAsia" w:ascii="仿宋_GB2312" w:hAnsi="仿宋_GB2312" w:eastAsia="仿宋_GB2312" w:cs="仿宋_GB2312"/>
          <w:kern w:val="0"/>
          <w:sz w:val="28"/>
          <w:szCs w:val="28"/>
          <w:highlight w:val="none"/>
          <w:lang w:val="en-US" w:eastAsia="zh-CN"/>
        </w:rPr>
        <w:t>中应履行、外币足、成功、失败共10种状态映射到待结算、成功、失败、排除等含义上</w:t>
      </w:r>
      <w:r>
        <w:rPr>
          <w:rFonts w:hint="eastAsia" w:ascii="仿宋_GB2312" w:hAnsi="仿宋_GB2312" w:eastAsia="仿宋_GB2312" w:cs="仿宋_GB2312"/>
          <w:kern w:val="0"/>
          <w:sz w:val="28"/>
          <w:szCs w:val="28"/>
          <w:highlight w:val="none"/>
          <w:lang w:eastAsia="zh-CN"/>
        </w:rPr>
        <w:t>。</w:t>
      </w:r>
    </w:p>
    <w:p w14:paraId="4CD6BFC8">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lang w:val="en-US" w:eastAsia="zh-CN"/>
        </w:rPr>
        <w:t>把</w:t>
      </w:r>
      <w:r>
        <w:rPr>
          <w:rFonts w:hint="eastAsia" w:ascii="仿宋_GB2312" w:hAnsi="仿宋_GB2312" w:eastAsia="仿宋_GB2312" w:cs="仿宋_GB2312"/>
          <w:kern w:val="0"/>
          <w:sz w:val="28"/>
          <w:szCs w:val="28"/>
          <w:highlight w:val="none"/>
        </w:rPr>
        <w:t>外币对双边</w:t>
      </w:r>
      <w:r>
        <w:rPr>
          <w:rFonts w:hint="eastAsia" w:ascii="仿宋_GB2312" w:hAnsi="仿宋_GB2312" w:eastAsia="仿宋_GB2312" w:cs="仿宋_GB2312"/>
          <w:kern w:val="0"/>
          <w:sz w:val="28"/>
          <w:szCs w:val="28"/>
          <w:highlight w:val="none"/>
          <w:lang w:val="en-US" w:eastAsia="zh-CN"/>
        </w:rPr>
        <w:t>中应履行、交割中、成功、失败共10种状态映射到待结算、成功、失败、排除等含义上。</w:t>
      </w:r>
    </w:p>
    <w:p w14:paraId="09E443F0">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汇总表今日数据实时</w:t>
      </w:r>
      <w:r>
        <w:rPr>
          <w:rFonts w:hint="eastAsia" w:ascii="仿宋_GB2312" w:hAnsi="仿宋_GB2312" w:eastAsia="仿宋_GB2312" w:cs="仿宋_GB2312"/>
          <w:kern w:val="0"/>
          <w:sz w:val="28"/>
          <w:szCs w:val="28"/>
          <w:highlight w:val="none"/>
        </w:rPr>
        <w:t>/每1秒更新。</w:t>
      </w:r>
    </w:p>
    <w:p w14:paraId="17A6B476">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详细信息为超链接可以点击</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点击后</w:t>
      </w:r>
      <w:r>
        <w:rPr>
          <w:rFonts w:hint="eastAsia" w:ascii="仿宋_GB2312" w:hAnsi="仿宋_GB2312" w:eastAsia="仿宋_GB2312" w:cs="仿宋_GB2312"/>
          <w:kern w:val="0"/>
          <w:sz w:val="28"/>
          <w:szCs w:val="28"/>
          <w:highlight w:val="none"/>
        </w:rPr>
        <w:t>跳转</w:t>
      </w:r>
      <w:r>
        <w:rPr>
          <w:rFonts w:ascii="仿宋_GB2312" w:hAnsi="仿宋_GB2312" w:eastAsia="仿宋_GB2312" w:cs="仿宋_GB2312"/>
          <w:kern w:val="0"/>
          <w:sz w:val="28"/>
          <w:szCs w:val="28"/>
          <w:highlight w:val="none"/>
        </w:rPr>
        <w:t>至详情</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该条</w:t>
      </w:r>
      <w:r>
        <w:rPr>
          <w:rFonts w:ascii="仿宋_GB2312" w:hAnsi="仿宋_GB2312" w:eastAsia="仿宋_GB2312" w:cs="仿宋_GB2312"/>
          <w:kern w:val="0"/>
          <w:sz w:val="28"/>
          <w:szCs w:val="28"/>
          <w:highlight w:val="none"/>
        </w:rPr>
        <w:t>对应的数据记录</w:t>
      </w:r>
      <w:r>
        <w:rPr>
          <w:rFonts w:hint="eastAsia" w:ascii="仿宋_GB2312" w:hAnsi="仿宋_GB2312" w:eastAsia="仿宋_GB2312" w:cs="仿宋_GB2312"/>
          <w:kern w:val="0"/>
          <w:sz w:val="28"/>
          <w:szCs w:val="28"/>
          <w:highlight w:val="none"/>
        </w:rPr>
        <w:t>。</w:t>
      </w:r>
      <w:r>
        <w:rPr>
          <w:rFonts w:hint="eastAsia" w:ascii="仿宋_GB2312" w:hAnsi="仿宋_GB2312" w:eastAsia="仿宋_GB2312" w:cs="仿宋_GB2312"/>
          <w:kern w:val="0"/>
          <w:sz w:val="28"/>
          <w:szCs w:val="28"/>
          <w:highlight w:val="none"/>
          <w:lang w:val="en-US" w:eastAsia="zh-CN"/>
        </w:rPr>
        <w:t>应履行、交割中、已合并共5种状态映射到待结算、成功、排除等含义上。</w:t>
      </w:r>
    </w:p>
    <w:p w14:paraId="7165E283">
      <w:pPr>
        <w:pStyle w:val="5"/>
        <w:numPr>
          <w:ilvl w:val="2"/>
          <w:numId w:val="0"/>
        </w:numPr>
        <w:ind w:left="1224" w:leftChars="0" w:hanging="504" w:firstLineChars="0"/>
        <w:rPr>
          <w:rFonts w:hint="eastAsia" w:ascii="仿宋" w:hAnsi="仿宋" w:eastAsia="仿宋"/>
          <w:sz w:val="30"/>
          <w:szCs w:val="30"/>
          <w:highlight w:val="none"/>
        </w:rPr>
      </w:pPr>
      <w:r>
        <w:rPr>
          <w:rFonts w:hint="eastAsia" w:ascii="仿宋" w:hAnsi="仿宋" w:eastAsia="仿宋" w:cs="Times New Roman"/>
          <w:b/>
          <w:bCs/>
          <w:kern w:val="2"/>
          <w:sz w:val="30"/>
          <w:szCs w:val="30"/>
          <w:highlight w:val="none"/>
          <w:lang w:val="en-US" w:eastAsia="zh-CN" w:bidi="ar-SA"/>
        </w:rPr>
        <w:t>5.3.6.</w:t>
      </w:r>
      <w:r>
        <w:rPr>
          <w:rFonts w:hint="eastAsia" w:ascii="仿宋" w:hAnsi="仿宋" w:eastAsia="仿宋"/>
          <w:sz w:val="30"/>
          <w:szCs w:val="30"/>
          <w:highlight w:val="none"/>
        </w:rPr>
        <w:t>人民币衍生品监测模块</w:t>
      </w:r>
    </w:p>
    <w:p w14:paraId="6CAFBF03">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（1）今日接单情况，统计表+饼图。</w:t>
      </w:r>
    </w:p>
    <w:p w14:paraId="2D3FC702">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统计表口径与统计口径相同</w:t>
      </w:r>
      <w:r>
        <w:rPr>
          <w:rFonts w:hint="eastAsia" w:ascii="仿宋_GB2312" w:hAnsi="仿宋_GB2312" w:eastAsia="仿宋_GB2312" w:cs="仿宋_GB2312"/>
          <w:kern w:val="0"/>
          <w:sz w:val="28"/>
          <w:szCs w:val="28"/>
          <w:highlight w:val="none"/>
        </w:rPr>
        <w:t>。</w:t>
      </w:r>
    </w:p>
    <w:p w14:paraId="7704AAEF">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（2）清算风险预警，详细信息。</w:t>
      </w:r>
    </w:p>
    <w:p w14:paraId="091E8399">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详细信息为超链接可以点击</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点击后</w:t>
      </w:r>
      <w:r>
        <w:rPr>
          <w:rFonts w:hint="eastAsia" w:ascii="仿宋_GB2312" w:hAnsi="仿宋_GB2312" w:eastAsia="仿宋_GB2312" w:cs="仿宋_GB2312"/>
          <w:kern w:val="0"/>
          <w:sz w:val="28"/>
          <w:szCs w:val="28"/>
          <w:highlight w:val="none"/>
        </w:rPr>
        <w:t>跳转</w:t>
      </w:r>
      <w:r>
        <w:rPr>
          <w:rFonts w:ascii="仿宋_GB2312" w:hAnsi="仿宋_GB2312" w:eastAsia="仿宋_GB2312" w:cs="仿宋_GB2312"/>
          <w:kern w:val="0"/>
          <w:sz w:val="28"/>
          <w:szCs w:val="28"/>
          <w:highlight w:val="none"/>
        </w:rPr>
        <w:t>至详情</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显示</w:t>
      </w:r>
      <w:r>
        <w:rPr>
          <w:rFonts w:hint="eastAsia" w:ascii="仿宋_GB2312" w:hAnsi="仿宋_GB2312" w:eastAsia="仿宋_GB2312" w:cs="仿宋_GB2312"/>
          <w:kern w:val="0"/>
          <w:sz w:val="28"/>
          <w:szCs w:val="28"/>
          <w:highlight w:val="none"/>
        </w:rPr>
        <w:t>该条</w:t>
      </w:r>
      <w:r>
        <w:rPr>
          <w:rFonts w:ascii="仿宋_GB2312" w:hAnsi="仿宋_GB2312" w:eastAsia="仿宋_GB2312" w:cs="仿宋_GB2312"/>
          <w:kern w:val="0"/>
          <w:sz w:val="28"/>
          <w:szCs w:val="28"/>
          <w:highlight w:val="none"/>
        </w:rPr>
        <w:t>对应的数据记录</w:t>
      </w:r>
      <w:r>
        <w:rPr>
          <w:rFonts w:hint="eastAsia" w:ascii="仿宋_GB2312" w:hAnsi="仿宋_GB2312" w:eastAsia="仿宋_GB2312" w:cs="仿宋_GB2312"/>
          <w:kern w:val="0"/>
          <w:sz w:val="28"/>
          <w:szCs w:val="28"/>
          <w:highlight w:val="none"/>
        </w:rPr>
        <w:t>（保留原表所有有意义的要素）。</w:t>
      </w:r>
    </w:p>
    <w:p w14:paraId="72AB36DB">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由以下事件触发</w:t>
      </w:r>
      <w:r>
        <w:rPr>
          <w:rFonts w:hint="eastAsia" w:ascii="仿宋_GB2312" w:hAnsi="仿宋_GB2312" w:eastAsia="仿宋_GB2312" w:cs="仿宋_GB2312"/>
          <w:kern w:val="0"/>
          <w:sz w:val="28"/>
          <w:szCs w:val="28"/>
          <w:highlight w:val="none"/>
        </w:rPr>
        <w:t>：</w:t>
      </w:r>
    </w:p>
    <w:p w14:paraId="2D646B31">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 每次10分钟更新一次状态，直至状态变为成功消失。</w:t>
      </w:r>
    </w:p>
    <w:p w14:paraId="0071058E">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2）BDF和SIRS均按以下方式触发事件：</w:t>
      </w:r>
    </w:p>
    <w:p w14:paraId="0AEEC865">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 xml:space="preserve"> 每次10分钟更新一次状态，直至状态变为已追缴。</w:t>
      </w:r>
    </w:p>
    <w:p w14:paraId="058A79D4">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（3）合约价格走势，带平滑线的散点图。</w:t>
      </w:r>
    </w:p>
    <w:p w14:paraId="05D29CE6">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X轴为时间轴，坐标范围9:00至18:00，如果出现18:00之后的数据，时间轴自动缩放。图中Y轴为合约价格。</w:t>
      </w:r>
    </w:p>
    <w:p w14:paraId="71BBC150">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（4）交易集中度监控，统计表+</w:t>
      </w:r>
      <w:r>
        <w:rPr>
          <w:rFonts w:ascii="仿宋_GB2312" w:hAnsi="仿宋_GB2312" w:eastAsia="仿宋_GB2312" w:cs="仿宋_GB2312"/>
          <w:kern w:val="0"/>
          <w:sz w:val="28"/>
          <w:szCs w:val="28"/>
          <w:highlight w:val="none"/>
        </w:rPr>
        <w:t>条状图</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图</w:t>
      </w:r>
      <w:r>
        <w:rPr>
          <w:rFonts w:hint="eastAsia" w:ascii="仿宋_GB2312" w:hAnsi="仿宋_GB2312" w:eastAsia="仿宋_GB2312" w:cs="仿宋_GB2312"/>
          <w:kern w:val="0"/>
          <w:sz w:val="28"/>
          <w:szCs w:val="28"/>
          <w:highlight w:val="none"/>
        </w:rPr>
        <w:t>表</w:t>
      </w:r>
      <w:r>
        <w:rPr>
          <w:rFonts w:ascii="仿宋_GB2312" w:hAnsi="仿宋_GB2312" w:eastAsia="仿宋_GB2312" w:cs="仿宋_GB2312"/>
          <w:kern w:val="0"/>
          <w:sz w:val="28"/>
          <w:szCs w:val="28"/>
          <w:highlight w:val="none"/>
        </w:rPr>
        <w:t>联动</w:t>
      </w:r>
      <w:r>
        <w:rPr>
          <w:rFonts w:hint="eastAsia" w:ascii="仿宋_GB2312" w:hAnsi="仿宋_GB2312" w:eastAsia="仿宋_GB2312" w:cs="仿宋_GB2312"/>
          <w:kern w:val="0"/>
          <w:sz w:val="28"/>
          <w:szCs w:val="28"/>
          <w:highlight w:val="none"/>
        </w:rPr>
        <w:t>。</w:t>
      </w:r>
    </w:p>
    <w:p w14:paraId="16B8D073">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表中显示总</w:t>
      </w:r>
      <w:r>
        <w:rPr>
          <w:rFonts w:ascii="仿宋_GB2312" w:hAnsi="仿宋_GB2312" w:eastAsia="仿宋_GB2312" w:cs="仿宋_GB2312"/>
          <w:kern w:val="0"/>
          <w:sz w:val="28"/>
          <w:szCs w:val="28"/>
          <w:highlight w:val="none"/>
        </w:rPr>
        <w:t>清算名义本金</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top5</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top10的名义本金和占比</w:t>
      </w:r>
      <w:r>
        <w:rPr>
          <w:rFonts w:hint="eastAsia" w:ascii="仿宋_GB2312" w:hAnsi="仿宋_GB2312" w:eastAsia="仿宋_GB2312" w:cs="仿宋_GB2312"/>
          <w:kern w:val="0"/>
          <w:sz w:val="28"/>
          <w:szCs w:val="28"/>
          <w:highlight w:val="none"/>
        </w:rPr>
        <w:t>。</w:t>
      </w:r>
    </w:p>
    <w:p w14:paraId="4B217969">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显示最大10家，界面显示不下的，支持滚动条拖拉显示。</w:t>
      </w:r>
    </w:p>
    <w:p w14:paraId="5E3B7C5F">
      <w:pPr>
        <w:pStyle w:val="5"/>
        <w:numPr>
          <w:ilvl w:val="2"/>
          <w:numId w:val="0"/>
        </w:numPr>
        <w:ind w:left="1224" w:leftChars="0" w:hanging="504" w:firstLineChars="0"/>
        <w:rPr>
          <w:rFonts w:hint="eastAsia" w:ascii="仿宋" w:hAnsi="仿宋" w:eastAsia="仿宋"/>
          <w:sz w:val="30"/>
          <w:szCs w:val="30"/>
          <w:highlight w:val="none"/>
        </w:rPr>
      </w:pPr>
      <w:r>
        <w:rPr>
          <w:rFonts w:hint="eastAsia" w:ascii="仿宋" w:hAnsi="仿宋" w:eastAsia="仿宋" w:cs="Times New Roman"/>
          <w:b/>
          <w:bCs/>
          <w:kern w:val="2"/>
          <w:sz w:val="30"/>
          <w:szCs w:val="30"/>
          <w:highlight w:val="none"/>
          <w:lang w:val="en-US" w:eastAsia="zh-CN" w:bidi="ar-SA"/>
        </w:rPr>
        <w:t>5.3.7.</w:t>
      </w:r>
      <w:r>
        <w:rPr>
          <w:rFonts w:hint="eastAsia" w:ascii="仿宋" w:hAnsi="仿宋" w:eastAsia="仿宋"/>
          <w:sz w:val="30"/>
          <w:szCs w:val="30"/>
          <w:highlight w:val="none"/>
        </w:rPr>
        <w:t>大宗商品监测模块</w:t>
      </w:r>
    </w:p>
    <w:p w14:paraId="2B1F3070">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（1）今日接单情况，统计表+饼图。</w:t>
      </w:r>
    </w:p>
    <w:p w14:paraId="6692100D">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统计表口径与统计口径相同</w:t>
      </w:r>
      <w:r>
        <w:rPr>
          <w:rFonts w:hint="eastAsia" w:ascii="仿宋_GB2312" w:hAnsi="仿宋_GB2312" w:eastAsia="仿宋_GB2312" w:cs="仿宋_GB2312"/>
          <w:kern w:val="0"/>
          <w:sz w:val="28"/>
          <w:szCs w:val="28"/>
          <w:highlight w:val="none"/>
        </w:rPr>
        <w:t>。</w:t>
      </w:r>
    </w:p>
    <w:p w14:paraId="74D81D7A">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（2）清算通平台分布，饼图。</w:t>
      </w:r>
    </w:p>
    <w:p w14:paraId="21EFB98C">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饼图</w:t>
      </w:r>
      <w:r>
        <w:rPr>
          <w:rFonts w:hint="eastAsia" w:ascii="仿宋_GB2312" w:hAnsi="仿宋_GB2312" w:eastAsia="仿宋_GB2312" w:cs="仿宋_GB2312"/>
          <w:kern w:val="0"/>
          <w:sz w:val="28"/>
          <w:szCs w:val="28"/>
          <w:highlight w:val="none"/>
        </w:rPr>
        <w:t>标题为</w:t>
      </w:r>
      <w:r>
        <w:rPr>
          <w:rFonts w:ascii="仿宋_GB2312" w:hAnsi="仿宋_GB2312" w:eastAsia="仿宋_GB2312" w:cs="仿宋_GB2312"/>
          <w:kern w:val="0"/>
          <w:sz w:val="28"/>
          <w:szCs w:val="28"/>
          <w:highlight w:val="none"/>
        </w:rPr>
        <w:t>下拉菜单</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枚举值</w:t>
      </w:r>
      <w:r>
        <w:rPr>
          <w:rFonts w:hint="eastAsia" w:ascii="仿宋_GB2312" w:hAnsi="仿宋_GB2312" w:eastAsia="仿宋_GB2312" w:cs="仿宋_GB2312"/>
          <w:kern w:val="0"/>
          <w:sz w:val="28"/>
          <w:szCs w:val="28"/>
          <w:highlight w:val="none"/>
        </w:rPr>
        <w:t>：平台分布（默认值）、经纪分布。饼图指标为清算名义本金。</w:t>
      </w:r>
    </w:p>
    <w:p w14:paraId="23E12C3A">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（3）价格走势，带平滑线的散点图。</w:t>
      </w:r>
    </w:p>
    <w:p w14:paraId="678F6FCF">
      <w:pPr>
        <w:ind w:firstLine="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 xml:space="preserve">     </w:t>
      </w:r>
      <w:r>
        <w:rPr>
          <w:rFonts w:ascii="仿宋_GB2312" w:hAnsi="仿宋_GB2312" w:eastAsia="仿宋_GB2312" w:cs="仿宋_GB2312"/>
          <w:kern w:val="0"/>
          <w:sz w:val="28"/>
          <w:szCs w:val="28"/>
          <w:highlight w:val="none"/>
        </w:rPr>
        <w:t>Y轴为价格</w:t>
      </w:r>
      <w:r>
        <w:rPr>
          <w:rFonts w:hint="eastAsia" w:ascii="仿宋_GB2312" w:hAnsi="仿宋_GB2312" w:eastAsia="仿宋_GB2312" w:cs="仿宋_GB2312"/>
          <w:kern w:val="0"/>
          <w:sz w:val="28"/>
          <w:szCs w:val="28"/>
          <w:highlight w:val="none"/>
        </w:rPr>
        <w:t>，X轴为时间轴，坐标范围9:00至18:00，如果出现18:00之后的数据，时间轴自动缩放。图中Y轴</w:t>
      </w:r>
      <w:r>
        <w:rPr>
          <w:rFonts w:hint="eastAsia" w:ascii="仿宋_GB2312" w:hAnsi="仿宋_GB2312" w:eastAsia="仿宋_GB2312" w:cs="仿宋_GB2312"/>
          <w:b w:val="0"/>
          <w:bCs w:val="0"/>
          <w:kern w:val="0"/>
          <w:sz w:val="28"/>
          <w:szCs w:val="28"/>
          <w:highlight w:val="none"/>
        </w:rPr>
        <w:t>为合约价格，每1分钟取交易时间在此时刻前10分钟的记录。</w:t>
      </w:r>
    </w:p>
    <w:p w14:paraId="072D0752">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4</w:t>
      </w:r>
      <w:r>
        <w:rPr>
          <w:rFonts w:hint="eastAsia" w:ascii="仿宋_GB2312" w:hAnsi="仿宋_GB2312" w:eastAsia="仿宋_GB2312" w:cs="仿宋_GB2312"/>
          <w:kern w:val="0"/>
          <w:sz w:val="28"/>
          <w:szCs w:val="28"/>
          <w:highlight w:val="none"/>
        </w:rPr>
        <w:t>）清算通成员分布，饼图。</w:t>
      </w:r>
    </w:p>
    <w:p w14:paraId="411EF74F">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饼图</w:t>
      </w:r>
      <w:r>
        <w:rPr>
          <w:rFonts w:hint="eastAsia" w:ascii="仿宋_GB2312" w:hAnsi="仿宋_GB2312" w:eastAsia="仿宋_GB2312" w:cs="仿宋_GB2312"/>
          <w:kern w:val="0"/>
          <w:sz w:val="28"/>
          <w:szCs w:val="28"/>
          <w:highlight w:val="none"/>
        </w:rPr>
        <w:t>标题为</w:t>
      </w:r>
      <w:r>
        <w:rPr>
          <w:rFonts w:ascii="仿宋_GB2312" w:hAnsi="仿宋_GB2312" w:eastAsia="仿宋_GB2312" w:cs="仿宋_GB2312"/>
          <w:kern w:val="0"/>
          <w:sz w:val="28"/>
          <w:szCs w:val="28"/>
          <w:highlight w:val="none"/>
        </w:rPr>
        <w:t>下拉菜单</w:t>
      </w:r>
      <w:r>
        <w:rPr>
          <w:rFonts w:hint="eastAsia" w:ascii="仿宋_GB2312" w:hAnsi="仿宋_GB2312" w:eastAsia="仿宋_GB2312" w:cs="仿宋_GB2312"/>
          <w:kern w:val="0"/>
          <w:sz w:val="28"/>
          <w:szCs w:val="28"/>
          <w:highlight w:val="none"/>
        </w:rPr>
        <w:t>，饼图指标为清算名义本金。</w:t>
      </w:r>
    </w:p>
    <w:p w14:paraId="5C026132">
      <w:pPr>
        <w:pStyle w:val="5"/>
        <w:numPr>
          <w:ilvl w:val="2"/>
          <w:numId w:val="0"/>
        </w:numPr>
        <w:ind w:left="1224" w:leftChars="0" w:hanging="504" w:firstLineChars="0"/>
        <w:rPr>
          <w:rFonts w:hint="eastAsia" w:ascii="仿宋" w:hAnsi="仿宋" w:eastAsia="仿宋"/>
          <w:sz w:val="30"/>
          <w:szCs w:val="30"/>
          <w:highlight w:val="none"/>
        </w:rPr>
      </w:pPr>
      <w:r>
        <w:rPr>
          <w:rFonts w:hint="eastAsia" w:ascii="仿宋" w:hAnsi="仿宋" w:eastAsia="仿宋" w:cs="Times New Roman"/>
          <w:b/>
          <w:bCs/>
          <w:kern w:val="2"/>
          <w:sz w:val="30"/>
          <w:szCs w:val="30"/>
          <w:highlight w:val="none"/>
          <w:lang w:val="en-US" w:eastAsia="zh-CN" w:bidi="ar-SA"/>
        </w:rPr>
        <w:t>5.3.8.</w:t>
      </w:r>
      <w:r>
        <w:rPr>
          <w:rFonts w:hint="eastAsia" w:ascii="仿宋" w:hAnsi="仿宋" w:eastAsia="仿宋"/>
          <w:sz w:val="30"/>
          <w:szCs w:val="30"/>
          <w:highlight w:val="none"/>
        </w:rPr>
        <w:t>自定义监测模块</w:t>
      </w:r>
    </w:p>
    <w:p w14:paraId="6257B0A6">
      <w:pPr>
        <w:pStyle w:val="6"/>
        <w:numPr>
          <w:ilvl w:val="3"/>
          <w:numId w:val="0"/>
        </w:numPr>
        <w:ind w:left="1728" w:leftChars="0" w:hanging="648" w:firstLineChars="0"/>
        <w:rPr>
          <w:rFonts w:hint="eastAsia" w:ascii="仿宋" w:hAnsi="仿宋" w:eastAsia="仿宋"/>
          <w:sz w:val="30"/>
          <w:szCs w:val="30"/>
          <w:highlight w:val="none"/>
        </w:rPr>
      </w:pPr>
      <w:r>
        <w:rPr>
          <w:rFonts w:hint="eastAsia" w:ascii="仿宋" w:hAnsi="仿宋" w:eastAsia="仿宋" w:cstheme="majorBidi"/>
          <w:b/>
          <w:bCs/>
          <w:kern w:val="2"/>
          <w:sz w:val="30"/>
          <w:szCs w:val="30"/>
          <w:highlight w:val="none"/>
          <w:lang w:val="en-US" w:eastAsia="zh-CN" w:bidi="ar-SA"/>
        </w:rPr>
        <w:t>5.3.8.1.</w:t>
      </w:r>
      <w:r>
        <w:rPr>
          <w:rFonts w:hint="eastAsia" w:ascii="仿宋" w:hAnsi="仿宋" w:eastAsia="仿宋"/>
          <w:sz w:val="30"/>
          <w:szCs w:val="30"/>
          <w:highlight w:val="none"/>
        </w:rPr>
        <w:t>自定义规则展示</w:t>
      </w:r>
    </w:p>
    <w:p w14:paraId="5920C950">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自定义规则展示的基本显示框架是</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每一条规则赋予一个独立的显示区域</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上下堆叠排列</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可以追加多个</w:t>
      </w:r>
      <w:r>
        <w:rPr>
          <w:rFonts w:hint="eastAsia" w:ascii="仿宋_GB2312" w:hAnsi="仿宋_GB2312" w:eastAsia="仿宋_GB2312" w:cs="仿宋_GB2312"/>
          <w:kern w:val="0"/>
          <w:sz w:val="28"/>
          <w:szCs w:val="28"/>
          <w:highlight w:val="none"/>
        </w:rPr>
        <w:t>（不超过10个）</w:t>
      </w:r>
      <w:r>
        <w:rPr>
          <w:rFonts w:ascii="仿宋_GB2312" w:hAnsi="仿宋_GB2312" w:eastAsia="仿宋_GB2312" w:cs="仿宋_GB2312"/>
          <w:kern w:val="0"/>
          <w:sz w:val="28"/>
          <w:szCs w:val="28"/>
          <w:highlight w:val="none"/>
        </w:rPr>
        <w:t>区域</w:t>
      </w:r>
      <w:r>
        <w:rPr>
          <w:rFonts w:hint="eastAsia" w:ascii="仿宋_GB2312" w:hAnsi="仿宋_GB2312" w:eastAsia="仿宋_GB2312" w:cs="仿宋_GB2312"/>
          <w:kern w:val="0"/>
          <w:sz w:val="28"/>
          <w:szCs w:val="28"/>
          <w:highlight w:val="none"/>
        </w:rPr>
        <w:t>。</w:t>
      </w:r>
    </w:p>
    <w:p w14:paraId="59D7E950">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1</w:t>
      </w:r>
      <w:r>
        <w:rPr>
          <w:rFonts w:hint="eastAsia" w:ascii="仿宋_GB2312" w:hAnsi="仿宋_GB2312" w:eastAsia="仿宋_GB2312" w:cs="仿宋_GB2312"/>
          <w:kern w:val="0"/>
          <w:sz w:val="28"/>
          <w:szCs w:val="28"/>
          <w:highlight w:val="none"/>
        </w:rPr>
        <w:t>.增加数据显示区域，拖动互换区域位置。增加按钮在最下方显示区域的下方，点击可选择自动监测任务活动中的规则，支持按“自动监测”一节的内置参数进行查询选择。删除按钮在每一个显示区域中。</w:t>
      </w:r>
    </w:p>
    <w:p w14:paraId="4B1E8771">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2</w:t>
      </w:r>
      <w:r>
        <w:rPr>
          <w:rFonts w:hint="eastAsia" w:ascii="仿宋_GB2312" w:hAnsi="仿宋_GB2312" w:eastAsia="仿宋_GB2312" w:cs="仿宋_GB2312"/>
          <w:kern w:val="0"/>
          <w:sz w:val="28"/>
          <w:szCs w:val="28"/>
          <w:highlight w:val="none"/>
        </w:rPr>
        <w:t>.删除数据显示区域。删除按钮跟随每一个数据显示区域。</w:t>
      </w:r>
    </w:p>
    <w:p w14:paraId="6D3ECAAC">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3.</w:t>
      </w:r>
      <w:r>
        <w:rPr>
          <w:rFonts w:hint="eastAsia" w:ascii="仿宋_GB2312" w:hAnsi="仿宋_GB2312" w:eastAsia="仿宋_GB2312" w:cs="仿宋_GB2312"/>
          <w:kern w:val="0"/>
          <w:sz w:val="28"/>
          <w:szCs w:val="28"/>
          <w:highlight w:val="none"/>
        </w:rPr>
        <w:t>拖动互换区域位置。</w:t>
      </w:r>
    </w:p>
    <w:p w14:paraId="1CF21369">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4</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显示自定义规则的输出要素</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支持用户筛选需显示的列</w:t>
      </w:r>
      <w:r>
        <w:rPr>
          <w:rFonts w:hint="eastAsia" w:ascii="仿宋_GB2312" w:hAnsi="仿宋_GB2312" w:eastAsia="仿宋_GB2312" w:cs="仿宋_GB2312"/>
          <w:kern w:val="0"/>
          <w:sz w:val="28"/>
          <w:szCs w:val="28"/>
          <w:highlight w:val="none"/>
        </w:rPr>
        <w:t>（可以通过右键表头弹出菜单方式）。支持用户选择显示的行数，枚举值为3行、5行、10行、20行。存在一个不可除去默认列（第一列），即数据时间，只</w:t>
      </w:r>
      <w:r>
        <w:rPr>
          <w:rFonts w:ascii="仿宋_GB2312" w:hAnsi="仿宋_GB2312" w:eastAsia="仿宋_GB2312" w:cs="仿宋_GB2312"/>
          <w:kern w:val="0"/>
          <w:sz w:val="28"/>
          <w:szCs w:val="28"/>
          <w:highlight w:val="none"/>
        </w:rPr>
        <w:t>显示HH:MI:SS</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精确到秒</w:t>
      </w:r>
      <w:r>
        <w:rPr>
          <w:rFonts w:hint="eastAsia" w:ascii="仿宋_GB2312" w:hAnsi="仿宋_GB2312" w:eastAsia="仿宋_GB2312" w:cs="仿宋_GB2312"/>
          <w:kern w:val="0"/>
          <w:sz w:val="28"/>
          <w:szCs w:val="28"/>
          <w:highlight w:val="none"/>
        </w:rPr>
        <w:t>。</w:t>
      </w:r>
    </w:p>
    <w:p w14:paraId="0DDF5E6B">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5.保存</w:t>
      </w:r>
      <w:r>
        <w:rPr>
          <w:rFonts w:hint="eastAsia" w:ascii="仿宋_GB2312" w:hAnsi="仿宋_GB2312" w:eastAsia="仿宋_GB2312" w:cs="仿宋_GB2312"/>
          <w:kern w:val="0"/>
          <w:sz w:val="28"/>
          <w:szCs w:val="28"/>
          <w:highlight w:val="none"/>
        </w:rPr>
        <w:t>自定义</w:t>
      </w:r>
      <w:r>
        <w:rPr>
          <w:rFonts w:ascii="仿宋_GB2312" w:hAnsi="仿宋_GB2312" w:eastAsia="仿宋_GB2312" w:cs="仿宋_GB2312"/>
          <w:kern w:val="0"/>
          <w:sz w:val="28"/>
          <w:szCs w:val="28"/>
          <w:highlight w:val="none"/>
        </w:rPr>
        <w:t>设置功能</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保存用户当前界面配置的展示规则</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刷新频率</w:t>
      </w:r>
      <w:r>
        <w:rPr>
          <w:rFonts w:hint="eastAsia" w:ascii="仿宋_GB2312" w:hAnsi="仿宋_GB2312" w:eastAsia="仿宋_GB2312" w:cs="仿宋_GB2312"/>
          <w:kern w:val="0"/>
          <w:sz w:val="28"/>
          <w:szCs w:val="28"/>
          <w:highlight w:val="none"/>
        </w:rPr>
        <w:t>。点击“</w:t>
      </w:r>
      <w:r>
        <w:rPr>
          <w:rFonts w:ascii="仿宋_GB2312" w:hAnsi="仿宋_GB2312" w:eastAsia="仿宋_GB2312" w:cs="仿宋_GB2312"/>
          <w:kern w:val="0"/>
          <w:sz w:val="28"/>
          <w:szCs w:val="28"/>
          <w:highlight w:val="none"/>
        </w:rPr>
        <w:t>保存</w:t>
      </w:r>
      <w:r>
        <w:rPr>
          <w:rFonts w:hint="eastAsia" w:ascii="仿宋_GB2312" w:hAnsi="仿宋_GB2312" w:eastAsia="仿宋_GB2312" w:cs="仿宋_GB2312"/>
          <w:kern w:val="0"/>
          <w:sz w:val="28"/>
          <w:szCs w:val="28"/>
          <w:highlight w:val="none"/>
        </w:rPr>
        <w:t>自定义</w:t>
      </w:r>
      <w:r>
        <w:rPr>
          <w:rFonts w:ascii="仿宋_GB2312" w:hAnsi="仿宋_GB2312" w:eastAsia="仿宋_GB2312" w:cs="仿宋_GB2312"/>
          <w:kern w:val="0"/>
          <w:sz w:val="28"/>
          <w:szCs w:val="28"/>
          <w:highlight w:val="none"/>
        </w:rPr>
        <w:t>设置</w:t>
      </w:r>
      <w:r>
        <w:rPr>
          <w:rFonts w:hint="eastAsia" w:ascii="仿宋_GB2312" w:hAnsi="仿宋_GB2312" w:eastAsia="仿宋_GB2312" w:cs="仿宋_GB2312"/>
          <w:kern w:val="0"/>
          <w:sz w:val="28"/>
          <w:szCs w:val="28"/>
          <w:highlight w:val="none"/>
        </w:rPr>
        <w:t>”，弹出框要求用户填写保存设置的名称，允许用户保存多套设置。</w:t>
      </w:r>
    </w:p>
    <w:p w14:paraId="4D35D5FC">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以上</w:t>
      </w:r>
      <w:r>
        <w:rPr>
          <w:rFonts w:hint="eastAsia" w:ascii="仿宋_GB2312" w:hAnsi="仿宋_GB2312" w:eastAsia="仿宋_GB2312" w:cs="仿宋_GB2312"/>
          <w:kern w:val="0"/>
          <w:sz w:val="28"/>
          <w:szCs w:val="28"/>
          <w:highlight w:val="none"/>
        </w:rPr>
        <w:t>1-</w:t>
      </w:r>
      <w:r>
        <w:rPr>
          <w:rFonts w:ascii="仿宋_GB2312" w:hAnsi="仿宋_GB2312" w:eastAsia="仿宋_GB2312" w:cs="仿宋_GB2312"/>
          <w:kern w:val="0"/>
          <w:sz w:val="28"/>
          <w:szCs w:val="28"/>
          <w:highlight w:val="none"/>
        </w:rPr>
        <w:t>5可以在点击</w:t>
      </w:r>
      <w:r>
        <w:rPr>
          <w:rFonts w:hint="eastAsia" w:ascii="仿宋_GB2312" w:hAnsi="仿宋_GB2312" w:eastAsia="仿宋_GB2312" w:cs="仿宋_GB2312"/>
          <w:kern w:val="0"/>
          <w:sz w:val="28"/>
          <w:szCs w:val="28"/>
          <w:highlight w:val="none"/>
        </w:rPr>
        <w:t>“页面编辑”按钮进入编辑状态后进行（如果可行，也可以无需编辑状态，直接在运行状态下表操作）。以下均为正常运行状态下的功能。</w:t>
      </w:r>
    </w:p>
    <w:p w14:paraId="255EF758">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6</w:t>
      </w:r>
      <w:r>
        <w:rPr>
          <w:rFonts w:hint="eastAsia" w:ascii="仿宋_GB2312" w:hAnsi="仿宋_GB2312" w:eastAsia="仿宋_GB2312" w:cs="仿宋_GB2312"/>
          <w:kern w:val="0"/>
          <w:sz w:val="28"/>
          <w:szCs w:val="28"/>
          <w:highlight w:val="none"/>
        </w:rPr>
        <w:t>.数据刷新功能。</w:t>
      </w:r>
      <w:r>
        <w:rPr>
          <w:rFonts w:ascii="仿宋_GB2312" w:hAnsi="仿宋_GB2312" w:eastAsia="仿宋_GB2312" w:cs="仿宋_GB2312"/>
          <w:kern w:val="0"/>
          <w:sz w:val="28"/>
          <w:szCs w:val="28"/>
          <w:highlight w:val="none"/>
        </w:rPr>
        <w:t>界面顶部</w:t>
      </w:r>
      <w:r>
        <w:rPr>
          <w:rFonts w:hint="eastAsia" w:ascii="仿宋_GB2312" w:hAnsi="仿宋_GB2312" w:eastAsia="仿宋_GB2312" w:cs="仿宋_GB2312"/>
          <w:kern w:val="0"/>
          <w:sz w:val="28"/>
          <w:szCs w:val="28"/>
          <w:highlight w:val="none"/>
        </w:rPr>
        <w:t>（所有数据显示区域外）</w:t>
      </w:r>
      <w:r>
        <w:rPr>
          <w:rFonts w:ascii="仿宋_GB2312" w:hAnsi="仿宋_GB2312" w:eastAsia="仿宋_GB2312" w:cs="仿宋_GB2312"/>
          <w:kern w:val="0"/>
          <w:sz w:val="28"/>
          <w:szCs w:val="28"/>
          <w:highlight w:val="none"/>
        </w:rPr>
        <w:t>设置手动刷新</w:t>
      </w:r>
      <w:r>
        <w:rPr>
          <w:rFonts w:hint="eastAsia" w:ascii="仿宋_GB2312" w:hAnsi="仿宋_GB2312" w:eastAsia="仿宋_GB2312" w:cs="仿宋_GB2312"/>
          <w:kern w:val="0"/>
          <w:sz w:val="28"/>
          <w:szCs w:val="28"/>
          <w:highlight w:val="none"/>
        </w:rPr>
        <w:t>按钮。每次点击将刷新界面数据。</w:t>
      </w:r>
      <w:r>
        <w:rPr>
          <w:rFonts w:ascii="仿宋_GB2312" w:hAnsi="仿宋_GB2312" w:eastAsia="仿宋_GB2312" w:cs="仿宋_GB2312"/>
          <w:kern w:val="0"/>
          <w:sz w:val="28"/>
          <w:szCs w:val="28"/>
          <w:highlight w:val="none"/>
        </w:rPr>
        <w:t>手动</w:t>
      </w:r>
      <w:r>
        <w:rPr>
          <w:rFonts w:hint="eastAsia" w:ascii="仿宋_GB2312" w:hAnsi="仿宋_GB2312" w:eastAsia="仿宋_GB2312" w:cs="仿宋_GB2312"/>
          <w:kern w:val="0"/>
          <w:sz w:val="28"/>
          <w:szCs w:val="28"/>
          <w:highlight w:val="none"/>
        </w:rPr>
        <w:t>刷新</w:t>
      </w:r>
      <w:r>
        <w:rPr>
          <w:rFonts w:ascii="仿宋_GB2312" w:hAnsi="仿宋_GB2312" w:eastAsia="仿宋_GB2312" w:cs="仿宋_GB2312"/>
          <w:kern w:val="0"/>
          <w:sz w:val="28"/>
          <w:szCs w:val="28"/>
          <w:highlight w:val="none"/>
        </w:rPr>
        <w:t>按钮旁设置</w:t>
      </w:r>
      <w:r>
        <w:rPr>
          <w:rFonts w:hint="eastAsia" w:ascii="仿宋_GB2312" w:hAnsi="仿宋_GB2312" w:eastAsia="仿宋_GB2312" w:cs="仿宋_GB2312"/>
          <w:kern w:val="0"/>
          <w:sz w:val="28"/>
          <w:szCs w:val="28"/>
          <w:highlight w:val="none"/>
        </w:rPr>
        <w:t>“自动刷新频率”下拉菜单，枚举值：5秒、10秒、30秒、1分钟、5分钟、10分钟。到时间自动刷新界面数据。注意仅刷新界面既有展示规则的数据，并非刷新整个页面，不影响页面既有用户配置（包括未保存内容），注意与刷新页面的区别。</w:t>
      </w:r>
    </w:p>
    <w:p w14:paraId="0C3B7DE3">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7</w:t>
      </w:r>
      <w:r>
        <w:rPr>
          <w:rFonts w:hint="eastAsia" w:ascii="仿宋_GB2312" w:hAnsi="仿宋_GB2312" w:eastAsia="仿宋_GB2312" w:cs="仿宋_GB2312"/>
          <w:kern w:val="0"/>
          <w:sz w:val="28"/>
          <w:szCs w:val="28"/>
          <w:highlight w:val="none"/>
        </w:rPr>
        <w:t>.应用自定义设置。调取用户保存的自定义设置进行显示。此按钮为一个下拉框，用户可选择已保存的设置。此设置独立于所有数据显示区域，在页面最顶端。</w:t>
      </w:r>
    </w:p>
    <w:p w14:paraId="61591879">
      <w:pPr>
        <w:pStyle w:val="6"/>
        <w:numPr>
          <w:ilvl w:val="3"/>
          <w:numId w:val="0"/>
        </w:numPr>
        <w:ind w:left="1728" w:leftChars="0" w:hanging="648" w:firstLineChars="0"/>
        <w:rPr>
          <w:rFonts w:hint="eastAsia" w:ascii="仿宋" w:hAnsi="仿宋" w:eastAsia="仿宋"/>
          <w:sz w:val="30"/>
          <w:szCs w:val="30"/>
          <w:highlight w:val="none"/>
        </w:rPr>
      </w:pPr>
      <w:r>
        <w:rPr>
          <w:rFonts w:hint="eastAsia" w:ascii="仿宋" w:hAnsi="仿宋" w:eastAsia="仿宋" w:cstheme="majorBidi"/>
          <w:b/>
          <w:bCs/>
          <w:kern w:val="2"/>
          <w:sz w:val="30"/>
          <w:szCs w:val="30"/>
          <w:highlight w:val="none"/>
          <w:lang w:val="en-US" w:eastAsia="zh-CN" w:bidi="ar-SA"/>
        </w:rPr>
        <w:t>5.3.8.2.</w:t>
      </w:r>
      <w:r>
        <w:rPr>
          <w:rFonts w:hint="eastAsia" w:ascii="仿宋" w:hAnsi="仿宋" w:eastAsia="仿宋"/>
          <w:sz w:val="30"/>
          <w:szCs w:val="30"/>
          <w:highlight w:val="none"/>
        </w:rPr>
        <w:t>自定义规则编写与修改</w:t>
      </w:r>
    </w:p>
    <w:p w14:paraId="320CBDD6">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支持</w:t>
      </w:r>
      <w:r>
        <w:rPr>
          <w:rFonts w:hint="eastAsia" w:ascii="仿宋_GB2312" w:hAnsi="仿宋_GB2312" w:eastAsia="仿宋_GB2312" w:cs="仿宋_GB2312"/>
          <w:kern w:val="0"/>
          <w:sz w:val="28"/>
          <w:szCs w:val="28"/>
          <w:highlight w:val="none"/>
        </w:rPr>
        <w:t>增加、修改、删除自定义规则。</w:t>
      </w:r>
    </w:p>
    <w:p w14:paraId="59C43D5A">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用户录入完后，点击“试跑”按钮进行试跑，读取试跑结果的字段作为输出字段。试跑成功则允许保存，试跑失败，则抛出失败通知，在失败通知详情页中列出具体报错。</w:t>
      </w:r>
    </w:p>
    <w:p w14:paraId="58728E38">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用户试跑完</w:t>
      </w:r>
      <w:r>
        <w:rPr>
          <w:rFonts w:hint="eastAsia" w:ascii="仿宋_GB2312" w:hAnsi="仿宋_GB2312" w:eastAsia="仿宋_GB2312" w:cs="仿宋_GB2312"/>
          <w:kern w:val="0"/>
          <w:sz w:val="28"/>
          <w:szCs w:val="28"/>
          <w:highlight w:val="none"/>
        </w:rPr>
        <w:t>成功</w:t>
      </w:r>
      <w:r>
        <w:rPr>
          <w:rFonts w:ascii="仿宋_GB2312" w:hAnsi="仿宋_GB2312" w:eastAsia="仿宋_GB2312" w:cs="仿宋_GB2312"/>
          <w:kern w:val="0"/>
          <w:sz w:val="28"/>
          <w:szCs w:val="28"/>
          <w:highlight w:val="none"/>
        </w:rPr>
        <w:t>后</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显示保存按钮</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点击保存进行保存</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关闭页面</w:t>
      </w:r>
      <w:r>
        <w:rPr>
          <w:rFonts w:hint="eastAsia" w:ascii="仿宋_GB2312" w:hAnsi="仿宋_GB2312" w:eastAsia="仿宋_GB2312" w:cs="仿宋_GB2312"/>
          <w:kern w:val="0"/>
          <w:sz w:val="28"/>
          <w:szCs w:val="28"/>
          <w:highlight w:val="none"/>
        </w:rPr>
        <w:t>、刷新页面均丢弃界面未保存内容。</w:t>
      </w:r>
    </w:p>
    <w:p w14:paraId="3DC6E318">
      <w:pPr>
        <w:pStyle w:val="5"/>
        <w:numPr>
          <w:ilvl w:val="2"/>
          <w:numId w:val="0"/>
        </w:numPr>
        <w:ind w:left="1224" w:leftChars="0" w:hanging="504" w:firstLineChars="0"/>
        <w:rPr>
          <w:rFonts w:hint="eastAsia" w:ascii="仿宋" w:hAnsi="仿宋" w:eastAsia="仿宋"/>
          <w:sz w:val="30"/>
          <w:szCs w:val="30"/>
          <w:highlight w:val="none"/>
        </w:rPr>
      </w:pPr>
      <w:r>
        <w:rPr>
          <w:rFonts w:hint="eastAsia" w:ascii="仿宋" w:hAnsi="仿宋" w:eastAsia="仿宋" w:cs="Times New Roman"/>
          <w:b/>
          <w:bCs/>
          <w:kern w:val="2"/>
          <w:sz w:val="30"/>
          <w:szCs w:val="30"/>
          <w:highlight w:val="none"/>
          <w:lang w:val="en-US" w:eastAsia="zh-CN" w:bidi="ar-SA"/>
        </w:rPr>
        <w:t>5.3.9.</w:t>
      </w:r>
      <w:r>
        <w:rPr>
          <w:rFonts w:hint="eastAsia" w:ascii="仿宋" w:hAnsi="仿宋" w:eastAsia="仿宋"/>
          <w:sz w:val="30"/>
          <w:szCs w:val="30"/>
          <w:highlight w:val="none"/>
        </w:rPr>
        <w:t>全部告警信息界面</w:t>
      </w:r>
    </w:p>
    <w:p w14:paraId="1202E703">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界面具有查询功能</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输入要素包括但不限于</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日期</w:t>
      </w:r>
      <w:r>
        <w:rPr>
          <w:rFonts w:hint="eastAsia" w:ascii="仿宋_GB2312" w:hAnsi="仿宋_GB2312" w:eastAsia="仿宋_GB2312" w:cs="仿宋_GB2312"/>
          <w:kern w:val="0"/>
          <w:sz w:val="28"/>
          <w:szCs w:val="28"/>
          <w:highlight w:val="none"/>
        </w:rPr>
        <w:t>（默认当日）、</w:t>
      </w:r>
      <w:r>
        <w:rPr>
          <w:rFonts w:ascii="仿宋_GB2312" w:hAnsi="仿宋_GB2312" w:eastAsia="仿宋_GB2312" w:cs="仿宋_GB2312"/>
          <w:kern w:val="0"/>
          <w:sz w:val="28"/>
          <w:szCs w:val="28"/>
          <w:highlight w:val="none"/>
        </w:rPr>
        <w:t>时间区间</w:t>
      </w:r>
      <w:r>
        <w:rPr>
          <w:rFonts w:hint="eastAsia" w:ascii="仿宋_GB2312" w:hAnsi="仿宋_GB2312" w:eastAsia="仿宋_GB2312" w:cs="仿宋_GB2312"/>
          <w:kern w:val="0"/>
          <w:sz w:val="28"/>
          <w:szCs w:val="28"/>
          <w:highlight w:val="none"/>
        </w:rPr>
        <w:t>（默认）、</w:t>
      </w:r>
      <w:r>
        <w:rPr>
          <w:rFonts w:ascii="仿宋_GB2312" w:hAnsi="仿宋_GB2312" w:eastAsia="仿宋_GB2312" w:cs="仿宋_GB2312"/>
          <w:kern w:val="0"/>
          <w:sz w:val="28"/>
          <w:szCs w:val="28"/>
          <w:highlight w:val="none"/>
        </w:rPr>
        <w:t>业务类别</w:t>
      </w:r>
      <w:r>
        <w:rPr>
          <w:rFonts w:hint="eastAsia" w:ascii="仿宋_GB2312" w:hAnsi="仿宋_GB2312" w:eastAsia="仿宋_GB2312" w:cs="仿宋_GB2312"/>
          <w:kern w:val="0"/>
          <w:sz w:val="28"/>
          <w:szCs w:val="28"/>
          <w:highlight w:val="none"/>
        </w:rPr>
        <w:t>（默认全部）。</w:t>
      </w:r>
    </w:p>
    <w:p w14:paraId="14652905">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点击各界面告警通知区域的</w:t>
      </w:r>
      <w:r>
        <w:rPr>
          <w:rFonts w:hint="eastAsia" w:ascii="仿宋_GB2312" w:hAnsi="仿宋_GB2312" w:eastAsia="仿宋_GB2312" w:cs="仿宋_GB2312"/>
          <w:kern w:val="0"/>
          <w:sz w:val="28"/>
          <w:szCs w:val="28"/>
          <w:highlight w:val="none"/>
        </w:rPr>
        <w:t>“更多”按钮，均跳转至本页面。</w:t>
      </w:r>
    </w:p>
    <w:p w14:paraId="07E370DF">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从不同区域跳转来时</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则带有相应的筛选条件并返显到相应的条件输入框中</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自动显示该条件下的全部通知信息</w:t>
      </w:r>
      <w:r>
        <w:rPr>
          <w:rFonts w:hint="eastAsia" w:ascii="仿宋_GB2312" w:hAnsi="仿宋_GB2312" w:eastAsia="仿宋_GB2312" w:cs="仿宋_GB2312"/>
          <w:kern w:val="0"/>
          <w:sz w:val="28"/>
          <w:szCs w:val="28"/>
          <w:highlight w:val="none"/>
        </w:rPr>
        <w:t>。</w:t>
      </w:r>
    </w:p>
    <w:p w14:paraId="3B6DDC80">
      <w:pPr>
        <w:ind w:firstLine="64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显示内容与子区域相同，按时间倒排序。显示内容为超链接，点击将进入告警详情界面。</w:t>
      </w:r>
    </w:p>
    <w:p w14:paraId="00B0EAE7">
      <w:pPr>
        <w:pStyle w:val="5"/>
        <w:numPr>
          <w:ilvl w:val="2"/>
          <w:numId w:val="0"/>
        </w:numPr>
        <w:ind w:left="1224" w:leftChars="0" w:hanging="504" w:firstLineChars="0"/>
        <w:rPr>
          <w:rFonts w:hint="eastAsia" w:ascii="仿宋" w:hAnsi="仿宋" w:eastAsia="仿宋"/>
          <w:sz w:val="30"/>
          <w:szCs w:val="30"/>
          <w:highlight w:val="none"/>
        </w:rPr>
      </w:pPr>
      <w:r>
        <w:rPr>
          <w:rFonts w:hint="eastAsia" w:ascii="仿宋" w:hAnsi="仿宋" w:eastAsia="仿宋" w:cs="Times New Roman"/>
          <w:b/>
          <w:bCs/>
          <w:kern w:val="2"/>
          <w:sz w:val="30"/>
          <w:szCs w:val="30"/>
          <w:highlight w:val="none"/>
          <w:lang w:val="en-US" w:eastAsia="zh-CN" w:bidi="ar-SA"/>
        </w:rPr>
        <w:t>5.3.10.</w:t>
      </w:r>
      <w:r>
        <w:rPr>
          <w:rFonts w:hint="eastAsia" w:ascii="仿宋" w:hAnsi="仿宋" w:eastAsia="仿宋"/>
          <w:sz w:val="30"/>
          <w:szCs w:val="30"/>
          <w:highlight w:val="none"/>
        </w:rPr>
        <w:t>告警详情界面</w:t>
      </w:r>
    </w:p>
    <w:p w14:paraId="1E304F93">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点击各界面的一条告警通知</w:t>
      </w:r>
      <w:r>
        <w:rPr>
          <w:rFonts w:hint="eastAsia" w:ascii="仿宋_GB2312" w:hAnsi="仿宋_GB2312" w:eastAsia="仿宋_GB2312" w:cs="仿宋_GB2312"/>
          <w:kern w:val="0"/>
          <w:sz w:val="28"/>
          <w:szCs w:val="28"/>
          <w:highlight w:val="none"/>
        </w:rPr>
        <w:t>，</w:t>
      </w:r>
      <w:r>
        <w:rPr>
          <w:rFonts w:ascii="仿宋_GB2312" w:hAnsi="仿宋_GB2312" w:eastAsia="仿宋_GB2312" w:cs="仿宋_GB2312"/>
          <w:kern w:val="0"/>
          <w:sz w:val="28"/>
          <w:szCs w:val="28"/>
          <w:highlight w:val="none"/>
        </w:rPr>
        <w:t>均跳转到该界面</w:t>
      </w:r>
      <w:r>
        <w:rPr>
          <w:rFonts w:hint="eastAsia" w:ascii="仿宋_GB2312" w:hAnsi="仿宋_GB2312" w:eastAsia="仿宋_GB2312" w:cs="仿宋_GB2312"/>
          <w:kern w:val="0"/>
          <w:sz w:val="28"/>
          <w:szCs w:val="28"/>
          <w:highlight w:val="none"/>
        </w:rPr>
        <w:t>。</w:t>
      </w:r>
    </w:p>
    <w:p w14:paraId="3E6981F6">
      <w:pPr>
        <w:ind w:firstLine="640"/>
        <w:rPr>
          <w:rFonts w:hint="eastAsia" w:ascii="仿宋_GB2312" w:hAnsi="仿宋_GB2312" w:eastAsia="仿宋_GB2312" w:cs="仿宋_GB2312"/>
          <w:kern w:val="0"/>
          <w:sz w:val="28"/>
          <w:szCs w:val="28"/>
          <w:highlight w:val="none"/>
        </w:rPr>
      </w:pPr>
      <w:r>
        <w:rPr>
          <w:rFonts w:ascii="仿宋_GB2312" w:hAnsi="仿宋_GB2312" w:eastAsia="仿宋_GB2312" w:cs="仿宋_GB2312"/>
          <w:kern w:val="0"/>
          <w:sz w:val="28"/>
          <w:szCs w:val="28"/>
          <w:highlight w:val="none"/>
        </w:rPr>
        <w:t>该界面应显示以下要素</w:t>
      </w:r>
      <w:r>
        <w:rPr>
          <w:rFonts w:hint="eastAsia" w:ascii="仿宋_GB2312" w:hAnsi="仿宋_GB2312" w:eastAsia="仿宋_GB2312" w:cs="仿宋_GB2312"/>
          <w:kern w:val="0"/>
          <w:sz w:val="28"/>
          <w:szCs w:val="28"/>
          <w:highlight w:val="none"/>
        </w:rPr>
        <w:t>：</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1"/>
        <w:gridCol w:w="7976"/>
      </w:tblGrid>
      <w:tr w14:paraId="1BA22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06" w:type="pct"/>
            <w:noWrap/>
            <w:vAlign w:val="center"/>
          </w:tcPr>
          <w:p w14:paraId="70AB8B40">
            <w:pPr>
              <w:widowControl/>
              <w:jc w:val="left"/>
              <w:rPr>
                <w:rFonts w:hint="eastAsia" w:ascii="仿宋" w:hAnsi="仿宋" w:eastAsia="仿宋" w:cs="宋体"/>
                <w:b/>
                <w:bCs/>
                <w:color w:val="000000"/>
                <w:kern w:val="0"/>
                <w:sz w:val="24"/>
                <w:szCs w:val="24"/>
                <w:highlight w:val="none"/>
              </w:rPr>
            </w:pPr>
            <w:r>
              <w:rPr>
                <w:rFonts w:hint="eastAsia" w:ascii="仿宋" w:hAnsi="仿宋" w:eastAsia="仿宋" w:cs="宋体"/>
                <w:b/>
                <w:bCs/>
                <w:color w:val="000000"/>
                <w:kern w:val="0"/>
                <w:sz w:val="24"/>
                <w:szCs w:val="24"/>
                <w:highlight w:val="none"/>
              </w:rPr>
              <w:t>序号</w:t>
            </w:r>
          </w:p>
        </w:tc>
        <w:tc>
          <w:tcPr>
            <w:tcW w:w="4294" w:type="pct"/>
            <w:noWrap/>
            <w:vAlign w:val="center"/>
          </w:tcPr>
          <w:p w14:paraId="000A0659">
            <w:pPr>
              <w:widowControl/>
              <w:jc w:val="left"/>
              <w:rPr>
                <w:rFonts w:hint="eastAsia" w:ascii="仿宋" w:hAnsi="仿宋" w:eastAsia="仿宋" w:cs="宋体"/>
                <w:b/>
                <w:bCs/>
                <w:color w:val="000000"/>
                <w:kern w:val="0"/>
                <w:sz w:val="24"/>
                <w:szCs w:val="24"/>
                <w:highlight w:val="none"/>
              </w:rPr>
            </w:pPr>
            <w:r>
              <w:rPr>
                <w:rFonts w:hint="eastAsia" w:ascii="仿宋" w:hAnsi="仿宋" w:eastAsia="仿宋" w:cs="宋体"/>
                <w:b/>
                <w:bCs/>
                <w:color w:val="000000"/>
                <w:kern w:val="0"/>
                <w:sz w:val="24"/>
                <w:szCs w:val="24"/>
                <w:highlight w:val="none"/>
              </w:rPr>
              <w:t>要素</w:t>
            </w:r>
          </w:p>
        </w:tc>
      </w:tr>
      <w:tr w14:paraId="110F9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06" w:type="pct"/>
            <w:noWrap/>
            <w:vAlign w:val="center"/>
          </w:tcPr>
          <w:p w14:paraId="37BCE376">
            <w:pPr>
              <w:widowControl/>
              <w:jc w:val="left"/>
              <w:rPr>
                <w:rFonts w:hint="eastAsia" w:ascii="仿宋" w:hAnsi="仿宋" w:eastAsia="仿宋" w:cs="宋体"/>
                <w:b/>
                <w:bCs/>
                <w:color w:val="000000"/>
                <w:kern w:val="0"/>
                <w:sz w:val="24"/>
                <w:szCs w:val="24"/>
                <w:highlight w:val="none"/>
              </w:rPr>
            </w:pPr>
            <w:r>
              <w:rPr>
                <w:rFonts w:hint="eastAsia" w:ascii="仿宋" w:hAnsi="仿宋" w:eastAsia="仿宋" w:cs="宋体"/>
                <w:color w:val="000000"/>
                <w:kern w:val="0"/>
                <w:sz w:val="24"/>
                <w:szCs w:val="24"/>
                <w:highlight w:val="none"/>
              </w:rPr>
              <w:t>1</w:t>
            </w:r>
          </w:p>
        </w:tc>
        <w:tc>
          <w:tcPr>
            <w:tcW w:w="4294" w:type="pct"/>
            <w:noWrap/>
            <w:vAlign w:val="center"/>
          </w:tcPr>
          <w:p w14:paraId="646EFDE8">
            <w:pPr>
              <w:widowControl/>
              <w:jc w:val="left"/>
              <w:rPr>
                <w:rFonts w:hint="eastAsia" w:ascii="仿宋" w:hAnsi="仿宋" w:eastAsia="仿宋" w:cs="宋体"/>
                <w:bCs/>
                <w:color w:val="000000"/>
                <w:kern w:val="0"/>
                <w:sz w:val="24"/>
                <w:szCs w:val="24"/>
                <w:highlight w:val="none"/>
              </w:rPr>
            </w:pPr>
            <w:r>
              <w:rPr>
                <w:rFonts w:hint="eastAsia" w:ascii="仿宋" w:hAnsi="仿宋" w:eastAsia="仿宋" w:cs="宋体"/>
                <w:bCs/>
                <w:color w:val="000000"/>
                <w:kern w:val="0"/>
                <w:sz w:val="24"/>
                <w:szCs w:val="24"/>
                <w:highlight w:val="none"/>
              </w:rPr>
              <w:t>时间</w:t>
            </w:r>
          </w:p>
        </w:tc>
      </w:tr>
      <w:tr w14:paraId="71E0B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06" w:type="pct"/>
            <w:noWrap/>
            <w:vAlign w:val="center"/>
          </w:tcPr>
          <w:p w14:paraId="1E35059D">
            <w:pPr>
              <w:widowControl/>
              <w:jc w:val="left"/>
              <w:rPr>
                <w:rFonts w:hint="eastAsia" w:ascii="仿宋" w:hAnsi="仿宋" w:eastAsia="仿宋" w:cs="宋体"/>
                <w:color w:val="000000"/>
                <w:kern w:val="0"/>
                <w:sz w:val="24"/>
                <w:szCs w:val="24"/>
                <w:highlight w:val="none"/>
              </w:rPr>
            </w:pPr>
            <w:r>
              <w:rPr>
                <w:rFonts w:hint="eastAsia" w:ascii="仿宋" w:hAnsi="仿宋" w:eastAsia="仿宋" w:cs="宋体"/>
                <w:color w:val="000000"/>
                <w:kern w:val="0"/>
                <w:sz w:val="24"/>
                <w:szCs w:val="24"/>
                <w:highlight w:val="none"/>
              </w:rPr>
              <w:t>2</w:t>
            </w:r>
          </w:p>
        </w:tc>
        <w:tc>
          <w:tcPr>
            <w:tcW w:w="4294" w:type="pct"/>
            <w:noWrap/>
            <w:vAlign w:val="center"/>
          </w:tcPr>
          <w:p w14:paraId="73251D44">
            <w:pPr>
              <w:widowControl/>
              <w:jc w:val="left"/>
              <w:rPr>
                <w:rFonts w:hint="eastAsia" w:ascii="仿宋" w:hAnsi="仿宋" w:eastAsia="仿宋" w:cs="宋体"/>
                <w:color w:val="000000"/>
                <w:kern w:val="0"/>
                <w:sz w:val="24"/>
                <w:szCs w:val="24"/>
                <w:highlight w:val="none"/>
              </w:rPr>
            </w:pPr>
            <w:r>
              <w:rPr>
                <w:rFonts w:hint="eastAsia" w:ascii="仿宋" w:hAnsi="仿宋" w:eastAsia="仿宋" w:cs="宋体"/>
                <w:color w:val="000000"/>
                <w:kern w:val="0"/>
                <w:sz w:val="24"/>
                <w:szCs w:val="24"/>
                <w:highlight w:val="none"/>
              </w:rPr>
              <w:t>规则名称</w:t>
            </w:r>
          </w:p>
        </w:tc>
      </w:tr>
      <w:tr w14:paraId="14451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06" w:type="pct"/>
            <w:noWrap/>
            <w:vAlign w:val="center"/>
          </w:tcPr>
          <w:p w14:paraId="545755E4">
            <w:pPr>
              <w:widowControl/>
              <w:jc w:val="left"/>
              <w:rPr>
                <w:rFonts w:hint="eastAsia" w:ascii="仿宋" w:hAnsi="仿宋" w:eastAsia="仿宋" w:cs="宋体"/>
                <w:color w:val="000000"/>
                <w:kern w:val="0"/>
                <w:sz w:val="24"/>
                <w:szCs w:val="24"/>
                <w:highlight w:val="none"/>
              </w:rPr>
            </w:pPr>
            <w:r>
              <w:rPr>
                <w:rFonts w:hint="eastAsia" w:ascii="仿宋" w:hAnsi="仿宋" w:eastAsia="仿宋" w:cs="宋体"/>
                <w:color w:val="000000"/>
                <w:kern w:val="0"/>
                <w:sz w:val="24"/>
                <w:szCs w:val="24"/>
                <w:highlight w:val="none"/>
              </w:rPr>
              <w:t>3</w:t>
            </w:r>
          </w:p>
        </w:tc>
        <w:tc>
          <w:tcPr>
            <w:tcW w:w="4294" w:type="pct"/>
            <w:noWrap/>
            <w:vAlign w:val="center"/>
          </w:tcPr>
          <w:p w14:paraId="3586ED29">
            <w:pPr>
              <w:widowControl/>
              <w:jc w:val="left"/>
              <w:rPr>
                <w:rFonts w:hint="eastAsia" w:ascii="仿宋" w:hAnsi="仿宋" w:eastAsia="仿宋" w:cs="宋体"/>
                <w:color w:val="000000"/>
                <w:kern w:val="0"/>
                <w:sz w:val="24"/>
                <w:szCs w:val="24"/>
                <w:highlight w:val="none"/>
              </w:rPr>
            </w:pPr>
            <w:r>
              <w:rPr>
                <w:rFonts w:hint="eastAsia" w:ascii="仿宋" w:hAnsi="仿宋" w:eastAsia="仿宋" w:cs="宋体"/>
                <w:color w:val="000000"/>
                <w:kern w:val="0"/>
                <w:sz w:val="24"/>
                <w:szCs w:val="24"/>
                <w:highlight w:val="none"/>
              </w:rPr>
              <w:t>业务类别</w:t>
            </w:r>
          </w:p>
        </w:tc>
      </w:tr>
      <w:tr w14:paraId="4391B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06" w:type="pct"/>
            <w:noWrap/>
            <w:vAlign w:val="center"/>
          </w:tcPr>
          <w:p w14:paraId="39647C34">
            <w:pPr>
              <w:widowControl/>
              <w:jc w:val="left"/>
              <w:rPr>
                <w:rFonts w:hint="eastAsia" w:ascii="仿宋" w:hAnsi="仿宋" w:eastAsia="仿宋" w:cs="宋体"/>
                <w:color w:val="000000"/>
                <w:kern w:val="0"/>
                <w:sz w:val="24"/>
                <w:szCs w:val="24"/>
                <w:highlight w:val="none"/>
              </w:rPr>
            </w:pPr>
            <w:r>
              <w:rPr>
                <w:rFonts w:hint="eastAsia" w:ascii="仿宋" w:hAnsi="仿宋" w:eastAsia="仿宋" w:cs="宋体"/>
                <w:color w:val="000000"/>
                <w:kern w:val="0"/>
                <w:sz w:val="24"/>
                <w:szCs w:val="24"/>
                <w:highlight w:val="none"/>
              </w:rPr>
              <w:t>4</w:t>
            </w:r>
          </w:p>
        </w:tc>
        <w:tc>
          <w:tcPr>
            <w:tcW w:w="4294" w:type="pct"/>
            <w:noWrap/>
            <w:vAlign w:val="center"/>
          </w:tcPr>
          <w:p w14:paraId="5EFDA437">
            <w:pPr>
              <w:widowControl/>
              <w:jc w:val="left"/>
              <w:rPr>
                <w:rFonts w:hint="eastAsia" w:ascii="仿宋" w:hAnsi="仿宋" w:eastAsia="仿宋" w:cs="宋体"/>
                <w:color w:val="000000"/>
                <w:kern w:val="0"/>
                <w:sz w:val="24"/>
                <w:szCs w:val="24"/>
                <w:highlight w:val="none"/>
              </w:rPr>
            </w:pPr>
            <w:r>
              <w:rPr>
                <w:rFonts w:hint="eastAsia" w:ascii="仿宋" w:hAnsi="仿宋" w:eastAsia="仿宋" w:cs="宋体"/>
                <w:color w:val="000000"/>
                <w:kern w:val="0"/>
                <w:sz w:val="24"/>
                <w:szCs w:val="24"/>
                <w:highlight w:val="none"/>
              </w:rPr>
              <w:t>告警名称</w:t>
            </w:r>
          </w:p>
        </w:tc>
      </w:tr>
      <w:tr w14:paraId="69805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06" w:type="pct"/>
            <w:noWrap/>
            <w:vAlign w:val="center"/>
          </w:tcPr>
          <w:p w14:paraId="49144AF5">
            <w:pPr>
              <w:widowControl/>
              <w:jc w:val="left"/>
              <w:rPr>
                <w:rFonts w:hint="eastAsia" w:ascii="仿宋" w:hAnsi="仿宋" w:eastAsia="仿宋" w:cs="宋体"/>
                <w:color w:val="000000"/>
                <w:kern w:val="0"/>
                <w:sz w:val="24"/>
                <w:szCs w:val="24"/>
                <w:highlight w:val="none"/>
              </w:rPr>
            </w:pPr>
            <w:r>
              <w:rPr>
                <w:rFonts w:hint="eastAsia" w:ascii="仿宋" w:hAnsi="仿宋" w:eastAsia="仿宋" w:cs="宋体"/>
                <w:color w:val="000000"/>
                <w:kern w:val="0"/>
                <w:sz w:val="24"/>
                <w:szCs w:val="24"/>
                <w:highlight w:val="none"/>
              </w:rPr>
              <w:t>5</w:t>
            </w:r>
          </w:p>
        </w:tc>
        <w:tc>
          <w:tcPr>
            <w:tcW w:w="4294" w:type="pct"/>
            <w:noWrap/>
            <w:vAlign w:val="center"/>
          </w:tcPr>
          <w:p w14:paraId="2A8C7564">
            <w:pPr>
              <w:widowControl/>
              <w:jc w:val="left"/>
              <w:rPr>
                <w:rFonts w:hint="eastAsia" w:ascii="仿宋" w:hAnsi="仿宋" w:eastAsia="仿宋" w:cs="宋体"/>
                <w:color w:val="000000"/>
                <w:kern w:val="0"/>
                <w:sz w:val="24"/>
                <w:szCs w:val="24"/>
                <w:highlight w:val="none"/>
              </w:rPr>
            </w:pPr>
            <w:r>
              <w:rPr>
                <w:rFonts w:hint="eastAsia" w:ascii="仿宋" w:hAnsi="仿宋" w:eastAsia="仿宋" w:cs="宋体"/>
                <w:color w:val="000000"/>
                <w:kern w:val="0"/>
                <w:sz w:val="24"/>
                <w:szCs w:val="24"/>
                <w:highlight w:val="none"/>
              </w:rPr>
              <w:t>通知内容</w:t>
            </w:r>
          </w:p>
        </w:tc>
      </w:tr>
      <w:tr w14:paraId="478F9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06" w:type="pct"/>
            <w:noWrap/>
            <w:vAlign w:val="center"/>
          </w:tcPr>
          <w:p w14:paraId="7B6640BF">
            <w:pPr>
              <w:widowControl/>
              <w:jc w:val="left"/>
              <w:rPr>
                <w:rFonts w:hint="eastAsia" w:ascii="仿宋" w:hAnsi="仿宋" w:eastAsia="仿宋" w:cs="宋体"/>
                <w:color w:val="000000"/>
                <w:kern w:val="0"/>
                <w:sz w:val="24"/>
                <w:szCs w:val="24"/>
                <w:highlight w:val="none"/>
              </w:rPr>
            </w:pPr>
            <w:r>
              <w:rPr>
                <w:rFonts w:hint="eastAsia" w:ascii="仿宋" w:hAnsi="仿宋" w:eastAsia="仿宋" w:cs="宋体"/>
                <w:color w:val="000000"/>
                <w:kern w:val="0"/>
                <w:sz w:val="24"/>
                <w:szCs w:val="24"/>
                <w:highlight w:val="none"/>
              </w:rPr>
              <w:t>6</w:t>
            </w:r>
          </w:p>
        </w:tc>
        <w:tc>
          <w:tcPr>
            <w:tcW w:w="4294" w:type="pct"/>
            <w:noWrap/>
            <w:vAlign w:val="center"/>
          </w:tcPr>
          <w:p w14:paraId="1CCEE0B7">
            <w:pPr>
              <w:widowControl/>
              <w:jc w:val="left"/>
              <w:rPr>
                <w:rFonts w:hint="eastAsia" w:ascii="仿宋" w:hAnsi="仿宋" w:eastAsia="仿宋" w:cs="宋体"/>
                <w:color w:val="000000"/>
                <w:kern w:val="0"/>
                <w:sz w:val="24"/>
                <w:szCs w:val="24"/>
                <w:highlight w:val="none"/>
              </w:rPr>
            </w:pPr>
            <w:r>
              <w:rPr>
                <w:rFonts w:hint="eastAsia" w:ascii="仿宋" w:hAnsi="仿宋" w:eastAsia="仿宋" w:cs="宋体"/>
                <w:color w:val="000000"/>
                <w:kern w:val="0"/>
                <w:sz w:val="24"/>
                <w:szCs w:val="24"/>
                <w:highlight w:val="none"/>
              </w:rPr>
              <w:t>详细内容，列出规则代码提取的全部要素</w:t>
            </w:r>
          </w:p>
        </w:tc>
      </w:tr>
    </w:tbl>
    <w:p w14:paraId="6A238988">
      <w:pPr>
        <w:rPr>
          <w:rFonts w:hint="eastAsia" w:ascii="仿宋" w:hAnsi="仿宋" w:eastAsia="仿宋"/>
          <w:i/>
          <w:color w:val="0000CC"/>
          <w:sz w:val="24"/>
          <w:szCs w:val="30"/>
          <w:highlight w:val="none"/>
        </w:rPr>
      </w:pPr>
    </w:p>
    <w:p w14:paraId="7B78241C">
      <w:pPr>
        <w:snapToGrid w:val="0"/>
        <w:spacing w:line="360" w:lineRule="auto"/>
        <w:jc w:val="left"/>
        <w:rPr>
          <w:rFonts w:hint="default" w:ascii="Times New Roman Regular" w:hAnsi="Times New Roman Regular" w:eastAsia="宋体" w:cs="Times New Roman Regular"/>
          <w:b/>
          <w:bCs/>
          <w:color w:val="000000" w:themeColor="text1"/>
          <w:kern w:val="2"/>
          <w:sz w:val="24"/>
          <w:szCs w:val="24"/>
          <w:highlight w:val="none"/>
          <w:lang w:eastAsia="zh-CN" w:bidi="ar"/>
          <w14:textFill>
            <w14:solidFill>
              <w14:schemeClr w14:val="tx1"/>
            </w14:solidFill>
          </w14:textFill>
        </w:rPr>
      </w:pPr>
      <w:r>
        <w:rPr>
          <w:rFonts w:hint="default" w:ascii="Times New Roman Regular" w:hAnsi="Times New Roman Regular" w:eastAsia="宋体" w:cs="Times New Roman Regular"/>
          <w:b/>
          <w:bCs/>
          <w:color w:val="000000" w:themeColor="text1"/>
          <w:sz w:val="44"/>
          <w:szCs w:val="44"/>
          <w:highlight w:val="none"/>
          <w14:textFill>
            <w14:solidFill>
              <w14:schemeClr w14:val="tx1"/>
            </w14:solidFill>
          </w14:textFill>
        </w:rPr>
        <w:br w:type="page"/>
      </w:r>
    </w:p>
    <w:p w14:paraId="17FDC35C">
      <w:pPr>
        <w:pStyle w:val="3"/>
        <w:spacing w:line="360" w:lineRule="auto"/>
        <w:jc w:val="center"/>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pPr>
      <w:bookmarkStart w:id="104" w:name="_Toc1383947364"/>
      <w:r>
        <w:rPr>
          <w:rFonts w:hint="default" w:ascii="Times New Roman Regular" w:hAnsi="Times New Roman Regular" w:eastAsia="宋体" w:cs="Times New Roman Regular"/>
          <w:bCs/>
          <w:color w:val="000000" w:themeColor="text1"/>
          <w:sz w:val="52"/>
          <w:szCs w:val="52"/>
          <w:highlight w:val="none"/>
          <w14:textFill>
            <w14:solidFill>
              <w14:schemeClr w14:val="tx1"/>
            </w14:solidFill>
          </w14:textFill>
        </w:rPr>
        <w:t>第六章 附  件</w:t>
      </w:r>
      <w:bookmarkEnd w:id="101"/>
      <w:bookmarkEnd w:id="102"/>
      <w:bookmarkEnd w:id="103"/>
      <w:bookmarkEnd w:id="104"/>
    </w:p>
    <w:p w14:paraId="7D3C6BA5">
      <w:pPr>
        <w:pStyle w:val="4"/>
        <w:spacing w:line="360" w:lineRule="auto"/>
        <w:jc w:val="cente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pPr>
      <w:bookmarkStart w:id="105" w:name="_Toc135999006"/>
      <w:bookmarkStart w:id="106" w:name="_Toc493429414"/>
      <w:bookmarkStart w:id="107" w:name="_Toc161767428"/>
      <w: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br w:type="page"/>
      </w:r>
      <w:bookmarkStart w:id="108" w:name="_Toc136440107"/>
      <w: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t>附件1：投标函</w:t>
      </w:r>
      <w:bookmarkEnd w:id="105"/>
      <w:bookmarkEnd w:id="106"/>
      <w:bookmarkEnd w:id="107"/>
      <w:bookmarkEnd w:id="108"/>
    </w:p>
    <w:p w14:paraId="11FAA73C">
      <w:pPr>
        <w:spacing w:line="360" w:lineRule="auto"/>
        <w:rPr>
          <w:rFonts w:hint="default" w:ascii="Times New Roman Regular" w:hAnsi="Times New Roman Regular" w:eastAsia="宋体" w:cs="Times New Roman Regular"/>
          <w:color w:val="000000" w:themeColor="text1"/>
          <w:sz w:val="24"/>
          <w:highlight w:val="none"/>
          <w14:textFill>
            <w14:solidFill>
              <w14:schemeClr w14:val="tx1"/>
            </w14:solidFill>
          </w14:textFill>
        </w:rPr>
      </w:pPr>
    </w:p>
    <w:p w14:paraId="57EE59E0">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t>成方金融科技有限公司</w:t>
      </w:r>
      <w:r>
        <w:rPr>
          <w:rFonts w:hint="default" w:ascii="Times New Roman Regular" w:hAnsi="Times New Roman Regular" w:eastAsia="宋体" w:cs="Times New Roman Regular"/>
          <w:color w:val="000000" w:themeColor="text1"/>
          <w:highlight w:val="none"/>
          <w14:textFill>
            <w14:solidFill>
              <w14:schemeClr w14:val="tx1"/>
            </w14:solidFill>
          </w14:textFill>
        </w:rPr>
        <w:t>：</w:t>
      </w:r>
    </w:p>
    <w:p w14:paraId="6DFABF3D">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 xml:space="preserve">    </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（投标人全称）       </w:t>
      </w:r>
      <w:r>
        <w:rPr>
          <w:rFonts w:hint="default" w:ascii="Times New Roman Regular" w:hAnsi="Times New Roman Regular" w:eastAsia="宋体" w:cs="Times New Roman Regular"/>
          <w:color w:val="000000" w:themeColor="text1"/>
          <w:highlight w:val="none"/>
          <w14:textFill>
            <w14:solidFill>
              <w14:schemeClr w14:val="tx1"/>
            </w14:solidFill>
          </w14:textFill>
        </w:rPr>
        <w:t>授权</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（全权代表姓名、职务、职称）     </w:t>
      </w:r>
      <w:r>
        <w:rPr>
          <w:rFonts w:hint="default" w:ascii="Times New Roman Regular" w:hAnsi="Times New Roman Regular" w:eastAsia="宋体" w:cs="Times New Roman Regular"/>
          <w:color w:val="000000" w:themeColor="text1"/>
          <w:highlight w:val="none"/>
          <w14:textFill>
            <w14:solidFill>
              <w14:schemeClr w14:val="tx1"/>
            </w14:solidFill>
          </w14:textFill>
        </w:rPr>
        <w:t>为全权代表，参加贵方组织的</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（招标编号、招标项目名称）      </w:t>
      </w:r>
      <w:r>
        <w:rPr>
          <w:rFonts w:hint="default" w:ascii="Times New Roman Regular" w:hAnsi="Times New Roman Regular" w:eastAsia="宋体" w:cs="Times New Roman Regular"/>
          <w:color w:val="000000" w:themeColor="text1"/>
          <w:highlight w:val="none"/>
          <w14:textFill>
            <w14:solidFill>
              <w14:schemeClr w14:val="tx1"/>
            </w14:solidFill>
          </w14:textFill>
        </w:rPr>
        <w:t>招标的有关活动，为此：</w:t>
      </w:r>
    </w:p>
    <w:p w14:paraId="47877155">
      <w:pPr>
        <w:numPr>
          <w:ilvl w:val="0"/>
          <w:numId w:val="11"/>
        </w:numPr>
        <w:tabs>
          <w:tab w:val="clear" w:pos="840"/>
        </w:tabs>
        <w:spacing w:line="360" w:lineRule="auto"/>
        <w:ind w:left="420" w:firstLine="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提供投标人须知规定的全部投标文件（正本[ 1 ]份，副本[5]份、电子版[ 1 ]份）。</w:t>
      </w:r>
    </w:p>
    <w:p w14:paraId="3213B28E">
      <w:pPr>
        <w:numPr>
          <w:ilvl w:val="0"/>
          <w:numId w:val="11"/>
        </w:numPr>
        <w:tabs>
          <w:tab w:val="left" w:pos="1260"/>
          <w:tab w:val="clear" w:pos="840"/>
        </w:tabs>
        <w:spacing w:line="360" w:lineRule="auto"/>
        <w:ind w:left="1260" w:hanging="84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所附投标价格表中规定的应提供的投标总价为：（详见附件2：投标一览表）。</w:t>
      </w:r>
    </w:p>
    <w:p w14:paraId="38B5C1E9">
      <w:pPr>
        <w:numPr>
          <w:ilvl w:val="0"/>
          <w:numId w:val="11"/>
        </w:num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投标人将按招标文件的规定履行全部责任和义务。</w:t>
      </w:r>
    </w:p>
    <w:p w14:paraId="2FDCD6B2">
      <w:pPr>
        <w:numPr>
          <w:ilvl w:val="0"/>
          <w:numId w:val="11"/>
        </w:numPr>
        <w:tabs>
          <w:tab w:val="left" w:pos="1260"/>
          <w:tab w:val="clear" w:pos="840"/>
        </w:tabs>
        <w:spacing w:line="360" w:lineRule="auto"/>
        <w:ind w:left="1260" w:hanging="84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投标人已详细审查全部招标文件，我们完全理解并同意放弃对招标文件提出质疑及/或争议的权利。</w:t>
      </w:r>
    </w:p>
    <w:p w14:paraId="46253657">
      <w:pPr>
        <w:numPr>
          <w:ilvl w:val="0"/>
          <w:numId w:val="11"/>
        </w:num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本投标有效期为自开标日起</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90 </w:t>
      </w:r>
      <w:r>
        <w:rPr>
          <w:rFonts w:hint="default" w:ascii="Times New Roman Regular" w:hAnsi="Times New Roman Regular" w:eastAsia="宋体" w:cs="Times New Roman Regular"/>
          <w:color w:val="000000" w:themeColor="text1"/>
          <w:highlight w:val="none"/>
          <w14:textFill>
            <w14:solidFill>
              <w14:schemeClr w14:val="tx1"/>
            </w14:solidFill>
          </w14:textFill>
        </w:rPr>
        <w:t>个日历日。</w:t>
      </w:r>
    </w:p>
    <w:p w14:paraId="1CA292FB">
      <w:pPr>
        <w:numPr>
          <w:ilvl w:val="0"/>
          <w:numId w:val="11"/>
        </w:numPr>
        <w:tabs>
          <w:tab w:val="left" w:pos="1260"/>
          <w:tab w:val="clear" w:pos="840"/>
        </w:tabs>
        <w:spacing w:line="360" w:lineRule="auto"/>
        <w:ind w:left="1260" w:hanging="84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如果在规定的开标时间后，投标人在投标有效期内撤销投标，投标保证金将被贵方没收。</w:t>
      </w:r>
    </w:p>
    <w:p w14:paraId="23ED65D3">
      <w:pPr>
        <w:numPr>
          <w:ilvl w:val="0"/>
          <w:numId w:val="11"/>
        </w:numPr>
        <w:tabs>
          <w:tab w:val="left" w:pos="1260"/>
          <w:tab w:val="clear" w:pos="840"/>
        </w:tabs>
        <w:spacing w:line="360" w:lineRule="auto"/>
        <w:ind w:left="1260" w:hanging="84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愿意向贵方提供任何与该项投标有关的数据、情况和技术资料，完全理解贵方不一定接受最低价的投标或收到的任何投标。</w:t>
      </w:r>
    </w:p>
    <w:p w14:paraId="656823CB">
      <w:pPr>
        <w:numPr>
          <w:ilvl w:val="0"/>
          <w:numId w:val="11"/>
        </w:numPr>
        <w:tabs>
          <w:tab w:val="left" w:pos="1260"/>
          <w:tab w:val="clear" w:pos="840"/>
        </w:tabs>
        <w:spacing w:line="360" w:lineRule="auto"/>
        <w:ind w:left="1260" w:hanging="84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我方授权贵方查询或调查我们递交的与本投标文件有关的声明、文件和资料，并同意在贵方的要求下提供相关文件或证书的原件及其他相关书面材料，以及通过我们的开户银行和客户澄清投标文件中有关财务和技术方面的问题。</w:t>
      </w:r>
    </w:p>
    <w:p w14:paraId="67322246">
      <w:pPr>
        <w:numPr>
          <w:ilvl w:val="0"/>
          <w:numId w:val="11"/>
        </w:numPr>
        <w:tabs>
          <w:tab w:val="left" w:pos="1260"/>
          <w:tab w:val="clear" w:pos="840"/>
        </w:tabs>
        <w:spacing w:line="360" w:lineRule="auto"/>
        <w:ind w:left="1260" w:hanging="84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我方承诺：</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具有独立承担民事责任的能力</w:t>
      </w:r>
      <w:r>
        <w:rPr>
          <w:rFonts w:hint="default" w:ascii="Times New Roman Regular" w:hAnsi="Times New Roman Regular" w:eastAsia="宋体" w:cs="Times New Roman Regular"/>
          <w:bCs/>
          <w:color w:val="000000" w:themeColor="text1"/>
          <w:szCs w:val="21"/>
          <w:highlight w:val="none"/>
          <w14:textFill>
            <w14:solidFill>
              <w14:schemeClr w14:val="tx1"/>
            </w14:solidFill>
          </w14:textFill>
        </w:rPr>
        <w:t>。</w:t>
      </w:r>
    </w:p>
    <w:p w14:paraId="0959B71E">
      <w:pPr>
        <w:numPr>
          <w:ilvl w:val="0"/>
          <w:numId w:val="11"/>
        </w:numPr>
        <w:tabs>
          <w:tab w:val="left" w:pos="1260"/>
          <w:tab w:val="clear" w:pos="840"/>
        </w:tabs>
        <w:spacing w:line="360" w:lineRule="auto"/>
        <w:ind w:left="1260" w:hanging="84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我方承诺：</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具有良好的商业信誉和健全的财务会计制度</w:t>
      </w:r>
      <w:r>
        <w:rPr>
          <w:rFonts w:hint="default" w:ascii="Times New Roman Regular" w:hAnsi="Times New Roman Regular" w:eastAsia="宋体" w:cs="Times New Roman Regular"/>
          <w:color w:val="000000" w:themeColor="text1"/>
          <w:highlight w:val="none"/>
          <w14:textFill>
            <w14:solidFill>
              <w14:schemeClr w14:val="tx1"/>
            </w14:solidFill>
          </w14:textFill>
        </w:rPr>
        <w:t>。</w:t>
      </w:r>
    </w:p>
    <w:p w14:paraId="51D2ABA6">
      <w:pPr>
        <w:numPr>
          <w:ilvl w:val="0"/>
          <w:numId w:val="11"/>
        </w:numPr>
        <w:tabs>
          <w:tab w:val="left" w:pos="1260"/>
          <w:tab w:val="clear" w:pos="840"/>
        </w:tabs>
        <w:spacing w:line="360" w:lineRule="auto"/>
        <w:ind w:left="1260" w:hanging="84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我方承诺：我方</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信用状况良好，在本项目响应文件递交截止时间前三年内，在经营活动中没有重大违法记录。</w:t>
      </w:r>
    </w:p>
    <w:p w14:paraId="1A0FF086">
      <w:pPr>
        <w:numPr>
          <w:ilvl w:val="0"/>
          <w:numId w:val="11"/>
        </w:numPr>
        <w:tabs>
          <w:tab w:val="left" w:pos="1260"/>
          <w:tab w:val="clear" w:pos="840"/>
        </w:tabs>
        <w:spacing w:line="360" w:lineRule="auto"/>
        <w:ind w:left="1260" w:hanging="84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我方承诺：</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具备履行合同所必需的设备和专业技术能力</w:t>
      </w:r>
      <w:r>
        <w:rPr>
          <w:rFonts w:hint="default" w:ascii="Times New Roman Regular" w:hAnsi="Times New Roman Regular" w:eastAsia="宋体" w:cs="Times New Roman Regular"/>
          <w:bCs/>
          <w:color w:val="000000" w:themeColor="text1"/>
          <w:szCs w:val="21"/>
          <w:highlight w:val="none"/>
          <w14:textFill>
            <w14:solidFill>
              <w14:schemeClr w14:val="tx1"/>
            </w14:solidFill>
          </w14:textFill>
        </w:rPr>
        <w:t>。</w:t>
      </w:r>
    </w:p>
    <w:p w14:paraId="708B09C3">
      <w:pPr>
        <w:numPr>
          <w:ilvl w:val="0"/>
          <w:numId w:val="11"/>
        </w:numPr>
        <w:tabs>
          <w:tab w:val="left" w:pos="1260"/>
          <w:tab w:val="clear" w:pos="840"/>
        </w:tabs>
        <w:spacing w:line="360" w:lineRule="auto"/>
        <w:ind w:left="1260" w:hanging="840"/>
        <w:rPr>
          <w:rFonts w:hint="default" w:ascii="Times New Roman Regular" w:hAnsi="Times New Roman Regular" w:eastAsia="宋体" w:cs="Times New Roman Regular"/>
          <w:bCs/>
          <w:color w:val="000000" w:themeColor="text1"/>
          <w:highlight w:val="none"/>
          <w14:textFill>
            <w14:solidFill>
              <w14:schemeClr w14:val="tx1"/>
            </w14:solidFill>
          </w14:textFill>
        </w:rPr>
      </w:pPr>
      <w:r>
        <w:rPr>
          <w:rFonts w:hint="default" w:ascii="Times New Roman Regular" w:hAnsi="Times New Roman Regular" w:eastAsia="宋体" w:cs="Times New Roman Regular"/>
          <w:bCs/>
          <w:color w:val="000000" w:themeColor="text1"/>
          <w:highlight w:val="none"/>
          <w14:textFill>
            <w14:solidFill>
              <w14:schemeClr w14:val="tx1"/>
            </w14:solidFill>
          </w14:textFill>
        </w:rPr>
        <w:t>我方承诺：</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可开具正式增值税专用发票</w:t>
      </w:r>
      <w:r>
        <w:rPr>
          <w:rFonts w:hint="default" w:ascii="Times New Roman Regular" w:hAnsi="Times New Roman Regular" w:eastAsia="宋体" w:cs="Times New Roman Regular"/>
          <w:bCs/>
          <w:color w:val="000000" w:themeColor="text1"/>
          <w:highlight w:val="none"/>
          <w14:textFill>
            <w14:solidFill>
              <w14:schemeClr w14:val="tx1"/>
            </w14:solidFill>
          </w14:textFill>
        </w:rPr>
        <w:t>。</w:t>
      </w:r>
    </w:p>
    <w:p w14:paraId="210269D0">
      <w:pPr>
        <w:numPr>
          <w:ilvl w:val="0"/>
          <w:numId w:val="11"/>
        </w:numPr>
        <w:tabs>
          <w:tab w:val="left" w:pos="1260"/>
          <w:tab w:val="clear" w:pos="840"/>
        </w:tabs>
        <w:spacing w:line="360" w:lineRule="auto"/>
        <w:ind w:left="1260" w:hanging="840"/>
        <w:rPr>
          <w:rFonts w:hint="default" w:ascii="Times New Roman Regular" w:hAnsi="Times New Roman Regular" w:eastAsia="宋体" w:cs="Times New Roman Regular"/>
          <w:bCs/>
          <w:color w:val="000000" w:themeColor="text1"/>
          <w:highlight w:val="none"/>
          <w14:textFill>
            <w14:solidFill>
              <w14:schemeClr w14:val="tx1"/>
            </w14:solidFill>
          </w14:textFill>
        </w:rPr>
      </w:pPr>
      <w:r>
        <w:rPr>
          <w:rFonts w:hint="default" w:ascii="Times New Roman Regular" w:hAnsi="Times New Roman Regular" w:eastAsia="宋体" w:cs="Times New Roman Regular"/>
          <w:bCs/>
          <w:color w:val="000000" w:themeColor="text1"/>
          <w:highlight w:val="none"/>
          <w14:textFill>
            <w14:solidFill>
              <w14:schemeClr w14:val="tx1"/>
            </w14:solidFill>
          </w14:textFill>
        </w:rPr>
        <w:t>我方承诺：</w:t>
      </w:r>
      <w:r>
        <w:rPr>
          <w:rFonts w:hint="default" w:ascii="Times New Roman Regular" w:hAnsi="Times New Roman Regular" w:eastAsia="宋体" w:cs="Times New Roman Regular"/>
          <w:bCs/>
          <w:color w:val="000000" w:themeColor="text1"/>
          <w:szCs w:val="21"/>
          <w:highlight w:val="none"/>
          <w14:textFill>
            <w14:solidFill>
              <w14:schemeClr w14:val="tx1"/>
            </w14:solidFill>
          </w14:textFill>
        </w:rPr>
        <w:t>我方</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在法律和财务上独立、合法运作并独立于招标人和代理机构，未直接或间接地与招标人为本项目所委托的其他机构有任何关联。我方公司及我方主要股东、高管或主要负责人未与招标人有任何关联关系或利害关系。</w:t>
      </w:r>
    </w:p>
    <w:p w14:paraId="0ACBD3E8">
      <w:pPr>
        <w:numPr>
          <w:ilvl w:val="0"/>
          <w:numId w:val="11"/>
        </w:numPr>
        <w:tabs>
          <w:tab w:val="left" w:pos="1260"/>
          <w:tab w:val="clear" w:pos="840"/>
        </w:tabs>
        <w:spacing w:line="360" w:lineRule="auto"/>
        <w:ind w:left="1260" w:hanging="840"/>
        <w:rPr>
          <w:rFonts w:hint="default" w:ascii="Times New Roman Regular" w:hAnsi="Times New Roman Regular" w:eastAsia="宋体" w:cs="Times New Roman Regular"/>
          <w:bCs/>
          <w:color w:val="000000" w:themeColor="text1"/>
          <w:highlight w:val="none"/>
          <w14:textFill>
            <w14:solidFill>
              <w14:schemeClr w14:val="tx1"/>
            </w14:solidFill>
          </w14:textFill>
        </w:rPr>
      </w:pPr>
      <w:r>
        <w:rPr>
          <w:rFonts w:hint="default" w:ascii="Times New Roman Regular" w:hAnsi="Times New Roman Regular" w:eastAsia="宋体" w:cs="Times New Roman Regular"/>
          <w:bCs/>
          <w:color w:val="000000" w:themeColor="text1"/>
          <w:highlight w:val="none"/>
          <w14:textFill>
            <w14:solidFill>
              <w14:schemeClr w14:val="tx1"/>
            </w14:solidFill>
          </w14:textFill>
        </w:rPr>
        <w:t>我方承诺：我方不存在单位负责人为同一人或者存在控股、管理关系的不同单位，参加同一标段投标或者未划分标段的同一采购项目投标。</w:t>
      </w:r>
    </w:p>
    <w:p w14:paraId="488D1CF5">
      <w:pPr>
        <w:numPr>
          <w:ilvl w:val="0"/>
          <w:numId w:val="11"/>
        </w:numPr>
        <w:tabs>
          <w:tab w:val="left" w:pos="1260"/>
          <w:tab w:val="clear" w:pos="840"/>
        </w:tabs>
        <w:spacing w:line="360" w:lineRule="auto"/>
        <w:ind w:left="1260" w:hanging="840"/>
        <w:rPr>
          <w:rFonts w:hint="default" w:ascii="Times New Roman Regular" w:hAnsi="Times New Roman Regular" w:eastAsia="宋体" w:cs="Times New Roman Regular"/>
          <w:bCs/>
          <w:color w:val="000000" w:themeColor="text1"/>
          <w:highlight w:val="none"/>
          <w14:textFill>
            <w14:solidFill>
              <w14:schemeClr w14:val="tx1"/>
            </w14:solidFill>
          </w14:textFill>
        </w:rPr>
      </w:pPr>
      <w:r>
        <w:rPr>
          <w:rFonts w:hint="default" w:ascii="Times New Roman Regular" w:hAnsi="Times New Roman Regular" w:eastAsia="宋体" w:cs="Times New Roman Regular"/>
          <w:bCs/>
          <w:color w:val="000000" w:themeColor="text1"/>
          <w:highlight w:val="none"/>
          <w14:textFill>
            <w14:solidFill>
              <w14:schemeClr w14:val="tx1"/>
            </w14:solidFill>
          </w14:textFill>
        </w:rPr>
        <w:t>我方保证，招标人在其本国使用其提供的货物或服务时，不存在任何已知的不合法的情形，也不存在任何已知的与第三方专利权、著作权、商标权或工业设计权相关的任何争议。如果有任何因招标人使用其提供的货物或服务而提起的侵权指控，我方依法承担全部责任。</w:t>
      </w:r>
    </w:p>
    <w:p w14:paraId="689CCD40">
      <w:pPr>
        <w:numPr>
          <w:ilvl w:val="0"/>
          <w:numId w:val="11"/>
        </w:numPr>
        <w:tabs>
          <w:tab w:val="left" w:pos="1260"/>
          <w:tab w:val="clear" w:pos="840"/>
        </w:tabs>
        <w:spacing w:line="360" w:lineRule="auto"/>
        <w:ind w:left="1260" w:hanging="840"/>
        <w:rPr>
          <w:rFonts w:hint="default" w:ascii="Times New Roman Regular" w:hAnsi="Times New Roman Regular" w:eastAsia="宋体" w:cs="Times New Roman Regular"/>
          <w:bCs/>
          <w:color w:val="000000" w:themeColor="text1"/>
          <w:highlight w:val="none"/>
          <w14:textFill>
            <w14:solidFill>
              <w14:schemeClr w14:val="tx1"/>
            </w14:solidFill>
          </w14:textFill>
        </w:rPr>
      </w:pPr>
      <w:r>
        <w:rPr>
          <w:rFonts w:hint="default" w:ascii="Times New Roman Regular" w:hAnsi="Times New Roman Regular" w:eastAsia="宋体" w:cs="Times New Roman Regular"/>
          <w:bCs/>
          <w:color w:val="000000" w:themeColor="text1"/>
          <w:highlight w:val="none"/>
          <w14:textFill>
            <w14:solidFill>
              <w14:schemeClr w14:val="tx1"/>
            </w14:solidFill>
          </w14:textFill>
        </w:rPr>
        <w:t>我方承诺：本项目不存在将采购内容以任何方式进行转包/分包。</w:t>
      </w:r>
    </w:p>
    <w:p w14:paraId="627AFFD1">
      <w:pPr>
        <w:numPr>
          <w:ilvl w:val="0"/>
          <w:numId w:val="11"/>
        </w:numPr>
        <w:tabs>
          <w:tab w:val="left" w:pos="1260"/>
          <w:tab w:val="clear" w:pos="840"/>
        </w:tabs>
        <w:spacing w:line="360" w:lineRule="auto"/>
        <w:ind w:left="1260" w:hanging="840"/>
        <w:rPr>
          <w:rFonts w:hint="default" w:ascii="Times New Roman Regular" w:hAnsi="Times New Roman Regular" w:eastAsia="宋体" w:cs="Times New Roman Regular"/>
          <w:bCs/>
          <w:color w:val="000000" w:themeColor="text1"/>
          <w:highlight w:val="none"/>
          <w14:textFill>
            <w14:solidFill>
              <w14:schemeClr w14:val="tx1"/>
            </w14:solidFill>
          </w14:textFill>
        </w:rPr>
      </w:pPr>
      <w:r>
        <w:rPr>
          <w:rFonts w:hint="default" w:ascii="Times New Roman Regular" w:hAnsi="Times New Roman Regular" w:eastAsia="宋体" w:cs="Times New Roman Regular"/>
          <w:bCs/>
          <w:color w:val="000000" w:themeColor="text1"/>
          <w:highlight w:val="none"/>
          <w14:textFill>
            <w14:solidFill>
              <w14:schemeClr w14:val="tx1"/>
            </w14:solidFill>
          </w14:textFill>
        </w:rPr>
        <w:t>我方承诺：本项目不存在联合体投标。</w:t>
      </w:r>
    </w:p>
    <w:p w14:paraId="23B4E086">
      <w:pPr>
        <w:numPr>
          <w:ilvl w:val="0"/>
          <w:numId w:val="11"/>
        </w:numPr>
        <w:tabs>
          <w:tab w:val="left" w:pos="1260"/>
          <w:tab w:val="clear" w:pos="840"/>
        </w:tabs>
        <w:spacing w:line="360" w:lineRule="auto"/>
        <w:ind w:left="1260" w:hanging="840"/>
        <w:rPr>
          <w:rFonts w:hint="default" w:ascii="Times New Roman Regular" w:hAnsi="Times New Roman Regular" w:eastAsia="宋体" w:cs="Times New Roman Regular"/>
          <w:bCs/>
          <w:color w:val="000000" w:themeColor="text1"/>
          <w:highlight w:val="none"/>
          <w14:textFill>
            <w14:solidFill>
              <w14:schemeClr w14:val="tx1"/>
            </w14:solidFill>
          </w14:textFill>
        </w:rPr>
      </w:pPr>
      <w:r>
        <w:rPr>
          <w:rFonts w:hint="default" w:ascii="Times New Roman Regular" w:hAnsi="Times New Roman Regular" w:eastAsia="宋体" w:cs="Times New Roman Regular"/>
          <w:bCs/>
          <w:color w:val="000000" w:themeColor="text1"/>
          <w:highlight w:val="none"/>
          <w14:textFill>
            <w14:solidFill>
              <w14:schemeClr w14:val="tx1"/>
            </w14:solidFill>
          </w14:textFill>
        </w:rPr>
        <w:t>我方承诺：有依法缴纳税收和社会保障资金的良好记录。</w:t>
      </w:r>
    </w:p>
    <w:p w14:paraId="6D164839">
      <w:pPr>
        <w:numPr>
          <w:ilvl w:val="0"/>
          <w:numId w:val="11"/>
        </w:numPr>
        <w:tabs>
          <w:tab w:val="left" w:pos="1260"/>
          <w:tab w:val="clear" w:pos="840"/>
        </w:tabs>
        <w:spacing w:line="360" w:lineRule="auto"/>
        <w:ind w:left="1260" w:hanging="840"/>
        <w:rPr>
          <w:rFonts w:hint="default" w:ascii="Times New Roman Regular" w:hAnsi="Times New Roman Regular" w:eastAsia="宋体" w:cs="Times New Roman Regular"/>
          <w:bCs/>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我方已向招标代理机构购买招标文件并登记备案。</w:t>
      </w:r>
    </w:p>
    <w:p w14:paraId="0ADDA0DB">
      <w:pPr>
        <w:numPr>
          <w:ilvl w:val="0"/>
          <w:numId w:val="11"/>
        </w:numPr>
        <w:tabs>
          <w:tab w:val="left" w:pos="1260"/>
          <w:tab w:val="clear" w:pos="840"/>
        </w:tabs>
        <w:spacing w:line="360" w:lineRule="auto"/>
        <w:ind w:left="1260" w:hanging="840"/>
        <w:rPr>
          <w:rFonts w:hint="default" w:ascii="Times New Roman Regular" w:hAnsi="Times New Roman Regular" w:eastAsia="宋体" w:cs="Times New Roman Regular"/>
          <w:bCs/>
          <w:color w:val="000000" w:themeColor="text1"/>
          <w:highlight w:val="none"/>
          <w14:textFill>
            <w14:solidFill>
              <w14:schemeClr w14:val="tx1"/>
            </w14:solidFill>
          </w14:textFill>
        </w:rPr>
      </w:pPr>
      <w:r>
        <w:rPr>
          <w:rFonts w:hint="default" w:ascii="Times New Roman Regular" w:hAnsi="Times New Roman Regular" w:eastAsia="宋体" w:cs="Times New Roman Regular"/>
          <w:bCs/>
          <w:color w:val="000000" w:themeColor="text1"/>
          <w:highlight w:val="none"/>
          <w14:textFill>
            <w14:solidFill>
              <w14:schemeClr w14:val="tx1"/>
            </w14:solidFill>
          </w14:textFill>
        </w:rPr>
        <w:t>我方承诺，法定代表人为同一个人的两个及两个以上法人，母公司与全资子公司/由其控股的子公司，不得同时参与本项目投标。</w:t>
      </w:r>
    </w:p>
    <w:p w14:paraId="438F1AE8">
      <w:pPr>
        <w:numPr>
          <w:ilvl w:val="0"/>
          <w:numId w:val="11"/>
        </w:numPr>
        <w:tabs>
          <w:tab w:val="left" w:pos="1260"/>
          <w:tab w:val="clear" w:pos="840"/>
        </w:tabs>
        <w:spacing w:line="360" w:lineRule="auto"/>
        <w:ind w:left="1260" w:hanging="840"/>
        <w:rPr>
          <w:rFonts w:hint="default" w:ascii="Times New Roman Regular" w:hAnsi="Times New Roman Regular" w:eastAsia="宋体" w:cs="Times New Roman Regular"/>
          <w:bCs/>
          <w:color w:val="000000" w:themeColor="text1"/>
          <w:highlight w:val="none"/>
          <w14:textFill>
            <w14:solidFill>
              <w14:schemeClr w14:val="tx1"/>
            </w14:solidFill>
          </w14:textFill>
        </w:rPr>
      </w:pPr>
      <w:r>
        <w:rPr>
          <w:rFonts w:hint="default" w:ascii="Times New Roman Regular" w:hAnsi="Times New Roman Regular" w:eastAsia="宋体" w:cs="Times New Roman Regular"/>
          <w:bCs/>
          <w:color w:val="000000" w:themeColor="text1"/>
          <w:szCs w:val="21"/>
          <w:highlight w:val="none"/>
          <w14:textFill>
            <w14:solidFill>
              <w14:schemeClr w14:val="tx1"/>
            </w14:solidFill>
          </w14:textFill>
        </w:rPr>
        <w:t>我方理解并认同，招标人有权在任何时刻取消本项目的采购。</w:t>
      </w:r>
    </w:p>
    <w:p w14:paraId="64081537">
      <w:pPr>
        <w:numPr>
          <w:ilvl w:val="0"/>
          <w:numId w:val="11"/>
        </w:numPr>
        <w:tabs>
          <w:tab w:val="left" w:pos="1260"/>
          <w:tab w:val="clear" w:pos="840"/>
        </w:tabs>
        <w:spacing w:line="360" w:lineRule="auto"/>
        <w:ind w:left="1260" w:hanging="84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与本投标有关的一切往来通讯请寄：</w:t>
      </w:r>
    </w:p>
    <w:p w14:paraId="2522BE24">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40E538C7">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 xml:space="preserve">地址 </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highlight w:val="none"/>
          <w14:textFill>
            <w14:solidFill>
              <w14:schemeClr w14:val="tx1"/>
            </w14:solidFill>
          </w14:textFill>
        </w:rPr>
        <w:t xml:space="preserve">    传真  </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34C011FF">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 xml:space="preserve">电话 </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highlight w:val="none"/>
          <w14:textFill>
            <w14:solidFill>
              <w14:schemeClr w14:val="tx1"/>
            </w14:solidFill>
          </w14:textFill>
        </w:rPr>
        <w:t xml:space="preserve">    电子函件</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477F2619">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73E56B57">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投标人名称（盖章）：</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 xml:space="preserve">                                      </w:t>
      </w:r>
    </w:p>
    <w:p w14:paraId="4353D5C7">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授权代理人（签字）：</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 xml:space="preserve"> </w:t>
      </w:r>
    </w:p>
    <w:p w14:paraId="023CFFCD">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日             期：</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 xml:space="preserve">                                      </w:t>
      </w:r>
    </w:p>
    <w:p w14:paraId="792DFA0A">
      <w:pPr>
        <w:spacing w:line="360" w:lineRule="auto"/>
        <w:rPr>
          <w:rFonts w:hint="default" w:ascii="Times New Roman Regular" w:hAnsi="Times New Roman Regular" w:eastAsia="宋体" w:cs="Times New Roman Regular"/>
          <w:color w:val="000000" w:themeColor="text1"/>
          <w:sz w:val="24"/>
          <w:highlight w:val="none"/>
          <w14:textFill>
            <w14:solidFill>
              <w14:schemeClr w14:val="tx1"/>
            </w14:solidFill>
          </w14:textFill>
        </w:rPr>
      </w:pPr>
    </w:p>
    <w:p w14:paraId="73DE5608">
      <w:pPr>
        <w:spacing w:line="360" w:lineRule="auto"/>
        <w:rPr>
          <w:rFonts w:hint="default" w:ascii="Times New Roman Regular" w:hAnsi="Times New Roman Regular" w:eastAsia="宋体" w:cs="Times New Roman Regular"/>
          <w:b/>
          <w:color w:val="000000" w:themeColor="text1"/>
          <w:sz w:val="30"/>
          <w:highlight w:val="none"/>
          <w14:textFill>
            <w14:solidFill>
              <w14:schemeClr w14:val="tx1"/>
            </w14:solidFill>
          </w14:textFill>
        </w:rPr>
        <w:sectPr>
          <w:footerReference r:id="rId9" w:type="default"/>
          <w:pgSz w:w="11905" w:h="16838"/>
          <w:pgMar w:top="1440" w:right="1417" w:bottom="1440" w:left="1417" w:header="850" w:footer="992" w:gutter="0"/>
          <w:pgNumType w:fmt="decimal"/>
          <w:cols w:space="720" w:num="1"/>
          <w:docGrid w:type="lines" w:linePitch="317" w:charSpace="0"/>
        </w:sectPr>
      </w:pPr>
    </w:p>
    <w:p w14:paraId="3397602D">
      <w:pPr>
        <w:pStyle w:val="4"/>
        <w:spacing w:line="360" w:lineRule="auto"/>
        <w:jc w:val="center"/>
        <w:rPr>
          <w:rFonts w:hint="default" w:ascii="Times New Roman Regular" w:hAnsi="Times New Roman Regular" w:eastAsia="宋体" w:cs="Times New Roman Regular"/>
          <w:b w:val="0"/>
          <w:color w:val="000000" w:themeColor="text1"/>
          <w:sz w:val="36"/>
          <w:szCs w:val="36"/>
          <w:highlight w:val="none"/>
          <w14:textFill>
            <w14:solidFill>
              <w14:schemeClr w14:val="tx1"/>
            </w14:solidFill>
          </w14:textFill>
        </w:rPr>
      </w:pPr>
      <w:bookmarkStart w:id="109" w:name="_Toc493429415"/>
      <w:bookmarkStart w:id="110" w:name="_Toc198090560"/>
      <w:bookmarkStart w:id="111" w:name="_Toc136440108"/>
      <w:bookmarkStart w:id="112" w:name="_Toc135999007"/>
      <w:bookmarkStart w:id="113" w:name="_Toc161767429"/>
      <w: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t>附件2：</w:t>
      </w:r>
      <w:bookmarkEnd w:id="109"/>
      <w:bookmarkEnd w:id="110"/>
      <w:bookmarkEnd w:id="111"/>
      <w:bookmarkEnd w:id="112"/>
      <w:bookmarkEnd w:id="113"/>
      <w: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t>投标一览表</w:t>
      </w:r>
    </w:p>
    <w:p w14:paraId="51516E25">
      <w:pPr>
        <w:spacing w:line="360" w:lineRule="auto"/>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项目名称：</w:t>
      </w:r>
      <w:r>
        <w:rPr>
          <w:rFonts w:hint="eastAsia" w:ascii="Times New Roman Regular" w:hAnsi="Times New Roman Regular" w:cs="Times New Roman Regular"/>
          <w:color w:val="000000" w:themeColor="text1"/>
          <w:szCs w:val="21"/>
          <w:highlight w:val="none"/>
          <w:lang w:eastAsia="zh-CN"/>
          <w14:textFill>
            <w14:solidFill>
              <w14:schemeClr w14:val="tx1"/>
            </w14:solidFill>
          </w14:textFill>
        </w:rPr>
        <w:t>成方金科上海分公司数据平台系统实时监测技术服务采购项目</w:t>
      </w:r>
    </w:p>
    <w:p w14:paraId="748EF198">
      <w:pPr>
        <w:spacing w:line="360" w:lineRule="auto"/>
        <w:jc w:val="left"/>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招标编号：</w:t>
      </w:r>
    </w:p>
    <w:tbl>
      <w:tblPr>
        <w:tblStyle w:val="2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6867"/>
      </w:tblGrid>
      <w:tr w14:paraId="216C8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trPr>
        <w:tc>
          <w:tcPr>
            <w:tcW w:w="2268" w:type="dxa"/>
            <w:tcBorders>
              <w:top w:val="single" w:color="auto" w:sz="4" w:space="0"/>
              <w:left w:val="single" w:color="auto" w:sz="4" w:space="0"/>
              <w:bottom w:val="single" w:color="auto" w:sz="4" w:space="0"/>
              <w:right w:val="single" w:color="auto" w:sz="4" w:space="0"/>
            </w:tcBorders>
            <w:noWrap w:val="0"/>
            <w:vAlign w:val="center"/>
          </w:tcPr>
          <w:p w14:paraId="55EC6986">
            <w:pPr>
              <w:pStyle w:val="12"/>
              <w:spacing w:line="360" w:lineRule="auto"/>
              <w:jc w:val="center"/>
              <w:rPr>
                <w:rFonts w:hint="default" w:ascii="Times New Roman Regular" w:hAnsi="Times New Roman Regular" w:eastAsia="宋体" w:cs="Times New Roman Regular"/>
                <w:color w:val="000000" w:themeColor="text1"/>
                <w:sz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 w:val="21"/>
                <w:highlight w:val="none"/>
                <w:lang w:eastAsia="zh-CN"/>
                <w14:textFill>
                  <w14:solidFill>
                    <w14:schemeClr w14:val="tx1"/>
                  </w14:solidFill>
                </w14:textFill>
              </w:rPr>
              <w:t>投标人</w:t>
            </w:r>
            <w:r>
              <w:rPr>
                <w:rFonts w:hint="default" w:ascii="Times New Roman Regular" w:hAnsi="Times New Roman Regular" w:eastAsia="宋体" w:cs="Times New Roman Regular"/>
                <w:color w:val="000000" w:themeColor="text1"/>
                <w:sz w:val="21"/>
                <w:highlight w:val="none"/>
                <w14:textFill>
                  <w14:solidFill>
                    <w14:schemeClr w14:val="tx1"/>
                  </w14:solidFill>
                </w14:textFill>
              </w:rPr>
              <w:t>全称</w:t>
            </w:r>
          </w:p>
        </w:tc>
        <w:tc>
          <w:tcPr>
            <w:tcW w:w="6867" w:type="dxa"/>
            <w:tcBorders>
              <w:top w:val="single" w:color="auto" w:sz="4" w:space="0"/>
              <w:left w:val="single" w:color="auto" w:sz="4" w:space="0"/>
              <w:bottom w:val="single" w:color="auto" w:sz="4" w:space="0"/>
              <w:right w:val="single" w:color="auto" w:sz="4" w:space="0"/>
            </w:tcBorders>
            <w:noWrap w:val="0"/>
            <w:vAlign w:val="top"/>
          </w:tcPr>
          <w:p w14:paraId="13331152">
            <w:pPr>
              <w:pStyle w:val="12"/>
              <w:spacing w:line="360" w:lineRule="auto"/>
              <w:jc w:val="center"/>
              <w:rPr>
                <w:rFonts w:hint="default" w:ascii="Times New Roman Regular" w:hAnsi="Times New Roman Regular" w:eastAsia="宋体" w:cs="Times New Roman Regular"/>
                <w:color w:val="000000" w:themeColor="text1"/>
                <w:sz w:val="21"/>
                <w:highlight w:val="none"/>
                <w14:textFill>
                  <w14:solidFill>
                    <w14:schemeClr w14:val="tx1"/>
                  </w14:solidFill>
                </w14:textFill>
              </w:rPr>
            </w:pPr>
          </w:p>
        </w:tc>
      </w:tr>
      <w:tr w14:paraId="492DE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6" w:hRule="atLeast"/>
        </w:trPr>
        <w:tc>
          <w:tcPr>
            <w:tcW w:w="2268" w:type="dxa"/>
            <w:tcBorders>
              <w:top w:val="single" w:color="auto" w:sz="4" w:space="0"/>
              <w:left w:val="single" w:color="auto" w:sz="4" w:space="0"/>
              <w:bottom w:val="single" w:color="auto" w:sz="4" w:space="0"/>
              <w:right w:val="single" w:color="auto" w:sz="4" w:space="0"/>
            </w:tcBorders>
            <w:noWrap w:val="0"/>
            <w:vAlign w:val="center"/>
          </w:tcPr>
          <w:p w14:paraId="5AB91D48">
            <w:pPr>
              <w:spacing w:line="360" w:lineRule="auto"/>
              <w:jc w:val="cente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 w:val="21"/>
                <w:szCs w:val="21"/>
                <w:highlight w:val="none"/>
                <w:lang w:val="en-US"/>
                <w14:textFill>
                  <w14:solidFill>
                    <w14:schemeClr w14:val="tx1"/>
                  </w14:solidFill>
                </w14:textFill>
              </w:rPr>
              <w:t>项目</w:t>
            </w:r>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名称：</w:t>
            </w:r>
          </w:p>
        </w:tc>
        <w:tc>
          <w:tcPr>
            <w:tcW w:w="6867" w:type="dxa"/>
            <w:tcBorders>
              <w:top w:val="single" w:color="auto" w:sz="4" w:space="0"/>
              <w:left w:val="single" w:color="auto" w:sz="4" w:space="0"/>
              <w:bottom w:val="single" w:color="auto" w:sz="4" w:space="0"/>
              <w:right w:val="single" w:color="auto" w:sz="4" w:space="0"/>
            </w:tcBorders>
            <w:noWrap w:val="0"/>
            <w:vAlign w:val="center"/>
          </w:tcPr>
          <w:p w14:paraId="12248BE7">
            <w:pPr>
              <w:pStyle w:val="12"/>
              <w:spacing w:line="360" w:lineRule="auto"/>
              <w:jc w:val="center"/>
              <w:rPr>
                <w:rFonts w:hint="default" w:ascii="Times New Roman Regular" w:hAnsi="Times New Roman Regular" w:eastAsia="宋体" w:cs="Times New Roman Regular"/>
                <w:color w:val="000000" w:themeColor="text1"/>
                <w:sz w:val="21"/>
                <w:highlight w:val="none"/>
                <w:lang w:val="en-US" w:eastAsia="zh-CN"/>
                <w14:textFill>
                  <w14:solidFill>
                    <w14:schemeClr w14:val="tx1"/>
                  </w14:solidFill>
                </w14:textFill>
              </w:rPr>
            </w:pPr>
            <w:r>
              <w:rPr>
                <w:rFonts w:hint="eastAsia" w:ascii="Times New Roman Regular" w:hAnsi="Times New Roman Regular" w:cs="Times New Roman Regular"/>
                <w:color w:val="000000" w:themeColor="text1"/>
                <w:sz w:val="21"/>
                <w:highlight w:val="none"/>
                <w:lang w:val="en-US" w:eastAsia="zh-CN"/>
                <w14:textFill>
                  <w14:solidFill>
                    <w14:schemeClr w14:val="tx1"/>
                  </w14:solidFill>
                </w14:textFill>
              </w:rPr>
              <w:t>成方金科上海分公司数据平台系统实时监测技术服务采购项目</w:t>
            </w:r>
          </w:p>
        </w:tc>
      </w:tr>
      <w:tr w14:paraId="590E0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2268" w:type="dxa"/>
            <w:tcBorders>
              <w:top w:val="single" w:color="auto" w:sz="4" w:space="0"/>
              <w:left w:val="single" w:color="auto" w:sz="4" w:space="0"/>
              <w:right w:val="single" w:color="auto" w:sz="4" w:space="0"/>
            </w:tcBorders>
            <w:noWrap w:val="0"/>
            <w:vAlign w:val="center"/>
          </w:tcPr>
          <w:p w14:paraId="79DDC094">
            <w:pPr>
              <w:spacing w:line="360" w:lineRule="auto"/>
              <w:jc w:val="center"/>
              <w:rPr>
                <w:rFonts w:hint="default" w:ascii="Times New Roman Regular" w:hAnsi="Times New Roman Regular" w:eastAsia="宋体" w:cs="Times New Roman Regular"/>
                <w:color w:val="000000" w:themeColor="text1"/>
                <w:sz w:val="21"/>
                <w:szCs w:val="21"/>
                <w:highlight w:val="none"/>
                <w:lang w:val="en-US" w:eastAsia="zh-CN"/>
                <w14:textFill>
                  <w14:solidFill>
                    <w14:schemeClr w14:val="tx1"/>
                  </w14:solidFill>
                </w14:textFill>
              </w:rPr>
            </w:pPr>
            <w:r>
              <w:rPr>
                <w:rFonts w:hint="default" w:ascii="Times New Roman Regular" w:hAnsi="Times New Roman Regular" w:eastAsia="宋体" w:cs="Times New Roman Regular"/>
                <w:color w:val="000000" w:themeColor="text1"/>
                <w:sz w:val="21"/>
                <w:highlight w:val="none"/>
                <w:lang w:val="en-US"/>
                <w14:textFill>
                  <w14:solidFill>
                    <w14:schemeClr w14:val="tx1"/>
                  </w14:solidFill>
                </w14:textFill>
              </w:rPr>
              <w:t>含税</w:t>
            </w:r>
            <w:r>
              <w:rPr>
                <w:rFonts w:hint="default" w:ascii="Times New Roman Regular" w:hAnsi="Times New Roman Regular" w:eastAsia="宋体" w:cs="Times New Roman Regular"/>
                <w:color w:val="000000" w:themeColor="text1"/>
                <w:sz w:val="21"/>
                <w:szCs w:val="21"/>
                <w:highlight w:val="none"/>
                <w:lang w:eastAsia="zh-CN"/>
                <w14:textFill>
                  <w14:solidFill>
                    <w14:schemeClr w14:val="tx1"/>
                  </w14:solidFill>
                </w14:textFill>
              </w:rPr>
              <w:t>投标报价</w:t>
            </w:r>
          </w:p>
        </w:tc>
        <w:tc>
          <w:tcPr>
            <w:tcW w:w="6867" w:type="dxa"/>
            <w:tcBorders>
              <w:top w:val="single" w:color="auto" w:sz="4" w:space="0"/>
              <w:left w:val="single" w:color="auto" w:sz="4" w:space="0"/>
              <w:bottom w:val="single" w:color="auto" w:sz="4" w:space="0"/>
              <w:right w:val="single" w:color="auto" w:sz="4" w:space="0"/>
            </w:tcBorders>
            <w:noWrap w:val="0"/>
            <w:vAlign w:val="center"/>
          </w:tcPr>
          <w:p w14:paraId="262A303F">
            <w:pPr>
              <w:pStyle w:val="12"/>
              <w:spacing w:line="360" w:lineRule="auto"/>
              <w:ind w:firstLine="420" w:firstLineChars="200"/>
              <w:rPr>
                <w:rFonts w:hint="default" w:ascii="Times New Roman Regular" w:hAnsi="Times New Roman Regular" w:eastAsia="宋体" w:cs="Times New Roman Regular"/>
                <w:color w:val="000000" w:themeColor="text1"/>
                <w:sz w:val="21"/>
                <w:highlight w:val="none"/>
                <w:lang w:val="en-US" w:eastAsia="zh-CN"/>
                <w14:textFill>
                  <w14:solidFill>
                    <w14:schemeClr w14:val="tx1"/>
                  </w14:solidFill>
                </w14:textFill>
              </w:rPr>
            </w:pPr>
            <w:r>
              <w:rPr>
                <w:rFonts w:hint="default" w:ascii="Times New Roman Regular" w:hAnsi="Times New Roman Regular" w:eastAsia="宋体" w:cs="Times New Roman Regular"/>
                <w:color w:val="000000" w:themeColor="text1"/>
                <w:sz w:val="21"/>
                <w:highlight w:val="none"/>
                <w:lang w:val="en-US" w:eastAsia="zh-CN"/>
                <w14:textFill>
                  <w14:solidFill>
                    <w14:schemeClr w14:val="tx1"/>
                  </w14:solidFill>
                </w14:textFill>
              </w:rPr>
              <w:t>小写：</w:t>
            </w:r>
          </w:p>
          <w:p w14:paraId="1E1793C8">
            <w:pPr>
              <w:pStyle w:val="12"/>
              <w:spacing w:line="360" w:lineRule="auto"/>
              <w:ind w:firstLine="420" w:firstLineChars="200"/>
              <w:rPr>
                <w:rFonts w:hint="default" w:ascii="Times New Roman Regular" w:hAnsi="Times New Roman Regular" w:eastAsia="宋体" w:cs="Times New Roman Regular"/>
                <w:color w:val="000000" w:themeColor="text1"/>
                <w:sz w:val="21"/>
                <w:highlight w:val="none"/>
                <w:lang w:val="en-US" w:eastAsia="zh-CN"/>
                <w14:textFill>
                  <w14:solidFill>
                    <w14:schemeClr w14:val="tx1"/>
                  </w14:solidFill>
                </w14:textFill>
              </w:rPr>
            </w:pPr>
            <w:r>
              <w:rPr>
                <w:rFonts w:hint="default" w:ascii="Times New Roman Regular" w:hAnsi="Times New Roman Regular" w:eastAsia="宋体" w:cs="Times New Roman Regular"/>
                <w:color w:val="000000" w:themeColor="text1"/>
                <w:sz w:val="21"/>
                <w:highlight w:val="none"/>
                <w:lang w:val="en-US" w:eastAsia="zh-CN"/>
                <w14:textFill>
                  <w14:solidFill>
                    <w14:schemeClr w14:val="tx1"/>
                  </w14:solidFill>
                </w14:textFill>
              </w:rPr>
              <w:t>大写：</w:t>
            </w:r>
          </w:p>
        </w:tc>
      </w:tr>
      <w:tr w14:paraId="4C36B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2268" w:type="dxa"/>
            <w:tcBorders>
              <w:top w:val="single" w:color="auto" w:sz="4" w:space="0"/>
              <w:left w:val="single" w:color="auto" w:sz="4" w:space="0"/>
              <w:bottom w:val="single" w:color="auto" w:sz="4" w:space="0"/>
              <w:right w:val="single" w:color="auto" w:sz="4" w:space="0"/>
            </w:tcBorders>
            <w:noWrap w:val="0"/>
            <w:vAlign w:val="center"/>
          </w:tcPr>
          <w:p w14:paraId="242940C8">
            <w:pPr>
              <w:spacing w:line="360" w:lineRule="auto"/>
              <w:jc w:val="cente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 w:val="21"/>
                <w:szCs w:val="21"/>
                <w:highlight w:val="none"/>
                <w14:textFill>
                  <w14:solidFill>
                    <w14:schemeClr w14:val="tx1"/>
                  </w14:solidFill>
                </w14:textFill>
              </w:rPr>
              <w:t>增值税税率</w:t>
            </w:r>
          </w:p>
        </w:tc>
        <w:tc>
          <w:tcPr>
            <w:tcW w:w="6867" w:type="dxa"/>
            <w:tcBorders>
              <w:top w:val="single" w:color="auto" w:sz="4" w:space="0"/>
              <w:left w:val="single" w:color="auto" w:sz="4" w:space="0"/>
              <w:bottom w:val="single" w:color="auto" w:sz="4" w:space="0"/>
              <w:right w:val="single" w:color="auto" w:sz="4" w:space="0"/>
            </w:tcBorders>
            <w:noWrap w:val="0"/>
            <w:vAlign w:val="center"/>
          </w:tcPr>
          <w:p w14:paraId="7186E3CD">
            <w:pPr>
              <w:pStyle w:val="12"/>
              <w:spacing w:line="360" w:lineRule="auto"/>
              <w:jc w:val="center"/>
              <w:rPr>
                <w:rFonts w:hint="default" w:ascii="Times New Roman Regular" w:hAnsi="Times New Roman Regular" w:eastAsia="宋体" w:cs="Times New Roman Regular"/>
                <w:color w:val="000000" w:themeColor="text1"/>
                <w:sz w:val="21"/>
                <w:highlight w:val="none"/>
                <w:lang w:val="en-US"/>
                <w14:textFill>
                  <w14:solidFill>
                    <w14:schemeClr w14:val="tx1"/>
                  </w14:solidFill>
                </w14:textFill>
              </w:rPr>
            </w:pPr>
            <w:r>
              <w:rPr>
                <w:rFonts w:hint="default" w:ascii="Times New Roman Regular" w:hAnsi="Times New Roman Regular" w:eastAsia="宋体" w:cs="Times New Roman Regular"/>
                <w:color w:val="000000" w:themeColor="text1"/>
                <w:sz w:val="21"/>
                <w:highlight w:val="none"/>
                <w:lang w:val="en-US"/>
                <w14:textFill>
                  <w14:solidFill>
                    <w14:schemeClr w14:val="tx1"/>
                  </w14:solidFill>
                </w14:textFill>
              </w:rPr>
              <w:t>增值税税率___%</w:t>
            </w:r>
          </w:p>
        </w:tc>
      </w:tr>
      <w:tr w14:paraId="715FB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2268" w:type="dxa"/>
            <w:tcBorders>
              <w:top w:val="single" w:color="auto" w:sz="4" w:space="0"/>
              <w:left w:val="single" w:color="auto" w:sz="4" w:space="0"/>
              <w:bottom w:val="single" w:color="auto" w:sz="4" w:space="0"/>
              <w:right w:val="single" w:color="auto" w:sz="4" w:space="0"/>
            </w:tcBorders>
            <w:noWrap w:val="0"/>
            <w:vAlign w:val="center"/>
          </w:tcPr>
          <w:p w14:paraId="505568BA">
            <w:pPr>
              <w:pStyle w:val="12"/>
              <w:spacing w:line="360" w:lineRule="auto"/>
              <w:jc w:val="center"/>
              <w:rPr>
                <w:rFonts w:hint="default" w:ascii="Times New Roman Regular" w:hAnsi="Times New Roman Regular" w:eastAsia="宋体" w:cs="Times New Roman Regular"/>
                <w:color w:val="000000" w:themeColor="text1"/>
                <w:sz w:val="21"/>
                <w:highlight w:val="none"/>
                <w:lang w:val="en-US"/>
                <w14:textFill>
                  <w14:solidFill>
                    <w14:schemeClr w14:val="tx1"/>
                  </w14:solidFill>
                </w14:textFill>
              </w:rPr>
            </w:pPr>
            <w:r>
              <w:rPr>
                <w:rFonts w:hint="default" w:ascii="Times New Roman Regular" w:hAnsi="Times New Roman Regular" w:eastAsia="宋体" w:cs="Times New Roman Regular"/>
                <w:color w:val="000000" w:themeColor="text1"/>
                <w:sz w:val="21"/>
                <w:highlight w:val="none"/>
                <w14:textFill>
                  <w14:solidFill>
                    <w14:schemeClr w14:val="tx1"/>
                  </w14:solidFill>
                </w14:textFill>
              </w:rPr>
              <w:t>实施地点</w:t>
            </w:r>
          </w:p>
        </w:tc>
        <w:tc>
          <w:tcPr>
            <w:tcW w:w="6867" w:type="dxa"/>
            <w:tcBorders>
              <w:top w:val="single" w:color="auto" w:sz="4" w:space="0"/>
              <w:left w:val="single" w:color="auto" w:sz="4" w:space="0"/>
              <w:bottom w:val="single" w:color="auto" w:sz="4" w:space="0"/>
              <w:right w:val="single" w:color="auto" w:sz="4" w:space="0"/>
            </w:tcBorders>
            <w:noWrap w:val="0"/>
            <w:vAlign w:val="center"/>
          </w:tcPr>
          <w:p w14:paraId="758A99F2">
            <w:pPr>
              <w:pStyle w:val="12"/>
              <w:spacing w:line="360" w:lineRule="auto"/>
              <w:jc w:val="center"/>
              <w:rPr>
                <w:rFonts w:hint="default" w:ascii="Times New Roman Regular" w:hAnsi="Times New Roman Regular" w:eastAsia="宋体" w:cs="Times New Roman Regular"/>
                <w:color w:val="000000" w:themeColor="text1"/>
                <w:sz w:val="21"/>
                <w:highlight w:val="none"/>
                <w:lang w:val="en-US"/>
                <w14:textFill>
                  <w14:solidFill>
                    <w14:schemeClr w14:val="tx1"/>
                  </w14:solidFill>
                </w14:textFill>
              </w:rPr>
            </w:pPr>
            <w:r>
              <w:rPr>
                <w:rFonts w:hint="default" w:ascii="Times New Roman Regular" w:hAnsi="Times New Roman Regular" w:eastAsia="宋体" w:cs="Times New Roman Regular"/>
                <w:color w:val="000000" w:themeColor="text1"/>
                <w:sz w:val="21"/>
                <w:highlight w:val="none"/>
                <w:lang w:val="en-US"/>
                <w14:textFill>
                  <w14:solidFill>
                    <w14:schemeClr w14:val="tx1"/>
                  </w14:solidFill>
                </w14:textFill>
              </w:rPr>
              <w:t>响应采购文件要求</w:t>
            </w:r>
          </w:p>
        </w:tc>
      </w:tr>
      <w:tr w14:paraId="32E1F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2268" w:type="dxa"/>
            <w:tcBorders>
              <w:top w:val="single" w:color="auto" w:sz="4" w:space="0"/>
              <w:left w:val="single" w:color="auto" w:sz="4" w:space="0"/>
              <w:bottom w:val="single" w:color="auto" w:sz="4" w:space="0"/>
              <w:right w:val="single" w:color="auto" w:sz="4" w:space="0"/>
            </w:tcBorders>
            <w:noWrap w:val="0"/>
            <w:vAlign w:val="center"/>
          </w:tcPr>
          <w:p w14:paraId="6644EEA3">
            <w:pPr>
              <w:pStyle w:val="12"/>
              <w:spacing w:line="360" w:lineRule="auto"/>
              <w:jc w:val="center"/>
              <w:rPr>
                <w:rFonts w:hint="default" w:ascii="Times New Roman Regular" w:hAnsi="Times New Roman Regular" w:eastAsia="宋体" w:cs="Times New Roman Regular"/>
                <w:color w:val="000000" w:themeColor="text1"/>
                <w:sz w:val="21"/>
                <w:highlight w:val="none"/>
                <w:lang w:val="en-US"/>
                <w14:textFill>
                  <w14:solidFill>
                    <w14:schemeClr w14:val="tx1"/>
                  </w14:solidFill>
                </w14:textFill>
              </w:rPr>
            </w:pPr>
            <w:r>
              <w:rPr>
                <w:rFonts w:hint="default" w:ascii="Times New Roman Regular" w:hAnsi="Times New Roman Regular" w:eastAsia="宋体" w:cs="Times New Roman Regular"/>
                <w:color w:val="000000" w:themeColor="text1"/>
                <w:sz w:val="21"/>
                <w:highlight w:val="none"/>
                <w14:textFill>
                  <w14:solidFill>
                    <w14:schemeClr w14:val="tx1"/>
                  </w14:solidFill>
                </w14:textFill>
              </w:rPr>
              <w:t>付款条件</w:t>
            </w:r>
          </w:p>
        </w:tc>
        <w:tc>
          <w:tcPr>
            <w:tcW w:w="6867" w:type="dxa"/>
            <w:tcBorders>
              <w:top w:val="single" w:color="auto" w:sz="4" w:space="0"/>
              <w:left w:val="single" w:color="auto" w:sz="4" w:space="0"/>
              <w:bottom w:val="single" w:color="auto" w:sz="4" w:space="0"/>
              <w:right w:val="single" w:color="auto" w:sz="4" w:space="0"/>
            </w:tcBorders>
            <w:noWrap w:val="0"/>
            <w:vAlign w:val="center"/>
          </w:tcPr>
          <w:p w14:paraId="198522E0">
            <w:pPr>
              <w:pStyle w:val="12"/>
              <w:spacing w:line="360" w:lineRule="auto"/>
              <w:jc w:val="center"/>
              <w:rPr>
                <w:rFonts w:hint="default" w:ascii="Times New Roman Regular" w:hAnsi="Times New Roman Regular" w:eastAsia="宋体" w:cs="Times New Roman Regular"/>
                <w:color w:val="000000" w:themeColor="text1"/>
                <w:sz w:val="21"/>
                <w:highlight w:val="none"/>
                <w:lang w:val="en-US"/>
                <w14:textFill>
                  <w14:solidFill>
                    <w14:schemeClr w14:val="tx1"/>
                  </w14:solidFill>
                </w14:textFill>
              </w:rPr>
            </w:pPr>
            <w:r>
              <w:rPr>
                <w:rFonts w:hint="default" w:ascii="Times New Roman Regular" w:hAnsi="Times New Roman Regular" w:eastAsia="宋体" w:cs="Times New Roman Regular"/>
                <w:color w:val="000000" w:themeColor="text1"/>
                <w:sz w:val="21"/>
                <w:highlight w:val="none"/>
                <w:lang w:val="en-US"/>
                <w14:textFill>
                  <w14:solidFill>
                    <w14:schemeClr w14:val="tx1"/>
                  </w14:solidFill>
                </w14:textFill>
              </w:rPr>
              <w:t>响应采购文件要求</w:t>
            </w:r>
          </w:p>
        </w:tc>
      </w:tr>
      <w:tr w14:paraId="716B4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2268" w:type="dxa"/>
            <w:tcBorders>
              <w:top w:val="single" w:color="auto" w:sz="4" w:space="0"/>
              <w:left w:val="single" w:color="auto" w:sz="4" w:space="0"/>
              <w:bottom w:val="single" w:color="auto" w:sz="4" w:space="0"/>
              <w:right w:val="single" w:color="auto" w:sz="4" w:space="0"/>
            </w:tcBorders>
            <w:noWrap w:val="0"/>
            <w:vAlign w:val="center"/>
          </w:tcPr>
          <w:p w14:paraId="4CCD3435">
            <w:pPr>
              <w:pStyle w:val="12"/>
              <w:spacing w:line="360" w:lineRule="auto"/>
              <w:jc w:val="center"/>
              <w:rPr>
                <w:rFonts w:hint="default" w:ascii="Times New Roman Regular" w:hAnsi="Times New Roman Regular" w:eastAsia="宋体" w:cs="Times New Roman Regular"/>
                <w:color w:val="000000" w:themeColor="text1"/>
                <w:sz w:val="21"/>
                <w:highlight w:val="none"/>
                <w:lang w:val="en-US"/>
                <w14:textFill>
                  <w14:solidFill>
                    <w14:schemeClr w14:val="tx1"/>
                  </w14:solidFill>
                </w14:textFill>
              </w:rPr>
            </w:pPr>
            <w:r>
              <w:rPr>
                <w:rFonts w:hint="default" w:ascii="Times New Roman Regular" w:hAnsi="Times New Roman Regular" w:eastAsia="宋体" w:cs="Times New Roman Regular"/>
                <w:color w:val="000000" w:themeColor="text1"/>
                <w:sz w:val="21"/>
                <w:highlight w:val="none"/>
                <w14:textFill>
                  <w14:solidFill>
                    <w14:schemeClr w14:val="tx1"/>
                  </w14:solidFill>
                </w14:textFill>
              </w:rPr>
              <w:t>服务期</w:t>
            </w:r>
          </w:p>
        </w:tc>
        <w:tc>
          <w:tcPr>
            <w:tcW w:w="6867" w:type="dxa"/>
            <w:tcBorders>
              <w:top w:val="single" w:color="auto" w:sz="4" w:space="0"/>
              <w:left w:val="single" w:color="auto" w:sz="4" w:space="0"/>
              <w:bottom w:val="single" w:color="auto" w:sz="4" w:space="0"/>
              <w:right w:val="single" w:color="auto" w:sz="4" w:space="0"/>
            </w:tcBorders>
            <w:noWrap w:val="0"/>
            <w:vAlign w:val="center"/>
          </w:tcPr>
          <w:p w14:paraId="3533D6F5">
            <w:pPr>
              <w:pStyle w:val="12"/>
              <w:spacing w:line="360" w:lineRule="auto"/>
              <w:jc w:val="center"/>
              <w:rPr>
                <w:rFonts w:hint="default" w:ascii="Times New Roman Regular" w:hAnsi="Times New Roman Regular" w:eastAsia="宋体" w:cs="Times New Roman Regular"/>
                <w:color w:val="000000" w:themeColor="text1"/>
                <w:sz w:val="21"/>
                <w:highlight w:val="none"/>
                <w:lang w:val="en-US"/>
                <w14:textFill>
                  <w14:solidFill>
                    <w14:schemeClr w14:val="tx1"/>
                  </w14:solidFill>
                </w14:textFill>
              </w:rPr>
            </w:pPr>
            <w:r>
              <w:rPr>
                <w:rFonts w:hint="default" w:ascii="Times New Roman Regular" w:hAnsi="Times New Roman Regular" w:eastAsia="宋体" w:cs="Times New Roman Regular"/>
                <w:color w:val="000000" w:themeColor="text1"/>
                <w:sz w:val="21"/>
                <w:highlight w:val="none"/>
                <w:lang w:val="en-US"/>
                <w14:textFill>
                  <w14:solidFill>
                    <w14:schemeClr w14:val="tx1"/>
                  </w14:solidFill>
                </w14:textFill>
              </w:rPr>
              <w:t>响应采购文件要求</w:t>
            </w:r>
          </w:p>
        </w:tc>
      </w:tr>
      <w:tr w14:paraId="0D302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trPr>
        <w:tc>
          <w:tcPr>
            <w:tcW w:w="2268" w:type="dxa"/>
            <w:tcBorders>
              <w:top w:val="single" w:color="auto" w:sz="4" w:space="0"/>
              <w:left w:val="single" w:color="auto" w:sz="4" w:space="0"/>
              <w:bottom w:val="single" w:color="auto" w:sz="4" w:space="0"/>
              <w:right w:val="single" w:color="auto" w:sz="4" w:space="0"/>
            </w:tcBorders>
            <w:noWrap w:val="0"/>
            <w:vAlign w:val="center"/>
          </w:tcPr>
          <w:p w14:paraId="0E78E978">
            <w:pPr>
              <w:pStyle w:val="12"/>
              <w:spacing w:line="360" w:lineRule="auto"/>
              <w:jc w:val="center"/>
              <w:rPr>
                <w:rFonts w:hint="default" w:ascii="Times New Roman Regular" w:hAnsi="Times New Roman Regular" w:eastAsia="宋体" w:cs="Times New Roman Regular"/>
                <w:color w:val="000000" w:themeColor="text1"/>
                <w:sz w:val="21"/>
                <w:highlight w:val="none"/>
                <w:lang w:val="en-US"/>
                <w14:textFill>
                  <w14:solidFill>
                    <w14:schemeClr w14:val="tx1"/>
                  </w14:solidFill>
                </w14:textFill>
              </w:rPr>
            </w:pPr>
            <w:r>
              <w:rPr>
                <w:rFonts w:hint="default" w:ascii="Times New Roman Regular" w:hAnsi="Times New Roman Regular" w:eastAsia="宋体" w:cs="Times New Roman Regular"/>
                <w:color w:val="000000" w:themeColor="text1"/>
                <w:sz w:val="21"/>
                <w:highlight w:val="none"/>
                <w14:textFill>
                  <w14:solidFill>
                    <w14:schemeClr w14:val="tx1"/>
                  </w14:solidFill>
                </w14:textFill>
              </w:rPr>
              <w:t>备注</w:t>
            </w:r>
          </w:p>
        </w:tc>
        <w:tc>
          <w:tcPr>
            <w:tcW w:w="6867" w:type="dxa"/>
            <w:tcBorders>
              <w:top w:val="single" w:color="auto" w:sz="4" w:space="0"/>
              <w:left w:val="single" w:color="auto" w:sz="4" w:space="0"/>
              <w:bottom w:val="single" w:color="auto" w:sz="4" w:space="0"/>
              <w:right w:val="single" w:color="auto" w:sz="4" w:space="0"/>
            </w:tcBorders>
            <w:noWrap w:val="0"/>
            <w:vAlign w:val="center"/>
          </w:tcPr>
          <w:p w14:paraId="4D4A6AF3">
            <w:pPr>
              <w:pStyle w:val="12"/>
              <w:spacing w:line="360" w:lineRule="auto"/>
              <w:jc w:val="center"/>
              <w:rPr>
                <w:rFonts w:hint="default" w:ascii="Times New Roman Regular" w:hAnsi="Times New Roman Regular" w:eastAsia="宋体" w:cs="Times New Roman Regular"/>
                <w:color w:val="000000" w:themeColor="text1"/>
                <w:sz w:val="21"/>
                <w:highlight w:val="none"/>
                <w:lang w:val="en-US"/>
                <w14:textFill>
                  <w14:solidFill>
                    <w14:schemeClr w14:val="tx1"/>
                  </w14:solidFill>
                </w14:textFill>
              </w:rPr>
            </w:pPr>
          </w:p>
        </w:tc>
      </w:tr>
    </w:tbl>
    <w:p w14:paraId="71020270">
      <w:pPr>
        <w:spacing w:line="360" w:lineRule="auto"/>
        <w:ind w:left="-120" w:right="210"/>
        <w:jc w:val="right"/>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7F556856">
      <w:pPr>
        <w:pStyle w:val="8"/>
        <w:spacing w:line="360" w:lineRule="auto"/>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投标人名称（公章）：</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ab/>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ab/>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ab/>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ab/>
      </w:r>
    </w:p>
    <w:p w14:paraId="0A90A59B">
      <w:pPr>
        <w:spacing w:line="360" w:lineRule="auto"/>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投标人代表签字：</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ab/>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ab/>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ab/>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ab/>
      </w:r>
    </w:p>
    <w:p w14:paraId="6A2DD03F">
      <w:pPr>
        <w:spacing w:line="360" w:lineRule="auto"/>
        <w:ind w:left="-120"/>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7A9AEFC7">
      <w:pPr>
        <w:spacing w:line="360" w:lineRule="auto"/>
        <w:ind w:left="-12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注：</w:t>
      </w:r>
    </w:p>
    <w:p w14:paraId="5429BA15">
      <w:pPr>
        <w:numPr>
          <w:ilvl w:val="0"/>
          <w:numId w:val="0"/>
        </w:numPr>
        <w:spacing w:line="360" w:lineRule="auto"/>
        <w:ind w:left="284" w:leftChars="0" w:hanging="284" w:firstLineChars="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2"/>
          <w:sz w:val="21"/>
          <w:szCs w:val="21"/>
          <w:highlight w:val="none"/>
          <w:lang w:val="en-US" w:eastAsia="zh-CN" w:bidi="ar-SA"/>
          <w14:textFill>
            <w14:solidFill>
              <w14:schemeClr w14:val="tx1"/>
            </w14:solidFill>
          </w14:textFill>
        </w:rPr>
        <w:t>1.</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投标人保证：投标报价应包括投标人根据招标文件要求提供并履行合同约定所需的全部费用，招标人不再为此支付任何其他费用。</w:t>
      </w:r>
    </w:p>
    <w:p w14:paraId="5FD48720">
      <w:pPr>
        <w:numPr>
          <w:ilvl w:val="0"/>
          <w:numId w:val="0"/>
        </w:numPr>
        <w:spacing w:line="360" w:lineRule="auto"/>
        <w:ind w:left="284" w:leftChars="0" w:hanging="284" w:firstLineChars="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2"/>
          <w:sz w:val="21"/>
          <w:szCs w:val="21"/>
          <w:highlight w:val="none"/>
          <w:lang w:val="en-US" w:eastAsia="zh-CN" w:bidi="ar-SA"/>
          <w14:textFill>
            <w14:solidFill>
              <w14:schemeClr w14:val="tx1"/>
            </w14:solidFill>
          </w14:textFill>
        </w:rPr>
        <w:t>2.</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投标人如果免费提供某项服务，应在投标声明中单独列明、填写价格并同时注明无条件提供，但不计入投标报价；未填写的项目均视为包含在投标报价内。</w:t>
      </w:r>
    </w:p>
    <w:p w14:paraId="7750CC1C">
      <w:pPr>
        <w:pStyle w:val="24"/>
        <w:spacing w:line="360" w:lineRule="auto"/>
        <w:ind w:firstLine="64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br w:type="page"/>
      </w:r>
    </w:p>
    <w:p w14:paraId="71B3472E">
      <w:pPr>
        <w:pStyle w:val="4"/>
        <w:spacing w:line="360" w:lineRule="auto"/>
        <w:jc w:val="cente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pPr>
      <w:bookmarkStart w:id="114" w:name="_Toc136440111"/>
      <w:bookmarkStart w:id="115" w:name="_Toc135999009"/>
      <w:bookmarkStart w:id="116" w:name="_Toc493429452"/>
      <w: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t>附件3：分项报价表</w:t>
      </w:r>
    </w:p>
    <w:p w14:paraId="0527C016">
      <w:pPr>
        <w:spacing w:line="360" w:lineRule="auto"/>
        <w:jc w:val="right"/>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单位：人民币（元）</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2922"/>
        <w:gridCol w:w="1038"/>
        <w:gridCol w:w="1672"/>
        <w:gridCol w:w="1282"/>
        <w:gridCol w:w="1597"/>
      </w:tblGrid>
      <w:tr w14:paraId="0092D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418" w:type="pct"/>
            <w:vAlign w:val="center"/>
          </w:tcPr>
          <w:p w14:paraId="6100ADB5">
            <w:pPr>
              <w:pStyle w:val="9"/>
              <w:snapToGrid w:val="0"/>
              <w:spacing w:after="0" w:line="360" w:lineRule="auto"/>
              <w:ind w:right="63"/>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序号</w:t>
            </w:r>
          </w:p>
        </w:tc>
        <w:tc>
          <w:tcPr>
            <w:tcW w:w="1573" w:type="pct"/>
            <w:vAlign w:val="center"/>
          </w:tcPr>
          <w:p w14:paraId="7214EEEA">
            <w:pPr>
              <w:pStyle w:val="9"/>
              <w:snapToGrid w:val="0"/>
              <w:spacing w:after="0" w:line="360" w:lineRule="auto"/>
              <w:ind w:right="63"/>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采购内容</w:t>
            </w:r>
          </w:p>
        </w:tc>
        <w:tc>
          <w:tcPr>
            <w:tcW w:w="559" w:type="pct"/>
            <w:vAlign w:val="center"/>
          </w:tcPr>
          <w:p w14:paraId="281E7202">
            <w:pPr>
              <w:pStyle w:val="9"/>
              <w:snapToGrid w:val="0"/>
              <w:spacing w:after="0" w:line="360" w:lineRule="auto"/>
              <w:ind w:right="63"/>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数量</w:t>
            </w:r>
          </w:p>
        </w:tc>
        <w:tc>
          <w:tcPr>
            <w:tcW w:w="900" w:type="pct"/>
            <w:vAlign w:val="center"/>
          </w:tcPr>
          <w:p w14:paraId="330878E4">
            <w:pPr>
              <w:pStyle w:val="9"/>
              <w:snapToGrid w:val="0"/>
              <w:spacing w:after="0" w:line="360" w:lineRule="auto"/>
              <w:ind w:right="63"/>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单位</w:t>
            </w:r>
          </w:p>
        </w:tc>
        <w:tc>
          <w:tcPr>
            <w:tcW w:w="690" w:type="pct"/>
            <w:vAlign w:val="center"/>
          </w:tcPr>
          <w:p w14:paraId="67128536">
            <w:pPr>
              <w:pStyle w:val="9"/>
              <w:snapToGrid w:val="0"/>
              <w:spacing w:after="0" w:line="360" w:lineRule="auto"/>
              <w:ind w:right="63"/>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税率%</w:t>
            </w:r>
          </w:p>
        </w:tc>
        <w:tc>
          <w:tcPr>
            <w:tcW w:w="859" w:type="pct"/>
            <w:vAlign w:val="center"/>
          </w:tcPr>
          <w:p w14:paraId="4C8D6646">
            <w:pPr>
              <w:pStyle w:val="9"/>
              <w:snapToGrid w:val="0"/>
              <w:spacing w:after="0" w:line="360" w:lineRule="auto"/>
              <w:ind w:right="63"/>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分项价</w:t>
            </w:r>
          </w:p>
          <w:p w14:paraId="6799565B">
            <w:pPr>
              <w:pStyle w:val="9"/>
              <w:snapToGrid w:val="0"/>
              <w:spacing w:after="0" w:line="360" w:lineRule="auto"/>
              <w:ind w:right="63"/>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(含税)</w:t>
            </w:r>
          </w:p>
        </w:tc>
      </w:tr>
      <w:tr w14:paraId="5A871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418" w:type="pct"/>
            <w:vAlign w:val="center"/>
          </w:tcPr>
          <w:p w14:paraId="1BC7B0CF">
            <w:pPr>
              <w:pStyle w:val="9"/>
              <w:snapToGrid w:val="0"/>
              <w:spacing w:after="0" w:line="360" w:lineRule="auto"/>
              <w:ind w:right="63"/>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1</w:t>
            </w:r>
          </w:p>
        </w:tc>
        <w:tc>
          <w:tcPr>
            <w:tcW w:w="2922" w:type="dxa"/>
            <w:vAlign w:val="center"/>
          </w:tcPr>
          <w:p w14:paraId="56D6C599">
            <w:pPr>
              <w:adjustRightInd w:val="0"/>
              <w:snapToGrid w:val="0"/>
              <w:spacing w:line="360" w:lineRule="auto"/>
              <w:ind w:firstLine="0" w:firstLineChars="0"/>
              <w:jc w:val="cente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行业应用软件开发服务</w:t>
            </w:r>
          </w:p>
        </w:tc>
        <w:tc>
          <w:tcPr>
            <w:tcW w:w="559" w:type="pct"/>
            <w:vAlign w:val="center"/>
          </w:tcPr>
          <w:p w14:paraId="0867601B">
            <w:pPr>
              <w:pStyle w:val="9"/>
              <w:snapToGrid w:val="0"/>
              <w:spacing w:after="0" w:line="360" w:lineRule="auto"/>
              <w:ind w:right="63"/>
              <w:jc w:val="cente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pPr>
            <w:r>
              <w:rPr>
                <w:rFonts w:hint="eastAsia" w:ascii="Times New Roman Regular" w:hAnsi="Times New Roman Regular" w:cs="Times New Roman Regular"/>
                <w:color w:val="000000" w:themeColor="text1"/>
                <w:szCs w:val="21"/>
                <w:highlight w:val="none"/>
                <w:lang w:val="en-US" w:eastAsia="zh-CN"/>
                <w14:textFill>
                  <w14:solidFill>
                    <w14:schemeClr w14:val="tx1"/>
                  </w14:solidFill>
                </w14:textFill>
              </w:rPr>
              <w:t>1</w:t>
            </w:r>
          </w:p>
        </w:tc>
        <w:tc>
          <w:tcPr>
            <w:tcW w:w="900" w:type="pct"/>
            <w:vAlign w:val="center"/>
          </w:tcPr>
          <w:p w14:paraId="00DE9B9E">
            <w:pPr>
              <w:pStyle w:val="9"/>
              <w:snapToGrid w:val="0"/>
              <w:spacing w:after="0" w:line="360" w:lineRule="auto"/>
              <w:ind w:right="63"/>
              <w:jc w:val="cente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pPr>
            <w:r>
              <w:rPr>
                <w:rFonts w:hint="eastAsia" w:ascii="Times New Roman Regular" w:hAnsi="Times New Roman Regular" w:cs="Times New Roman Regular"/>
                <w:color w:val="000000" w:themeColor="text1"/>
                <w:szCs w:val="21"/>
                <w:highlight w:val="none"/>
                <w:lang w:val="en-US" w:eastAsia="zh-CN"/>
                <w14:textFill>
                  <w14:solidFill>
                    <w14:schemeClr w14:val="tx1"/>
                  </w14:solidFill>
                </w14:textFill>
              </w:rPr>
              <w:t>项</w:t>
            </w:r>
          </w:p>
        </w:tc>
        <w:tc>
          <w:tcPr>
            <w:tcW w:w="690" w:type="pct"/>
            <w:vAlign w:val="center"/>
          </w:tcPr>
          <w:p w14:paraId="7704AB86">
            <w:pPr>
              <w:pStyle w:val="9"/>
              <w:snapToGrid w:val="0"/>
              <w:spacing w:after="0" w:line="360" w:lineRule="auto"/>
              <w:ind w:right="63"/>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859" w:type="pct"/>
            <w:vAlign w:val="center"/>
          </w:tcPr>
          <w:p w14:paraId="09353D8D">
            <w:pPr>
              <w:pStyle w:val="9"/>
              <w:snapToGrid w:val="0"/>
              <w:spacing w:after="0" w:line="360" w:lineRule="auto"/>
              <w:ind w:right="63"/>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r w14:paraId="66F5F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418" w:type="pct"/>
            <w:vAlign w:val="center"/>
          </w:tcPr>
          <w:p w14:paraId="0ABC2B4D">
            <w:pPr>
              <w:pStyle w:val="9"/>
              <w:snapToGrid w:val="0"/>
              <w:spacing w:after="0" w:line="360" w:lineRule="auto"/>
              <w:ind w:right="63"/>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2</w:t>
            </w:r>
          </w:p>
        </w:tc>
        <w:tc>
          <w:tcPr>
            <w:tcW w:w="2922" w:type="dxa"/>
            <w:vAlign w:val="center"/>
          </w:tcPr>
          <w:p w14:paraId="6FD5EC55">
            <w:pPr>
              <w:adjustRightInd w:val="0"/>
              <w:snapToGrid w:val="0"/>
              <w:spacing w:line="360" w:lineRule="auto"/>
              <w:ind w:firstLine="0" w:firstLineChars="0"/>
              <w:jc w:val="center"/>
              <w:rPr>
                <w:rFonts w:hint="default" w:ascii="Times New Roman Regular" w:hAnsi="Times New Roman Regular" w:eastAsia="宋体" w:cs="Times New Roman Regular"/>
                <w:b/>
                <w:bCs/>
                <w:color w:val="000000" w:themeColor="text1"/>
                <w:szCs w:val="21"/>
                <w:highlight w:val="none"/>
                <w:lang w:val="en-US"/>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lang w:val="en-US"/>
                <w14:textFill>
                  <w14:solidFill>
                    <w14:schemeClr w14:val="tx1"/>
                  </w14:solidFill>
                </w14:textFill>
              </w:rPr>
              <w:t>应用软件</w:t>
            </w:r>
          </w:p>
        </w:tc>
        <w:tc>
          <w:tcPr>
            <w:tcW w:w="559" w:type="pct"/>
            <w:vAlign w:val="center"/>
          </w:tcPr>
          <w:p w14:paraId="7CD85E07">
            <w:pPr>
              <w:pStyle w:val="9"/>
              <w:snapToGrid w:val="0"/>
              <w:spacing w:after="0" w:line="360" w:lineRule="auto"/>
              <w:ind w:right="63"/>
              <w:jc w:val="cente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pPr>
            <w:r>
              <w:rPr>
                <w:rFonts w:hint="eastAsia" w:ascii="Times New Roman Regular" w:hAnsi="Times New Roman Regular" w:cs="Times New Roman Regular"/>
                <w:color w:val="000000" w:themeColor="text1"/>
                <w:szCs w:val="21"/>
                <w:highlight w:val="none"/>
                <w:lang w:val="en-US" w:eastAsia="zh-CN"/>
                <w14:textFill>
                  <w14:solidFill>
                    <w14:schemeClr w14:val="tx1"/>
                  </w14:solidFill>
                </w14:textFill>
              </w:rPr>
              <w:t>1</w:t>
            </w:r>
          </w:p>
        </w:tc>
        <w:tc>
          <w:tcPr>
            <w:tcW w:w="900" w:type="pct"/>
            <w:vAlign w:val="center"/>
          </w:tcPr>
          <w:p w14:paraId="139C3B24">
            <w:pPr>
              <w:snapToGrid w:val="0"/>
              <w:spacing w:line="360" w:lineRule="auto"/>
              <w:ind w:right="63"/>
              <w:jc w:val="center"/>
              <w:rPr>
                <w:rFonts w:hint="eastAsia"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pPr>
            <w:r>
              <w:rPr>
                <w:rFonts w:hint="eastAsia" w:ascii="Times New Roman Regular" w:hAnsi="Times New Roman Regular" w:cs="Times New Roman Regular"/>
                <w:color w:val="000000" w:themeColor="text1"/>
                <w:szCs w:val="21"/>
                <w:highlight w:val="none"/>
                <w:lang w:val="en-US" w:eastAsia="zh-CN"/>
                <w14:textFill>
                  <w14:solidFill>
                    <w14:schemeClr w14:val="tx1"/>
                  </w14:solidFill>
                </w14:textFill>
              </w:rPr>
              <w:t>项</w:t>
            </w:r>
          </w:p>
        </w:tc>
        <w:tc>
          <w:tcPr>
            <w:tcW w:w="690" w:type="pct"/>
            <w:vAlign w:val="center"/>
          </w:tcPr>
          <w:p w14:paraId="6B958CA6">
            <w:pPr>
              <w:pStyle w:val="9"/>
              <w:snapToGrid w:val="0"/>
              <w:spacing w:after="0" w:line="360" w:lineRule="auto"/>
              <w:ind w:right="63"/>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859" w:type="pct"/>
            <w:vAlign w:val="center"/>
          </w:tcPr>
          <w:p w14:paraId="63419B76">
            <w:pPr>
              <w:pStyle w:val="9"/>
              <w:snapToGrid w:val="0"/>
              <w:spacing w:after="0" w:line="360" w:lineRule="auto"/>
              <w:ind w:right="63"/>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r w14:paraId="36BF3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418" w:type="pct"/>
            <w:vAlign w:val="center"/>
          </w:tcPr>
          <w:p w14:paraId="0454DEE8">
            <w:pPr>
              <w:pStyle w:val="9"/>
              <w:snapToGrid w:val="0"/>
              <w:spacing w:after="0" w:line="360" w:lineRule="auto"/>
              <w:ind w:right="63"/>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3</w:t>
            </w:r>
          </w:p>
        </w:tc>
        <w:tc>
          <w:tcPr>
            <w:tcW w:w="1573" w:type="pct"/>
            <w:vAlign w:val="center"/>
          </w:tcPr>
          <w:p w14:paraId="46F82480">
            <w:pPr>
              <w:pStyle w:val="9"/>
              <w:snapToGrid w:val="0"/>
              <w:spacing w:after="0" w:line="360" w:lineRule="auto"/>
              <w:ind w:right="63"/>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p>
        </w:tc>
        <w:tc>
          <w:tcPr>
            <w:tcW w:w="559" w:type="pct"/>
            <w:vAlign w:val="center"/>
          </w:tcPr>
          <w:p w14:paraId="389D2183">
            <w:pPr>
              <w:pStyle w:val="9"/>
              <w:snapToGrid w:val="0"/>
              <w:spacing w:after="0" w:line="360" w:lineRule="auto"/>
              <w:ind w:right="63"/>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900" w:type="pct"/>
            <w:vAlign w:val="center"/>
          </w:tcPr>
          <w:p w14:paraId="7F1B5E5A">
            <w:pPr>
              <w:snapToGrid w:val="0"/>
              <w:spacing w:line="360" w:lineRule="auto"/>
              <w:ind w:right="63"/>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690" w:type="pct"/>
            <w:vAlign w:val="center"/>
          </w:tcPr>
          <w:p w14:paraId="57FF92A3">
            <w:pPr>
              <w:pStyle w:val="9"/>
              <w:snapToGrid w:val="0"/>
              <w:spacing w:after="0" w:line="360" w:lineRule="auto"/>
              <w:ind w:right="63"/>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859" w:type="pct"/>
            <w:vAlign w:val="center"/>
          </w:tcPr>
          <w:p w14:paraId="02A95F72">
            <w:pPr>
              <w:pStyle w:val="9"/>
              <w:snapToGrid w:val="0"/>
              <w:spacing w:after="0" w:line="360" w:lineRule="auto"/>
              <w:ind w:right="63"/>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r w14:paraId="6F172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418" w:type="pct"/>
            <w:vAlign w:val="center"/>
          </w:tcPr>
          <w:p w14:paraId="61DDF1E0">
            <w:pPr>
              <w:pStyle w:val="9"/>
              <w:snapToGrid w:val="0"/>
              <w:spacing w:after="0" w:line="360" w:lineRule="auto"/>
              <w:ind w:right="63"/>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4</w:t>
            </w:r>
          </w:p>
        </w:tc>
        <w:tc>
          <w:tcPr>
            <w:tcW w:w="1573" w:type="pct"/>
            <w:vAlign w:val="center"/>
          </w:tcPr>
          <w:p w14:paraId="1A94FECF">
            <w:pPr>
              <w:pStyle w:val="9"/>
              <w:snapToGrid w:val="0"/>
              <w:spacing w:after="0" w:line="360" w:lineRule="auto"/>
              <w:ind w:right="63"/>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p>
        </w:tc>
        <w:tc>
          <w:tcPr>
            <w:tcW w:w="559" w:type="pct"/>
            <w:vAlign w:val="center"/>
          </w:tcPr>
          <w:p w14:paraId="61001C45">
            <w:pPr>
              <w:pStyle w:val="9"/>
              <w:snapToGrid w:val="0"/>
              <w:spacing w:after="0" w:line="360" w:lineRule="auto"/>
              <w:ind w:right="63"/>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900" w:type="pct"/>
            <w:vAlign w:val="center"/>
          </w:tcPr>
          <w:p w14:paraId="5C49716F">
            <w:pPr>
              <w:snapToGrid w:val="0"/>
              <w:spacing w:line="360" w:lineRule="auto"/>
              <w:ind w:right="63"/>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690" w:type="pct"/>
            <w:vAlign w:val="center"/>
          </w:tcPr>
          <w:p w14:paraId="08919E86">
            <w:pPr>
              <w:pStyle w:val="9"/>
              <w:snapToGrid w:val="0"/>
              <w:spacing w:after="0" w:line="360" w:lineRule="auto"/>
              <w:ind w:right="63"/>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859" w:type="pct"/>
            <w:vAlign w:val="center"/>
          </w:tcPr>
          <w:p w14:paraId="557B1D12">
            <w:pPr>
              <w:pStyle w:val="9"/>
              <w:snapToGrid w:val="0"/>
              <w:spacing w:after="0" w:line="360" w:lineRule="auto"/>
              <w:ind w:right="63"/>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r w14:paraId="190BE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418" w:type="pct"/>
            <w:vAlign w:val="center"/>
          </w:tcPr>
          <w:p w14:paraId="65C10335">
            <w:pPr>
              <w:pStyle w:val="9"/>
              <w:snapToGrid w:val="0"/>
              <w:spacing w:after="0" w:line="360" w:lineRule="auto"/>
              <w:ind w:right="63"/>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5</w:t>
            </w:r>
          </w:p>
        </w:tc>
        <w:tc>
          <w:tcPr>
            <w:tcW w:w="1573" w:type="pct"/>
            <w:vAlign w:val="center"/>
          </w:tcPr>
          <w:p w14:paraId="38A4F43A">
            <w:pPr>
              <w:pStyle w:val="9"/>
              <w:snapToGrid w:val="0"/>
              <w:spacing w:after="0" w:line="360" w:lineRule="auto"/>
              <w:ind w:right="63"/>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p>
        </w:tc>
        <w:tc>
          <w:tcPr>
            <w:tcW w:w="559" w:type="pct"/>
            <w:vAlign w:val="center"/>
          </w:tcPr>
          <w:p w14:paraId="2B3A2518">
            <w:pPr>
              <w:pStyle w:val="9"/>
              <w:snapToGrid w:val="0"/>
              <w:spacing w:after="0" w:line="360" w:lineRule="auto"/>
              <w:ind w:right="63"/>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900" w:type="pct"/>
            <w:vAlign w:val="center"/>
          </w:tcPr>
          <w:p w14:paraId="70ADE341">
            <w:pPr>
              <w:snapToGrid w:val="0"/>
              <w:spacing w:line="360" w:lineRule="auto"/>
              <w:ind w:right="63"/>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690" w:type="pct"/>
            <w:vAlign w:val="center"/>
          </w:tcPr>
          <w:p w14:paraId="59F43723">
            <w:pPr>
              <w:pStyle w:val="9"/>
              <w:snapToGrid w:val="0"/>
              <w:spacing w:after="0" w:line="360" w:lineRule="auto"/>
              <w:ind w:right="63"/>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859" w:type="pct"/>
            <w:vAlign w:val="center"/>
          </w:tcPr>
          <w:p w14:paraId="08F423BE">
            <w:pPr>
              <w:pStyle w:val="9"/>
              <w:snapToGrid w:val="0"/>
              <w:spacing w:after="0" w:line="360" w:lineRule="auto"/>
              <w:ind w:right="63"/>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r w14:paraId="0CCAC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418" w:type="pct"/>
            <w:vAlign w:val="center"/>
          </w:tcPr>
          <w:p w14:paraId="784315BF">
            <w:pPr>
              <w:pStyle w:val="9"/>
              <w:snapToGrid w:val="0"/>
              <w:spacing w:after="0" w:line="360" w:lineRule="auto"/>
              <w:ind w:right="63"/>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6</w:t>
            </w:r>
          </w:p>
        </w:tc>
        <w:tc>
          <w:tcPr>
            <w:tcW w:w="1573" w:type="pct"/>
            <w:vAlign w:val="center"/>
          </w:tcPr>
          <w:p w14:paraId="40A6392C">
            <w:pPr>
              <w:pStyle w:val="9"/>
              <w:snapToGrid w:val="0"/>
              <w:spacing w:after="0" w:line="360" w:lineRule="auto"/>
              <w:ind w:right="63"/>
              <w:jc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p>
        </w:tc>
        <w:tc>
          <w:tcPr>
            <w:tcW w:w="559" w:type="pct"/>
            <w:vAlign w:val="center"/>
          </w:tcPr>
          <w:p w14:paraId="43EC1F55">
            <w:pPr>
              <w:pStyle w:val="9"/>
              <w:snapToGrid w:val="0"/>
              <w:spacing w:after="0" w:line="360" w:lineRule="auto"/>
              <w:ind w:right="63"/>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900" w:type="pct"/>
            <w:vAlign w:val="center"/>
          </w:tcPr>
          <w:p w14:paraId="547ACB41">
            <w:pPr>
              <w:snapToGrid w:val="0"/>
              <w:spacing w:line="360" w:lineRule="auto"/>
              <w:ind w:right="63"/>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690" w:type="pct"/>
            <w:vAlign w:val="center"/>
          </w:tcPr>
          <w:p w14:paraId="05D4727B">
            <w:pPr>
              <w:pStyle w:val="9"/>
              <w:snapToGrid w:val="0"/>
              <w:spacing w:after="0" w:line="360" w:lineRule="auto"/>
              <w:ind w:right="63"/>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859" w:type="pct"/>
            <w:vAlign w:val="center"/>
          </w:tcPr>
          <w:p w14:paraId="42388172">
            <w:pPr>
              <w:pStyle w:val="9"/>
              <w:snapToGrid w:val="0"/>
              <w:spacing w:after="0" w:line="360" w:lineRule="auto"/>
              <w:ind w:right="63"/>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r w14:paraId="68F23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000" w:type="pct"/>
            <w:gridSpan w:val="6"/>
            <w:vAlign w:val="center"/>
          </w:tcPr>
          <w:p w14:paraId="59F6B7B3">
            <w:pPr>
              <w:spacing w:line="360" w:lineRule="auto"/>
              <w:jc w:val="center"/>
              <w:textAlignment w:val="cente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合计</w:t>
            </w:r>
            <w:r>
              <w:rPr>
                <w:rFonts w:hint="default" w:ascii="Times New Roman Regular" w:hAnsi="Times New Roman Regular" w:eastAsia="宋体" w:cs="Times New Roman Regular"/>
                <w:b/>
                <w:bCs/>
                <w:color w:val="000000" w:themeColor="text1"/>
                <w:szCs w:val="21"/>
                <w:highlight w:val="none"/>
                <w:lang w:val="en-US"/>
                <w14:textFill>
                  <w14:solidFill>
                    <w14:schemeClr w14:val="tx1"/>
                  </w14:solidFill>
                </w14:textFill>
              </w:rPr>
              <w:t>总价</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（含税）=Σ分项价：</w:t>
            </w:r>
          </w:p>
        </w:tc>
      </w:tr>
    </w:tbl>
    <w:p w14:paraId="3B6EBBAD">
      <w:pPr>
        <w:pStyle w:val="8"/>
        <w:spacing w:before="120" w:line="360" w:lineRule="auto"/>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投标人名称（公章）：</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ab/>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ab/>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ab/>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ab/>
      </w:r>
    </w:p>
    <w:p w14:paraId="2222A7E7">
      <w:pPr>
        <w:spacing w:line="360" w:lineRule="auto"/>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投标人代表签字：</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ab/>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ab/>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ab/>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ab/>
      </w:r>
    </w:p>
    <w:p w14:paraId="26900A68">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bookmarkStart w:id="117" w:name="_Hlk5019392"/>
    </w:p>
    <w:p w14:paraId="7EEC082D">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注：</w:t>
      </w:r>
    </w:p>
    <w:p w14:paraId="4002A2BB">
      <w:pPr>
        <w:spacing w:line="360" w:lineRule="auto"/>
        <w:ind w:left="284" w:hanging="284"/>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1.分项报价表的合计值须与“投标一览表”中相应内容的投标总价一致。</w:t>
      </w:r>
    </w:p>
    <w:p w14:paraId="4029A77E">
      <w:pPr>
        <w:spacing w:line="360" w:lineRule="auto"/>
        <w:ind w:left="284" w:hanging="284"/>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2.除有特殊说明外，以上“税”均指增值税。</w:t>
      </w:r>
    </w:p>
    <w:p w14:paraId="190B5229">
      <w:pPr>
        <w:spacing w:line="360" w:lineRule="auto"/>
        <w:ind w:left="284" w:hanging="284"/>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3.投标人应保证服务配置的完整性，满足招标人正常使用的需要。实际使用发现缺漏项将由投标人免费补齐。</w:t>
      </w:r>
    </w:p>
    <w:p w14:paraId="625BAA03">
      <w:pPr>
        <w:spacing w:line="360" w:lineRule="auto"/>
        <w:ind w:left="284" w:hanging="284"/>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4.本项目以目标为导向完成“第五章 技术/服务需求书”所述内容。</w:t>
      </w:r>
      <w:bookmarkEnd w:id="117"/>
    </w:p>
    <w:p w14:paraId="5077159E">
      <w:pPr>
        <w:jc w:val="cente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pPr>
      <w: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br w:type="page"/>
      </w:r>
    </w:p>
    <w:bookmarkEnd w:id="114"/>
    <w:bookmarkEnd w:id="115"/>
    <w:bookmarkEnd w:id="116"/>
    <w:p w14:paraId="7BB520B0">
      <w:pPr>
        <w:pStyle w:val="4"/>
        <w:spacing w:line="360" w:lineRule="auto"/>
        <w:jc w:val="cente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pPr>
      <w: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t>附件4：法定代表人授权书</w:t>
      </w:r>
    </w:p>
    <w:p w14:paraId="6EB3F9C5">
      <w:pPr>
        <w:spacing w:line="360" w:lineRule="auto"/>
        <w:rPr>
          <w:rFonts w:hint="default" w:ascii="Times New Roman Regular" w:hAnsi="Times New Roman Regular" w:eastAsia="宋体" w:cs="Times New Roman Regular"/>
          <w:b/>
          <w:color w:val="000000" w:themeColor="text1"/>
          <w:highlight w:val="none"/>
          <w14:textFill>
            <w14:solidFill>
              <w14:schemeClr w14:val="tx1"/>
            </w14:solidFill>
          </w14:textFill>
        </w:rPr>
      </w:pPr>
    </w:p>
    <w:p w14:paraId="0981E1E5">
      <w:pPr>
        <w:spacing w:line="360" w:lineRule="auto"/>
        <w:jc w:val="center"/>
        <w:rPr>
          <w:rFonts w:hint="default" w:ascii="Times New Roman Regular" w:hAnsi="Times New Roman Regular" w:eastAsia="宋体" w:cs="Times New Roman Regular"/>
          <w:b/>
          <w:color w:val="000000" w:themeColor="text1"/>
          <w:highlight w:val="none"/>
          <w14:textFill>
            <w14:solidFill>
              <w14:schemeClr w14:val="tx1"/>
            </w14:solidFill>
          </w14:textFill>
        </w:rPr>
      </w:pPr>
    </w:p>
    <w:p w14:paraId="56C3D440">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本授权书声明：注册于</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（国家或地区的名称）</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的</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 xml:space="preserve">         （公司名称）      </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的在下面签字或签章的</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 xml:space="preserve">   （法定代表人姓名、职务）   </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 xml:space="preserve">代表本公司授权 </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 xml:space="preserve">        （单位名称）      </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的在下面签字的</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（授权代理人的姓名、职务）（身份证号码：             ）</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为本公司的合法代理人，就</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 xml:space="preserve">          （项目名称、招标编号）         </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，以本公司名义处理一切与之相关的事务，其后果由我公司承担。</w:t>
      </w:r>
    </w:p>
    <w:p w14:paraId="31B26EB9">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本授权书于</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年</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月</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日签字生效， 特此声明。</w:t>
      </w:r>
    </w:p>
    <w:p w14:paraId="254E7006">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4D2C4E3A">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投标人名称（公章）：</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 xml:space="preserve">                     </w:t>
      </w:r>
    </w:p>
    <w:p w14:paraId="37C1DBD1">
      <w:pPr>
        <w:spacing w:line="360" w:lineRule="auto"/>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法定代表人（签字或签章）：</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 xml:space="preserve">                     </w:t>
      </w:r>
    </w:p>
    <w:p w14:paraId="231AA51D">
      <w:pPr>
        <w:pStyle w:val="20"/>
        <w:spacing w:line="360" w:lineRule="auto"/>
        <w:rPr>
          <w:rFonts w:hint="default" w:ascii="Times New Roman Regular" w:hAnsi="Times New Roman Regular" w:eastAsia="宋体" w:cs="Times New Roman Regular"/>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身份证号码：</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 xml:space="preserve">                     </w:t>
      </w:r>
    </w:p>
    <w:p w14:paraId="503D0840">
      <w:pPr>
        <w:spacing w:line="360" w:lineRule="auto"/>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授权代理人（签字）：</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 xml:space="preserve">                     </w:t>
      </w:r>
    </w:p>
    <w:p w14:paraId="50725A5D">
      <w:pPr>
        <w:pStyle w:val="20"/>
        <w:spacing w:line="360" w:lineRule="auto"/>
        <w:rPr>
          <w:rFonts w:hint="default" w:ascii="Times New Roman Regular" w:hAnsi="Times New Roman Regular" w:eastAsia="宋体" w:cs="Times New Roman Regular"/>
          <w:color w:val="000000" w:themeColor="text1"/>
          <w:szCs w:val="24"/>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身份证号码：</w:t>
      </w:r>
      <w:r>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t xml:space="preserve">                      </w:t>
      </w:r>
    </w:p>
    <w:p w14:paraId="4E0176D4">
      <w:pPr>
        <w:spacing w:line="360" w:lineRule="auto"/>
        <w:rPr>
          <w:rFonts w:hint="default" w:ascii="Times New Roman Regular" w:hAnsi="Times New Roman Regular" w:eastAsia="宋体" w:cs="Times New Roman Regular"/>
          <w:color w:val="000000" w:themeColor="text1"/>
          <w:szCs w:val="21"/>
          <w:highlight w:val="none"/>
          <w:u w:val="single"/>
          <w14:textFill>
            <w14:solidFill>
              <w14:schemeClr w14:val="tx1"/>
            </w14:solidFill>
          </w14:textFill>
        </w:rPr>
      </w:pPr>
    </w:p>
    <w:p w14:paraId="29388313">
      <w:pPr>
        <w:pStyle w:val="20"/>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附：</w:t>
      </w:r>
    </w:p>
    <w:p w14:paraId="7809447E">
      <w:pPr>
        <w:pStyle w:val="20"/>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法定代表人身份证复印件（正反面）</w:t>
      </w:r>
    </w:p>
    <w:p w14:paraId="169598C0">
      <w:pPr>
        <w:pStyle w:val="20"/>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0411C4B6">
      <w:pPr>
        <w:pStyle w:val="20"/>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38B42E1E">
      <w:pPr>
        <w:pStyle w:val="20"/>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735A10FC">
      <w:pPr>
        <w:spacing w:line="360" w:lineRule="auto"/>
        <w:rPr>
          <w:rFonts w:hint="default" w:ascii="Times New Roman Regular" w:hAnsi="Times New Roman Regular" w:eastAsia="宋体" w:cs="Times New Roman Regular"/>
          <w:color w:val="000000" w:themeColor="text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授权代理人身份证复印件（正反面）</w:t>
      </w:r>
    </w:p>
    <w:p w14:paraId="614A7673">
      <w:pPr>
        <w:spacing w:line="360" w:lineRule="auto"/>
        <w:rPr>
          <w:rFonts w:hint="default" w:ascii="Times New Roman Regular" w:hAnsi="Times New Roman Regular" w:eastAsia="宋体" w:cs="Times New Roman Regular"/>
          <w:color w:val="000000" w:themeColor="text1"/>
          <w:highlight w:val="none"/>
          <w:u w:val="single"/>
          <w14:textFill>
            <w14:solidFill>
              <w14:schemeClr w14:val="tx1"/>
            </w14:solidFill>
          </w14:textFill>
        </w:rPr>
      </w:pPr>
    </w:p>
    <w:p w14:paraId="00AF10FE">
      <w:pPr>
        <w:pStyle w:val="4"/>
        <w:spacing w:line="360" w:lineRule="auto"/>
        <w:jc w:val="cente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br w:type="page"/>
      </w:r>
      <w:bookmarkStart w:id="118" w:name="_Toc161767431"/>
      <w:bookmarkStart w:id="119" w:name="_Toc135999010"/>
      <w:bookmarkStart w:id="120" w:name="_Toc198349311"/>
      <w: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t>附件5：商务条款偏离表</w:t>
      </w:r>
      <w:bookmarkEnd w:id="118"/>
      <w:bookmarkEnd w:id="119"/>
      <w:bookmarkEnd w:id="120"/>
    </w:p>
    <w:p w14:paraId="22214DF6">
      <w:pPr>
        <w:spacing w:line="360" w:lineRule="auto"/>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项目名称：</w:t>
      </w:r>
      <w:r>
        <w:rPr>
          <w:rFonts w:hint="eastAsia" w:ascii="Times New Roman Regular" w:hAnsi="Times New Roman Regular" w:cs="Times New Roman Regular"/>
          <w:color w:val="000000" w:themeColor="text1"/>
          <w:szCs w:val="21"/>
          <w:highlight w:val="none"/>
          <w:lang w:eastAsia="zh-CN"/>
          <w14:textFill>
            <w14:solidFill>
              <w14:schemeClr w14:val="tx1"/>
            </w14:solidFill>
          </w14:textFill>
        </w:rPr>
        <w:t>成方金科上海分公司数据平台系统实时监测技术服务采购项目</w:t>
      </w:r>
    </w:p>
    <w:p w14:paraId="3DC19F12">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招标编号：</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2049"/>
        <w:gridCol w:w="2561"/>
        <w:gridCol w:w="2561"/>
        <w:gridCol w:w="1170"/>
      </w:tblGrid>
      <w:tr w14:paraId="60F0E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755" w:type="dxa"/>
          </w:tcPr>
          <w:p w14:paraId="480048A2">
            <w:pPr>
              <w:spacing w:before="240" w:after="240"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序号</w:t>
            </w:r>
          </w:p>
        </w:tc>
        <w:tc>
          <w:tcPr>
            <w:tcW w:w="2049" w:type="dxa"/>
          </w:tcPr>
          <w:p w14:paraId="4DEF598D">
            <w:pPr>
              <w:spacing w:before="240" w:after="240"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招标文件条目号</w:t>
            </w:r>
          </w:p>
        </w:tc>
        <w:tc>
          <w:tcPr>
            <w:tcW w:w="2561" w:type="dxa"/>
          </w:tcPr>
          <w:p w14:paraId="724B42DF">
            <w:pPr>
              <w:spacing w:before="240" w:after="240"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招标文件的商务条款</w:t>
            </w:r>
          </w:p>
        </w:tc>
        <w:tc>
          <w:tcPr>
            <w:tcW w:w="2561" w:type="dxa"/>
          </w:tcPr>
          <w:p w14:paraId="4C515E3F">
            <w:pPr>
              <w:spacing w:before="240" w:after="240"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投标文件的响应情况</w:t>
            </w:r>
          </w:p>
        </w:tc>
        <w:tc>
          <w:tcPr>
            <w:tcW w:w="1170" w:type="dxa"/>
          </w:tcPr>
          <w:p w14:paraId="68996CD4">
            <w:pPr>
              <w:spacing w:before="240" w:after="240"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偏离情况</w:t>
            </w:r>
          </w:p>
        </w:tc>
      </w:tr>
      <w:tr w14:paraId="3020B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755" w:type="dxa"/>
          </w:tcPr>
          <w:p w14:paraId="14FFDE9A">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049" w:type="dxa"/>
            <w:vAlign w:val="center"/>
          </w:tcPr>
          <w:p w14:paraId="370B74B1">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561" w:type="dxa"/>
          </w:tcPr>
          <w:p w14:paraId="4D886D5C">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561" w:type="dxa"/>
          </w:tcPr>
          <w:p w14:paraId="05D85212">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1170" w:type="dxa"/>
          </w:tcPr>
          <w:p w14:paraId="56D12260">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r>
      <w:tr w14:paraId="565E0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755" w:type="dxa"/>
          </w:tcPr>
          <w:p w14:paraId="7172EBE9">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049" w:type="dxa"/>
            <w:vAlign w:val="center"/>
          </w:tcPr>
          <w:p w14:paraId="60D146C6">
            <w:pPr>
              <w:widowControl/>
              <w:spacing w:line="360" w:lineRule="auto"/>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pPr>
          </w:p>
        </w:tc>
        <w:tc>
          <w:tcPr>
            <w:tcW w:w="2561" w:type="dxa"/>
          </w:tcPr>
          <w:p w14:paraId="579500F4">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561" w:type="dxa"/>
          </w:tcPr>
          <w:p w14:paraId="0A52877B">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1170" w:type="dxa"/>
          </w:tcPr>
          <w:p w14:paraId="1B24304F">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r>
      <w:tr w14:paraId="3A884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755" w:type="dxa"/>
          </w:tcPr>
          <w:p w14:paraId="70B7A678">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049" w:type="dxa"/>
            <w:vAlign w:val="center"/>
          </w:tcPr>
          <w:p w14:paraId="507A4DEB">
            <w:pPr>
              <w:widowControl/>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561" w:type="dxa"/>
          </w:tcPr>
          <w:p w14:paraId="7F0C01D1">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561" w:type="dxa"/>
          </w:tcPr>
          <w:p w14:paraId="0AAE99C7">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1170" w:type="dxa"/>
          </w:tcPr>
          <w:p w14:paraId="674E1BAA">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r>
      <w:tr w14:paraId="61D74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755" w:type="dxa"/>
          </w:tcPr>
          <w:p w14:paraId="1932F93E">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049" w:type="dxa"/>
            <w:vAlign w:val="center"/>
          </w:tcPr>
          <w:p w14:paraId="53906BE1">
            <w:pPr>
              <w:widowControl/>
              <w:spacing w:line="360" w:lineRule="auto"/>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pPr>
          </w:p>
        </w:tc>
        <w:tc>
          <w:tcPr>
            <w:tcW w:w="2561" w:type="dxa"/>
          </w:tcPr>
          <w:p w14:paraId="668784F5">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561" w:type="dxa"/>
          </w:tcPr>
          <w:p w14:paraId="78048C42">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1170" w:type="dxa"/>
          </w:tcPr>
          <w:p w14:paraId="6185B756">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r>
      <w:tr w14:paraId="77150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755" w:type="dxa"/>
          </w:tcPr>
          <w:p w14:paraId="1A9A77C4">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049" w:type="dxa"/>
            <w:vAlign w:val="center"/>
          </w:tcPr>
          <w:p w14:paraId="32F15E77">
            <w:pPr>
              <w:widowControl/>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561" w:type="dxa"/>
          </w:tcPr>
          <w:p w14:paraId="70C1C0E9">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561" w:type="dxa"/>
          </w:tcPr>
          <w:p w14:paraId="5412A800">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1170" w:type="dxa"/>
          </w:tcPr>
          <w:p w14:paraId="6AC3DD7E">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r>
      <w:tr w14:paraId="5FD97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755" w:type="dxa"/>
          </w:tcPr>
          <w:p w14:paraId="7DD19C05">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049" w:type="dxa"/>
          </w:tcPr>
          <w:p w14:paraId="6D5B711D">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561" w:type="dxa"/>
          </w:tcPr>
          <w:p w14:paraId="680F44C4">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561" w:type="dxa"/>
          </w:tcPr>
          <w:p w14:paraId="2CCE0E50">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1170" w:type="dxa"/>
          </w:tcPr>
          <w:p w14:paraId="7807D73F">
            <w:pPr>
              <w:spacing w:before="240" w:after="240"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r>
    </w:tbl>
    <w:p w14:paraId="4179E1F4">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注：</w:t>
      </w:r>
    </w:p>
    <w:p w14:paraId="7BDE1A84">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1、投标人须按照上表格式内容，对商务条款（包括合同条款）进行应答响应。</w:t>
      </w:r>
    </w:p>
    <w:p w14:paraId="12AC21BB">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2、偏离包括正、负偏离、无偏离，正偏离指投标人的响应高于招标文件要求，负偏离指投标人的响应低于招标文件要求。</w:t>
      </w:r>
    </w:p>
    <w:p w14:paraId="7096CC70">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3、如投标人无任何偏离，也需在响应表中注明“</w:t>
      </w:r>
      <w:r>
        <w:rPr>
          <w:rFonts w:hint="default" w:ascii="Times New Roman Regular" w:hAnsi="Times New Roman Regular" w:eastAsia="宋体" w:cs="Times New Roman Regular"/>
          <w:b/>
          <w:bCs/>
          <w:color w:val="000000" w:themeColor="text1"/>
          <w:highlight w:val="none"/>
          <w14:textFill>
            <w14:solidFill>
              <w14:schemeClr w14:val="tx1"/>
            </w14:solidFill>
          </w14:textFill>
        </w:rPr>
        <w:t>全部商务条款无偏离</w:t>
      </w:r>
      <w:r>
        <w:rPr>
          <w:rFonts w:hint="default" w:ascii="Times New Roman Regular" w:hAnsi="Times New Roman Regular" w:eastAsia="宋体" w:cs="Times New Roman Regular"/>
          <w:color w:val="000000" w:themeColor="text1"/>
          <w:highlight w:val="none"/>
          <w14:textFill>
            <w14:solidFill>
              <w14:schemeClr w14:val="tx1"/>
            </w14:solidFill>
          </w14:textFill>
        </w:rPr>
        <w:t>”并在投标文件中递交此表。</w:t>
      </w:r>
    </w:p>
    <w:p w14:paraId="642DC5CB">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4B09E62B">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55CFEF43">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251ACFE8">
      <w:pPr>
        <w:spacing w:line="360" w:lineRule="auto"/>
        <w:rPr>
          <w:rFonts w:hint="default" w:ascii="Times New Roman Regular" w:hAnsi="Times New Roman Regular" w:eastAsia="宋体" w:cs="Times New Roman Regular"/>
          <w:color w:val="000000" w:themeColor="text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投标人名称（公章）：</w:t>
      </w:r>
    </w:p>
    <w:p w14:paraId="10A6C6B5">
      <w:pPr>
        <w:spacing w:line="360" w:lineRule="auto"/>
        <w:rPr>
          <w:rFonts w:hint="default" w:ascii="Times New Roman Regular" w:hAnsi="Times New Roman Regular" w:eastAsia="宋体" w:cs="Times New Roman Regular"/>
          <w:color w:val="000000" w:themeColor="text1"/>
          <w:sz w:val="36"/>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 xml:space="preserve">授权代理人（签字）：              </w:t>
      </w:r>
      <w:r>
        <w:rPr>
          <w:rFonts w:hint="default" w:ascii="Times New Roman Regular" w:hAnsi="Times New Roman Regular" w:eastAsia="宋体" w:cs="Times New Roman Regular"/>
          <w:b/>
          <w:bCs/>
          <w:color w:val="000000" w:themeColor="text1"/>
          <w:sz w:val="32"/>
          <w:szCs w:val="32"/>
          <w:highlight w:val="none"/>
          <w14:textFill>
            <w14:solidFill>
              <w14:schemeClr w14:val="tx1"/>
            </w14:solidFill>
          </w14:textFill>
        </w:rPr>
        <w:t xml:space="preserve">    </w:t>
      </w:r>
      <w:r>
        <w:rPr>
          <w:rFonts w:hint="default" w:ascii="Times New Roman Regular" w:hAnsi="Times New Roman Regular" w:eastAsia="宋体" w:cs="Times New Roman Regular"/>
          <w:color w:val="000000" w:themeColor="text1"/>
          <w:highlight w:val="none"/>
          <w14:textFill>
            <w14:solidFill>
              <w14:schemeClr w14:val="tx1"/>
            </w14:solidFill>
          </w14:textFill>
        </w:rPr>
        <w:t xml:space="preserve">                         </w:t>
      </w:r>
      <w:r>
        <w:rPr>
          <w:rFonts w:hint="default" w:ascii="Times New Roman Regular" w:hAnsi="Times New Roman Regular" w:eastAsia="宋体" w:cs="Times New Roman Regular"/>
          <w:color w:val="000000" w:themeColor="text1"/>
          <w:sz w:val="36"/>
          <w:highlight w:val="none"/>
          <w14:textFill>
            <w14:solidFill>
              <w14:schemeClr w14:val="tx1"/>
            </w14:solidFill>
          </w14:textFill>
        </w:rPr>
        <w:br w:type="page"/>
      </w:r>
      <w:bookmarkStart w:id="121" w:name="_Toc135999011"/>
      <w:bookmarkStart w:id="122" w:name="_Toc161767432"/>
    </w:p>
    <w:p w14:paraId="6921D5E8">
      <w:pPr>
        <w:pStyle w:val="4"/>
        <w:spacing w:line="360" w:lineRule="auto"/>
        <w:jc w:val="cente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pPr>
      <w: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t>附件6：技术服务需求偏离表</w:t>
      </w:r>
      <w:bookmarkEnd w:id="121"/>
      <w:bookmarkEnd w:id="122"/>
    </w:p>
    <w:p w14:paraId="2756B0E6">
      <w:pPr>
        <w:spacing w:line="360" w:lineRule="auto"/>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项目名称：</w:t>
      </w:r>
      <w:r>
        <w:rPr>
          <w:rFonts w:hint="eastAsia" w:ascii="Times New Roman Regular" w:hAnsi="Times New Roman Regular" w:cs="Times New Roman Regular"/>
          <w:color w:val="000000" w:themeColor="text1"/>
          <w:szCs w:val="21"/>
          <w:highlight w:val="none"/>
          <w:lang w:eastAsia="zh-CN"/>
          <w14:textFill>
            <w14:solidFill>
              <w14:schemeClr w14:val="tx1"/>
            </w14:solidFill>
          </w14:textFill>
        </w:rPr>
        <w:t>成方金科上海分公司数据平台系统实时监测技术服务采购项目</w:t>
      </w:r>
    </w:p>
    <w:p w14:paraId="02ECFD06">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招标编号：</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2977"/>
        <w:gridCol w:w="3488"/>
        <w:gridCol w:w="1299"/>
      </w:tblGrid>
      <w:tr w14:paraId="20308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846" w:type="dxa"/>
            <w:vAlign w:val="center"/>
          </w:tcPr>
          <w:p w14:paraId="58B391B7">
            <w:pPr>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序号</w:t>
            </w:r>
          </w:p>
        </w:tc>
        <w:tc>
          <w:tcPr>
            <w:tcW w:w="2977" w:type="dxa"/>
            <w:vAlign w:val="center"/>
          </w:tcPr>
          <w:p w14:paraId="7BE9FEB5">
            <w:pPr>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招标文件技术/服务指标要求</w:t>
            </w:r>
          </w:p>
        </w:tc>
        <w:tc>
          <w:tcPr>
            <w:tcW w:w="3488" w:type="dxa"/>
            <w:vAlign w:val="center"/>
          </w:tcPr>
          <w:p w14:paraId="5ADD65CE">
            <w:pPr>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投标文件技术/服务指标响应情况</w:t>
            </w:r>
          </w:p>
        </w:tc>
        <w:tc>
          <w:tcPr>
            <w:tcW w:w="1299" w:type="dxa"/>
            <w:vAlign w:val="center"/>
          </w:tcPr>
          <w:p w14:paraId="7A977A02">
            <w:pPr>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偏离情况</w:t>
            </w:r>
          </w:p>
        </w:tc>
      </w:tr>
      <w:tr w14:paraId="3EBEC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846" w:type="dxa"/>
            <w:vAlign w:val="center"/>
          </w:tcPr>
          <w:p w14:paraId="00C46AE0">
            <w:pPr>
              <w:spacing w:line="360" w:lineRule="auto"/>
              <w:jc w:val="center"/>
              <w:rPr>
                <w:rFonts w:hint="default" w:ascii="Times New Roman Regular" w:hAnsi="Times New Roman Regular" w:eastAsia="宋体" w:cs="Times New Roman Regular"/>
                <w:color w:val="000000" w:themeColor="text1"/>
                <w:highlight w:val="none"/>
                <w:lang w:val="en-US" w:eastAsia="zh-CN"/>
                <w14:textFill>
                  <w14:solidFill>
                    <w14:schemeClr w14:val="tx1"/>
                  </w14:solidFill>
                </w14:textFill>
              </w:rPr>
            </w:pPr>
          </w:p>
        </w:tc>
        <w:tc>
          <w:tcPr>
            <w:tcW w:w="2977" w:type="dxa"/>
            <w:vAlign w:val="center"/>
          </w:tcPr>
          <w:p w14:paraId="62E1B943">
            <w:pPr>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3488" w:type="dxa"/>
          </w:tcPr>
          <w:p w14:paraId="0A8D9662">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1299" w:type="dxa"/>
          </w:tcPr>
          <w:p w14:paraId="74CEDB44">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r>
      <w:tr w14:paraId="51773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6" w:type="dxa"/>
            <w:vAlign w:val="center"/>
          </w:tcPr>
          <w:p w14:paraId="3809FB2A">
            <w:pPr>
              <w:spacing w:line="360" w:lineRule="auto"/>
              <w:jc w:val="center"/>
              <w:rPr>
                <w:rFonts w:hint="default" w:ascii="Times New Roman Regular" w:hAnsi="Times New Roman Regular" w:eastAsia="宋体" w:cs="Times New Roman Regular"/>
                <w:color w:val="000000" w:themeColor="text1"/>
                <w:highlight w:val="none"/>
                <w:lang w:val="en-US" w:eastAsia="zh-CN"/>
                <w14:textFill>
                  <w14:solidFill>
                    <w14:schemeClr w14:val="tx1"/>
                  </w14:solidFill>
                </w14:textFill>
              </w:rPr>
            </w:pPr>
          </w:p>
        </w:tc>
        <w:tc>
          <w:tcPr>
            <w:tcW w:w="2977" w:type="dxa"/>
            <w:vAlign w:val="center"/>
          </w:tcPr>
          <w:p w14:paraId="4DAAE3C6">
            <w:pPr>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3488" w:type="dxa"/>
          </w:tcPr>
          <w:p w14:paraId="6A0187C3">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1299" w:type="dxa"/>
          </w:tcPr>
          <w:p w14:paraId="57C23BA6">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r>
      <w:tr w14:paraId="59BA6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6" w:type="dxa"/>
            <w:vAlign w:val="center"/>
          </w:tcPr>
          <w:p w14:paraId="65FEC4C1">
            <w:pPr>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977" w:type="dxa"/>
            <w:vAlign w:val="center"/>
          </w:tcPr>
          <w:p w14:paraId="79CF111A">
            <w:pPr>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3488" w:type="dxa"/>
          </w:tcPr>
          <w:p w14:paraId="17D00F5B">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1299" w:type="dxa"/>
          </w:tcPr>
          <w:p w14:paraId="23E9C1BE">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r>
      <w:tr w14:paraId="0125F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6" w:type="dxa"/>
            <w:vAlign w:val="center"/>
          </w:tcPr>
          <w:p w14:paraId="5FC9E9CF">
            <w:pPr>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977" w:type="dxa"/>
            <w:vAlign w:val="center"/>
          </w:tcPr>
          <w:p w14:paraId="601B9E30">
            <w:pPr>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3488" w:type="dxa"/>
          </w:tcPr>
          <w:p w14:paraId="1E90782C">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1299" w:type="dxa"/>
          </w:tcPr>
          <w:p w14:paraId="275EF692">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r>
      <w:tr w14:paraId="0A190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6" w:type="dxa"/>
          </w:tcPr>
          <w:p w14:paraId="2870BCA5">
            <w:pPr>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977" w:type="dxa"/>
          </w:tcPr>
          <w:p w14:paraId="0801C09D">
            <w:pPr>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3488" w:type="dxa"/>
          </w:tcPr>
          <w:p w14:paraId="46470EA1">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1299" w:type="dxa"/>
          </w:tcPr>
          <w:p w14:paraId="2F09128A">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r>
      <w:tr w14:paraId="5FB52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6" w:type="dxa"/>
          </w:tcPr>
          <w:p w14:paraId="7CCB0689">
            <w:pPr>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977" w:type="dxa"/>
          </w:tcPr>
          <w:p w14:paraId="13C6A02C">
            <w:pPr>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3488" w:type="dxa"/>
          </w:tcPr>
          <w:p w14:paraId="45FB68C3">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1299" w:type="dxa"/>
          </w:tcPr>
          <w:p w14:paraId="58EEE432">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r>
      <w:tr w14:paraId="40851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6" w:type="dxa"/>
          </w:tcPr>
          <w:p w14:paraId="43913D9B">
            <w:pPr>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977" w:type="dxa"/>
          </w:tcPr>
          <w:p w14:paraId="35F53AC0">
            <w:pPr>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3488" w:type="dxa"/>
          </w:tcPr>
          <w:p w14:paraId="1BDBB09E">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1299" w:type="dxa"/>
          </w:tcPr>
          <w:p w14:paraId="56136135">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r>
      <w:tr w14:paraId="19778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6" w:type="dxa"/>
          </w:tcPr>
          <w:p w14:paraId="4CCA98EA">
            <w:pPr>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977" w:type="dxa"/>
          </w:tcPr>
          <w:p w14:paraId="13591C2E">
            <w:pPr>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3488" w:type="dxa"/>
          </w:tcPr>
          <w:p w14:paraId="5C9ADC03">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1299" w:type="dxa"/>
          </w:tcPr>
          <w:p w14:paraId="3BF74DFC">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r>
      <w:tr w14:paraId="3AA5E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6" w:type="dxa"/>
          </w:tcPr>
          <w:p w14:paraId="1AD43105">
            <w:pPr>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2977" w:type="dxa"/>
          </w:tcPr>
          <w:p w14:paraId="5969513A">
            <w:pPr>
              <w:spacing w:line="360" w:lineRule="auto"/>
              <w:jc w:val="center"/>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3488" w:type="dxa"/>
          </w:tcPr>
          <w:p w14:paraId="385DF1B1">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c>
          <w:tcPr>
            <w:tcW w:w="1299" w:type="dxa"/>
          </w:tcPr>
          <w:p w14:paraId="070DE20E">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tc>
      </w:tr>
    </w:tbl>
    <w:p w14:paraId="08FE1A53">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注：</w:t>
      </w:r>
    </w:p>
    <w:p w14:paraId="17449F4C">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1、</w:t>
      </w:r>
      <w:r>
        <w:rPr>
          <w:rFonts w:hint="default" w:ascii="Times New Roman Regular" w:hAnsi="Times New Roman Regular" w:eastAsia="宋体" w:cs="Times New Roman Regular"/>
          <w:b/>
          <w:bCs/>
          <w:color w:val="000000" w:themeColor="text1"/>
          <w:highlight w:val="none"/>
          <w14:textFill>
            <w14:solidFill>
              <w14:schemeClr w14:val="tx1"/>
            </w14:solidFill>
          </w14:textFill>
        </w:rPr>
        <w:t>本表应依据第五章《技术/服务需求书》要求如实填写</w:t>
      </w:r>
      <w:r>
        <w:rPr>
          <w:rFonts w:hint="default" w:ascii="Times New Roman Regular" w:hAnsi="Times New Roman Regular" w:eastAsia="宋体" w:cs="Times New Roman Regular"/>
          <w:color w:val="000000" w:themeColor="text1"/>
          <w:highlight w:val="none"/>
          <w14:textFill>
            <w14:solidFill>
              <w14:schemeClr w14:val="tx1"/>
            </w14:solidFill>
          </w14:textFill>
        </w:rPr>
        <w:t>，可以附加招标文件中没有要求其它方面的技术/服务指标。如果投标人对招标文件中的技术要求建议做的任何改动，请在此表中清楚地列明，并加以说明。</w:t>
      </w:r>
    </w:p>
    <w:p w14:paraId="3E9FE27A">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2.、如果表格叙述不下，可另附页说明。</w:t>
      </w:r>
    </w:p>
    <w:p w14:paraId="16C0412F">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3、偏离包括正、负偏离、无偏离，正偏离指投标人的响应高于招标文件要求，负偏离指投标人的响应低于招标文件要求。</w:t>
      </w:r>
    </w:p>
    <w:p w14:paraId="689159E6">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4、如投标人无任何偏离，也需在响应表中注明“</w:t>
      </w:r>
      <w:r>
        <w:rPr>
          <w:rFonts w:hint="default" w:ascii="Times New Roman Regular" w:hAnsi="Times New Roman Regular" w:eastAsia="宋体" w:cs="Times New Roman Regular"/>
          <w:b/>
          <w:bCs/>
          <w:color w:val="000000" w:themeColor="text1"/>
          <w:highlight w:val="none"/>
          <w14:textFill>
            <w14:solidFill>
              <w14:schemeClr w14:val="tx1"/>
            </w14:solidFill>
          </w14:textFill>
        </w:rPr>
        <w:t>全部技术/服务条款无偏离</w:t>
      </w:r>
      <w:r>
        <w:rPr>
          <w:rFonts w:hint="default" w:ascii="Times New Roman Regular" w:hAnsi="Times New Roman Regular" w:eastAsia="宋体" w:cs="Times New Roman Regular"/>
          <w:color w:val="000000" w:themeColor="text1"/>
          <w:highlight w:val="none"/>
          <w14:textFill>
            <w14:solidFill>
              <w14:schemeClr w14:val="tx1"/>
            </w14:solidFill>
          </w14:textFill>
        </w:rPr>
        <w:t>”并在投标文件中递交此表。</w:t>
      </w:r>
    </w:p>
    <w:p w14:paraId="2B32C4BE">
      <w:pPr>
        <w:spacing w:line="360" w:lineRule="auto"/>
        <w:rPr>
          <w:rFonts w:hint="default" w:ascii="Times New Roman Regular" w:hAnsi="Times New Roman Regular" w:eastAsia="宋体" w:cs="Times New Roman Regular"/>
          <w:color w:val="000000" w:themeColor="text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投标人名称（公章）：</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55B26DFC">
      <w:pPr>
        <w:spacing w:line="360" w:lineRule="auto"/>
        <w:rPr>
          <w:rFonts w:hint="default" w:ascii="Times New Roman Regular" w:hAnsi="Times New Roman Regular" w:eastAsia="宋体" w:cs="Times New Roman Regular"/>
          <w:i/>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授权代理人（签字）：</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393248E5">
      <w:pPr>
        <w:pStyle w:val="4"/>
        <w:spacing w:line="360" w:lineRule="auto"/>
        <w:jc w:val="cente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pPr>
      <w:bookmarkStart w:id="123" w:name="_Toc198349312"/>
      <w:r>
        <w:rPr>
          <w:rFonts w:hint="default" w:ascii="Times New Roman Regular" w:hAnsi="Times New Roman Regular" w:eastAsia="宋体" w:cs="Times New Roman Regular"/>
          <w:color w:val="000000" w:themeColor="text1"/>
          <w:highlight w:val="none"/>
          <w14:textFill>
            <w14:solidFill>
              <w14:schemeClr w14:val="tx1"/>
            </w14:solidFill>
          </w14:textFill>
        </w:rPr>
        <w:br w:type="page"/>
      </w:r>
      <w: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t>附件7：资格证明文件</w:t>
      </w:r>
      <w:bookmarkEnd w:id="123"/>
    </w:p>
    <w:p w14:paraId="592345B1">
      <w:pPr>
        <w:widowControl/>
        <w:spacing w:line="360" w:lineRule="auto"/>
        <w:jc w:val="left"/>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39358299">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填写须知</w:t>
      </w:r>
    </w:p>
    <w:p w14:paraId="54E0059E">
      <w:pPr>
        <w:numPr>
          <w:ilvl w:val="0"/>
          <w:numId w:val="12"/>
        </w:num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投标人应填写和提交下述规定的全部格式以及其他有关资料。</w:t>
      </w:r>
    </w:p>
    <w:p w14:paraId="314456AA">
      <w:pPr>
        <w:numPr>
          <w:ilvl w:val="0"/>
          <w:numId w:val="12"/>
        </w:num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所附格式中要求填写的全部问题和/或信息都必须填写。</w:t>
      </w:r>
    </w:p>
    <w:p w14:paraId="25BD908D">
      <w:pPr>
        <w:numPr>
          <w:ilvl w:val="0"/>
          <w:numId w:val="12"/>
        </w:num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本资格声明的签字人应保证全部声明和填写的内容是真实的和正确的。</w:t>
      </w:r>
    </w:p>
    <w:p w14:paraId="745F2E10">
      <w:pPr>
        <w:numPr>
          <w:ilvl w:val="0"/>
          <w:numId w:val="12"/>
        </w:num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招标人将应用投标人提交的资料根据自己的判断和考虑决定投标人履行合同的合格性及能力。</w:t>
      </w:r>
    </w:p>
    <w:p w14:paraId="0277088A">
      <w:pPr>
        <w:numPr>
          <w:ilvl w:val="0"/>
          <w:numId w:val="12"/>
        </w:num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投标人提交的材料将被保密，但不退还。</w:t>
      </w:r>
    </w:p>
    <w:p w14:paraId="2B8F38D4">
      <w:pPr>
        <w:numPr>
          <w:ilvl w:val="0"/>
          <w:numId w:val="12"/>
        </w:num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全部文件应按规定的语言和份数提交。</w:t>
      </w:r>
    </w:p>
    <w:p w14:paraId="3083D451">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4C74F3DA">
      <w:pPr>
        <w:spacing w:line="360" w:lineRule="auto"/>
        <w:ind w:firstLine="420" w:firstLineChars="20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3DBBD686">
      <w:pPr>
        <w:spacing w:line="360" w:lineRule="auto"/>
        <w:ind w:firstLine="420" w:firstLineChars="200"/>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6A21B4D5">
      <w:pPr>
        <w:spacing w:line="360" w:lineRule="auto"/>
        <w:jc w:val="center"/>
        <w:outlineLvl w:val="0"/>
        <w:rPr>
          <w:rFonts w:hint="default" w:ascii="Times New Roman Regular" w:hAnsi="Times New Roman Regular" w:eastAsia="宋体" w:cs="Times New Roman Regular"/>
          <w:b/>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br w:type="page"/>
      </w:r>
      <w:bookmarkStart w:id="124" w:name="_Toc607966091"/>
      <w:r>
        <w:rPr>
          <w:rFonts w:hint="default" w:ascii="Times New Roman Regular" w:hAnsi="Times New Roman Regular" w:eastAsia="宋体" w:cs="Times New Roman Regular"/>
          <w:b/>
          <w:color w:val="000000" w:themeColor="text1"/>
          <w:highlight w:val="none"/>
          <w14:textFill>
            <w14:solidFill>
              <w14:schemeClr w14:val="tx1"/>
            </w14:solidFill>
          </w14:textFill>
        </w:rPr>
        <w:t xml:space="preserve">7-1  </w:t>
      </w:r>
      <w:r>
        <w:rPr>
          <w:rFonts w:hint="default" w:ascii="Times New Roman Regular" w:hAnsi="Times New Roman Regular" w:eastAsia="宋体" w:cs="Times New Roman Regular"/>
          <w:b/>
          <w:color w:val="000000" w:themeColor="text1"/>
          <w:kern w:val="0"/>
          <w:szCs w:val="21"/>
          <w:highlight w:val="none"/>
          <w14:textFill>
            <w14:solidFill>
              <w14:schemeClr w14:val="tx1"/>
            </w14:solidFill>
          </w14:textFill>
        </w:rPr>
        <w:t>投标</w:t>
      </w:r>
      <w:r>
        <w:rPr>
          <w:rFonts w:hint="default" w:ascii="Times New Roman Regular" w:hAnsi="Times New Roman Regular" w:eastAsia="宋体" w:cs="Times New Roman Regular"/>
          <w:b/>
          <w:color w:val="000000" w:themeColor="text1"/>
          <w:highlight w:val="none"/>
          <w14:textFill>
            <w14:solidFill>
              <w14:schemeClr w14:val="tx1"/>
            </w14:solidFill>
          </w14:textFill>
        </w:rPr>
        <w:t>声明</w:t>
      </w:r>
      <w:bookmarkEnd w:id="124"/>
    </w:p>
    <w:p w14:paraId="2A234DA2">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致：</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江苏省招标中心有限公司：</w:t>
      </w:r>
    </w:p>
    <w:p w14:paraId="27661C2A">
      <w:pPr>
        <w:spacing w:before="720" w:after="240" w:line="360" w:lineRule="auto"/>
        <w:jc w:val="center"/>
        <w:rPr>
          <w:rFonts w:hint="default" w:ascii="Times New Roman Regular" w:hAnsi="Times New Roman Regular" w:eastAsia="宋体" w:cs="Times New Roman Regular"/>
          <w:b/>
          <w:color w:val="000000" w:themeColor="text1"/>
          <w:highlight w:val="none"/>
          <w14:textFill>
            <w14:solidFill>
              <w14:schemeClr w14:val="tx1"/>
            </w14:solidFill>
          </w14:textFill>
        </w:rPr>
      </w:pPr>
      <w:r>
        <w:rPr>
          <w:rFonts w:hint="default" w:ascii="Times New Roman Regular" w:hAnsi="Times New Roman Regular" w:eastAsia="宋体" w:cs="Times New Roman Regular"/>
          <w:b/>
          <w:color w:val="000000" w:themeColor="text1"/>
          <w:highlight w:val="none"/>
          <w14:textFill>
            <w14:solidFill>
              <w14:schemeClr w14:val="tx1"/>
            </w14:solidFill>
          </w14:textFill>
        </w:rPr>
        <w:t>投标声明</w:t>
      </w:r>
    </w:p>
    <w:p w14:paraId="135348B5">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尊敬的女士/先生：</w:t>
      </w:r>
    </w:p>
    <w:p w14:paraId="7D190C3C">
      <w:pPr>
        <w:spacing w:line="360" w:lineRule="auto"/>
        <w:ind w:firstLine="420" w:firstLineChars="20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为响应你方[</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highlight w:val="none"/>
          <w14:textFill>
            <w14:solidFill>
              <w14:schemeClr w14:val="tx1"/>
            </w14:solidFill>
          </w14:textFill>
        </w:rPr>
        <w:t>]年[</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highlight w:val="none"/>
          <w14:textFill>
            <w14:solidFill>
              <w14:schemeClr w14:val="tx1"/>
            </w14:solidFill>
          </w14:textFill>
        </w:rPr>
        <w:t>]月[</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highlight w:val="none"/>
          <w14:textFill>
            <w14:solidFill>
              <w14:schemeClr w14:val="tx1"/>
            </w14:solidFill>
          </w14:textFill>
        </w:rPr>
        <w:t>]日的[</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招标编号]</w:t>
      </w:r>
      <w:r>
        <w:rPr>
          <w:rFonts w:hint="default" w:ascii="Times New Roman Regular" w:hAnsi="Times New Roman Regular" w:eastAsia="宋体" w:cs="Times New Roman Regular"/>
          <w:color w:val="000000" w:themeColor="text1"/>
          <w:highlight w:val="none"/>
          <w14:textFill>
            <w14:solidFill>
              <w14:schemeClr w14:val="tx1"/>
            </w14:solidFill>
          </w14:textFill>
        </w:rPr>
        <w:t>招标公告，下述签字人自愿参与投标，提供招标文件技术/服务需求书中规定的[</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服务名称]</w:t>
      </w:r>
      <w:r>
        <w:rPr>
          <w:rFonts w:hint="default" w:ascii="Times New Roman Regular" w:hAnsi="Times New Roman Regular" w:eastAsia="宋体" w:cs="Times New Roman Regular"/>
          <w:color w:val="000000" w:themeColor="text1"/>
          <w:highlight w:val="none"/>
          <w14:textFill>
            <w14:solidFill>
              <w14:schemeClr w14:val="tx1"/>
            </w14:solidFill>
          </w14:textFill>
        </w:rPr>
        <w:t>，提交下述文件并声明全部说明是真实的和正确的。下述签字人将就下述文件中存在的虚假或不真实内容对招标代理机构和招标人承担法律责任。</w:t>
      </w:r>
    </w:p>
    <w:p w14:paraId="44F75AC0">
      <w:pPr>
        <w:spacing w:line="360" w:lineRule="auto"/>
        <w:ind w:firstLine="420" w:firstLineChars="20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1、我方的资格声明，各有[</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highlight w:val="none"/>
          <w14:textFill>
            <w14:solidFill>
              <w14:schemeClr w14:val="tx1"/>
            </w14:solidFill>
          </w14:textFill>
        </w:rPr>
        <w:t>]份正本，[</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highlight w:val="none"/>
          <w14:textFill>
            <w14:solidFill>
              <w14:schemeClr w14:val="tx1"/>
            </w14:solidFill>
          </w14:textFill>
        </w:rPr>
        <w:t>]份副本。</w:t>
      </w:r>
    </w:p>
    <w:p w14:paraId="60614274">
      <w:pPr>
        <w:spacing w:line="360" w:lineRule="auto"/>
        <w:ind w:firstLine="420" w:firstLineChars="20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2、下述签字人证明本资格文件中的内容是真实的和正确的。</w:t>
      </w:r>
    </w:p>
    <w:p w14:paraId="0E3F39A8">
      <w:pPr>
        <w:spacing w:line="360" w:lineRule="auto"/>
        <w:ind w:firstLine="420" w:firstLineChars="20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3、下述签字人知道，招标人可能要求其提供进一步的资格材料并同意按招标人的要求提交。</w:t>
      </w:r>
    </w:p>
    <w:p w14:paraId="2A938985">
      <w:pPr>
        <w:spacing w:line="360" w:lineRule="auto"/>
        <w:rPr>
          <w:rFonts w:hint="default" w:ascii="Times New Roman Regular" w:hAnsi="Times New Roman Regular" w:eastAsia="宋体" w:cs="Times New Roman Regular"/>
          <w:b/>
          <w:color w:val="000000" w:themeColor="text1"/>
          <w:highlight w:val="none"/>
          <w14:textFill>
            <w14:solidFill>
              <w14:schemeClr w14:val="tx1"/>
            </w14:solidFill>
          </w14:textFill>
        </w:rPr>
      </w:pPr>
    </w:p>
    <w:p w14:paraId="790F8296">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b/>
          <w:color w:val="000000" w:themeColor="text1"/>
          <w:highlight w:val="none"/>
          <w14:textFill>
            <w14:solidFill>
              <w14:schemeClr w14:val="tx1"/>
            </w14:solidFill>
          </w14:textFill>
        </w:rPr>
        <w:t xml:space="preserve">投标人 </w:t>
      </w:r>
      <w:r>
        <w:rPr>
          <w:rFonts w:hint="default" w:ascii="Times New Roman Regular" w:hAnsi="Times New Roman Regular" w:eastAsia="宋体" w:cs="Times New Roman Regular"/>
          <w:color w:val="000000" w:themeColor="text1"/>
          <w:highlight w:val="none"/>
          <w14:textFill>
            <w14:solidFill>
              <w14:schemeClr w14:val="tx1"/>
            </w14:solidFill>
          </w14:textFill>
        </w:rPr>
        <w:t xml:space="preserve">                                授权签署本资格文件</w:t>
      </w:r>
    </w:p>
    <w:p w14:paraId="6311BB70">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名称（盖章）</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highlight w:val="none"/>
          <w14:textFill>
            <w14:solidFill>
              <w14:schemeClr w14:val="tx1"/>
            </w14:solidFill>
          </w14:textFill>
        </w:rPr>
        <w:t xml:space="preserve">      签字人（授权代理人）姓名、职务</w:t>
      </w:r>
    </w:p>
    <w:p w14:paraId="3A5096C6">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地址</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highlight w:val="none"/>
          <w14:textFill>
            <w14:solidFill>
              <w14:schemeClr w14:val="tx1"/>
            </w14:solidFill>
          </w14:textFill>
        </w:rPr>
        <w:t xml:space="preserve">      </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40B4F0AA">
      <w:pPr>
        <w:spacing w:line="360" w:lineRule="auto"/>
        <w:rPr>
          <w:rFonts w:hint="default" w:ascii="Times New Roman Regular" w:hAnsi="Times New Roman Regular" w:eastAsia="宋体" w:cs="Times New Roman Regular"/>
          <w:color w:val="000000" w:themeColor="text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传真</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highlight w:val="none"/>
          <w14:textFill>
            <w14:solidFill>
              <w14:schemeClr w14:val="tx1"/>
            </w14:solidFill>
          </w14:textFill>
        </w:rPr>
        <w:t xml:space="preserve">      签字</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78816F37">
      <w:pPr>
        <w:spacing w:line="360" w:lineRule="auto"/>
        <w:rPr>
          <w:rFonts w:hint="default" w:ascii="Times New Roman Regular" w:hAnsi="Times New Roman Regular" w:eastAsia="宋体" w:cs="Times New Roman Regular"/>
          <w:color w:val="000000" w:themeColor="text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邮编</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highlight w:val="none"/>
          <w14:textFill>
            <w14:solidFill>
              <w14:schemeClr w14:val="tx1"/>
            </w14:solidFill>
          </w14:textFill>
        </w:rPr>
        <w:t xml:space="preserve">      电话</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1894796F">
      <w:pPr>
        <w:widowControl/>
        <w:spacing w:line="360" w:lineRule="auto"/>
        <w:jc w:val="left"/>
        <w:rPr>
          <w:rFonts w:hint="default" w:ascii="Times New Roman Regular" w:hAnsi="Times New Roman Regular" w:eastAsia="宋体" w:cs="Times New Roman Regular"/>
          <w:b/>
          <w:color w:val="000000" w:themeColor="text1"/>
          <w:kern w:val="0"/>
          <w:szCs w:val="21"/>
          <w:highlight w:val="none"/>
          <w14:textFill>
            <w14:solidFill>
              <w14:schemeClr w14:val="tx1"/>
            </w14:solidFill>
          </w14:textFill>
        </w:rPr>
      </w:pPr>
      <w:bookmarkStart w:id="125" w:name="_Toc6996310"/>
      <w:bookmarkStart w:id="126" w:name="_Toc3902768"/>
      <w:r>
        <w:rPr>
          <w:rFonts w:hint="default" w:ascii="Times New Roman Regular" w:hAnsi="Times New Roman Regular" w:eastAsia="宋体" w:cs="Times New Roman Regular"/>
          <w:b/>
          <w:color w:val="000000" w:themeColor="text1"/>
          <w:kern w:val="0"/>
          <w:szCs w:val="21"/>
          <w:highlight w:val="none"/>
          <w14:textFill>
            <w14:solidFill>
              <w14:schemeClr w14:val="tx1"/>
            </w14:solidFill>
          </w14:textFill>
        </w:rPr>
        <w:br w:type="page"/>
      </w:r>
    </w:p>
    <w:p w14:paraId="130352E5">
      <w:pPr>
        <w:spacing w:line="360" w:lineRule="auto"/>
        <w:jc w:val="center"/>
        <w:outlineLvl w:val="0"/>
        <w:rPr>
          <w:rFonts w:hint="default" w:ascii="Times New Roman Regular" w:hAnsi="Times New Roman Regular" w:eastAsia="宋体" w:cs="Times New Roman Regular"/>
          <w:b/>
          <w:color w:val="000000" w:themeColor="text1"/>
          <w:highlight w:val="none"/>
          <w14:textFill>
            <w14:solidFill>
              <w14:schemeClr w14:val="tx1"/>
            </w14:solidFill>
          </w14:textFill>
        </w:rPr>
      </w:pPr>
      <w:bookmarkStart w:id="127" w:name="_Toc358899011"/>
      <w:r>
        <w:rPr>
          <w:rFonts w:hint="default" w:ascii="Times New Roman Regular" w:hAnsi="Times New Roman Regular" w:eastAsia="宋体" w:cs="Times New Roman Regular"/>
          <w:b/>
          <w:color w:val="000000" w:themeColor="text1"/>
          <w:highlight w:val="none"/>
          <w14:textFill>
            <w14:solidFill>
              <w14:schemeClr w14:val="tx1"/>
            </w14:solidFill>
          </w14:textFill>
        </w:rPr>
        <w:t xml:space="preserve">7-2  </w:t>
      </w:r>
      <w:r>
        <w:rPr>
          <w:rFonts w:hint="default" w:ascii="Times New Roman Regular" w:hAnsi="Times New Roman Regular" w:eastAsia="宋体" w:cs="Times New Roman Regular"/>
          <w:b/>
          <w:color w:val="000000" w:themeColor="text1"/>
          <w:kern w:val="0"/>
          <w:szCs w:val="21"/>
          <w:highlight w:val="none"/>
          <w14:textFill>
            <w14:solidFill>
              <w14:schemeClr w14:val="tx1"/>
            </w14:solidFill>
          </w14:textFill>
        </w:rPr>
        <w:t>投标人</w:t>
      </w:r>
      <w:r>
        <w:rPr>
          <w:rFonts w:hint="default" w:ascii="Times New Roman Regular" w:hAnsi="Times New Roman Regular" w:eastAsia="宋体" w:cs="Times New Roman Regular"/>
          <w:b/>
          <w:color w:val="000000" w:themeColor="text1"/>
          <w:highlight w:val="none"/>
          <w14:textFill>
            <w14:solidFill>
              <w14:schemeClr w14:val="tx1"/>
            </w14:solidFill>
          </w14:textFill>
        </w:rPr>
        <w:t>的资格声明</w:t>
      </w:r>
      <w:bookmarkEnd w:id="127"/>
    </w:p>
    <w:p w14:paraId="018FDE2E">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1、名称及概况：</w:t>
      </w:r>
    </w:p>
    <w:p w14:paraId="074B4D07">
      <w:pPr>
        <w:numPr>
          <w:ilvl w:val="0"/>
          <w:numId w:val="13"/>
        </w:numPr>
        <w:spacing w:line="360" w:lineRule="auto"/>
        <w:rPr>
          <w:rFonts w:hint="default" w:ascii="Times New Roman Regular" w:hAnsi="Times New Roman Regular" w:eastAsia="宋体" w:cs="Times New Roman Regular"/>
          <w:color w:val="000000" w:themeColor="text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投标人名称：</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6ED6AF80">
      <w:pPr>
        <w:numPr>
          <w:ilvl w:val="0"/>
          <w:numId w:val="13"/>
        </w:num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总部地址：</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3D17C26A">
      <w:pPr>
        <w:spacing w:line="360" w:lineRule="auto"/>
        <w:ind w:left="425"/>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ab/>
      </w:r>
      <w:r>
        <w:rPr>
          <w:rFonts w:hint="default" w:ascii="Times New Roman Regular" w:hAnsi="Times New Roman Regular" w:eastAsia="宋体" w:cs="Times New Roman Regular"/>
          <w:color w:val="000000" w:themeColor="text1"/>
          <w:highlight w:val="none"/>
          <w14:textFill>
            <w14:solidFill>
              <w14:schemeClr w14:val="tx1"/>
            </w14:solidFill>
          </w14:textFill>
        </w:rPr>
        <w:t xml:space="preserve"> 电传/传真/电话号码：</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538A36F2">
      <w:pPr>
        <w:numPr>
          <w:ilvl w:val="0"/>
          <w:numId w:val="13"/>
        </w:numPr>
        <w:spacing w:line="360" w:lineRule="auto"/>
        <w:rPr>
          <w:rFonts w:hint="default" w:ascii="Times New Roman Regular" w:hAnsi="Times New Roman Regular" w:eastAsia="宋体" w:cs="Times New Roman Regular"/>
          <w:color w:val="000000" w:themeColor="text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成立和/或注册日期：</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786AC4F7">
      <w:pPr>
        <w:numPr>
          <w:ilvl w:val="0"/>
          <w:numId w:val="13"/>
        </w:num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实收资本：</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33133CE1">
      <w:pPr>
        <w:numPr>
          <w:ilvl w:val="0"/>
          <w:numId w:val="13"/>
        </w:num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近期资产负债表（到</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highlight w:val="none"/>
          <w14:textFill>
            <w14:solidFill>
              <w14:schemeClr w14:val="tx1"/>
            </w14:solidFill>
          </w14:textFill>
        </w:rPr>
        <w:t>年</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highlight w:val="none"/>
          <w14:textFill>
            <w14:solidFill>
              <w14:schemeClr w14:val="tx1"/>
            </w14:solidFill>
          </w14:textFill>
        </w:rPr>
        <w:t>月</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highlight w:val="none"/>
          <w14:textFill>
            <w14:solidFill>
              <w14:schemeClr w14:val="tx1"/>
            </w14:solidFill>
          </w14:textFill>
        </w:rPr>
        <w:t>日止）</w:t>
      </w:r>
    </w:p>
    <w:p w14:paraId="0413550A">
      <w:pPr>
        <w:spacing w:line="360" w:lineRule="auto"/>
        <w:ind w:firstLine="420" w:firstLineChars="20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ab/>
      </w:r>
      <w:r>
        <w:rPr>
          <w:rFonts w:hint="default" w:ascii="Times New Roman Regular" w:hAnsi="Times New Roman Regular" w:eastAsia="宋体" w:cs="Times New Roman Regular"/>
          <w:color w:val="000000" w:themeColor="text1"/>
          <w:highlight w:val="none"/>
          <w14:textFill>
            <w14:solidFill>
              <w14:schemeClr w14:val="tx1"/>
            </w14:solidFill>
          </w14:textFill>
        </w:rPr>
        <w:tab/>
      </w:r>
      <w:r>
        <w:rPr>
          <w:rFonts w:hint="default" w:ascii="Times New Roman Regular" w:hAnsi="Times New Roman Regular" w:eastAsia="宋体" w:cs="Times New Roman Regular"/>
          <w:color w:val="000000" w:themeColor="text1"/>
          <w:highlight w:val="none"/>
          <w14:textFill>
            <w14:solidFill>
              <w14:schemeClr w14:val="tx1"/>
            </w14:solidFill>
          </w14:textFill>
        </w:rPr>
        <w:t>1）固定资产：</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74B2172D">
      <w:pPr>
        <w:spacing w:line="360" w:lineRule="auto"/>
        <w:ind w:firstLine="420" w:firstLineChars="20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ab/>
      </w:r>
      <w:r>
        <w:rPr>
          <w:rFonts w:hint="default" w:ascii="Times New Roman Regular" w:hAnsi="Times New Roman Regular" w:eastAsia="宋体" w:cs="Times New Roman Regular"/>
          <w:color w:val="000000" w:themeColor="text1"/>
          <w:highlight w:val="none"/>
          <w14:textFill>
            <w14:solidFill>
              <w14:schemeClr w14:val="tx1"/>
            </w14:solidFill>
          </w14:textFill>
        </w:rPr>
        <w:tab/>
      </w:r>
      <w:r>
        <w:rPr>
          <w:rFonts w:hint="default" w:ascii="Times New Roman Regular" w:hAnsi="Times New Roman Regular" w:eastAsia="宋体" w:cs="Times New Roman Regular"/>
          <w:color w:val="000000" w:themeColor="text1"/>
          <w:highlight w:val="none"/>
          <w14:textFill>
            <w14:solidFill>
              <w14:schemeClr w14:val="tx1"/>
            </w14:solidFill>
          </w14:textFill>
        </w:rPr>
        <w:t>2）流动资产：</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6F30228A">
      <w:pPr>
        <w:spacing w:line="360" w:lineRule="auto"/>
        <w:ind w:firstLine="420" w:firstLineChars="20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ab/>
      </w:r>
      <w:r>
        <w:rPr>
          <w:rFonts w:hint="default" w:ascii="Times New Roman Regular" w:hAnsi="Times New Roman Regular" w:eastAsia="宋体" w:cs="Times New Roman Regular"/>
          <w:color w:val="000000" w:themeColor="text1"/>
          <w:highlight w:val="none"/>
          <w14:textFill>
            <w14:solidFill>
              <w14:schemeClr w14:val="tx1"/>
            </w14:solidFill>
          </w14:textFill>
        </w:rPr>
        <w:tab/>
      </w:r>
      <w:r>
        <w:rPr>
          <w:rFonts w:hint="default" w:ascii="Times New Roman Regular" w:hAnsi="Times New Roman Regular" w:eastAsia="宋体" w:cs="Times New Roman Regular"/>
          <w:color w:val="000000" w:themeColor="text1"/>
          <w:highlight w:val="none"/>
          <w14:textFill>
            <w14:solidFill>
              <w14:schemeClr w14:val="tx1"/>
            </w14:solidFill>
          </w14:textFill>
        </w:rPr>
        <w:t>3）长期负债：</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24A9F874">
      <w:pPr>
        <w:spacing w:line="360" w:lineRule="auto"/>
        <w:ind w:firstLine="420" w:firstLineChars="20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ab/>
      </w:r>
      <w:r>
        <w:rPr>
          <w:rFonts w:hint="default" w:ascii="Times New Roman Regular" w:hAnsi="Times New Roman Regular" w:eastAsia="宋体" w:cs="Times New Roman Regular"/>
          <w:color w:val="000000" w:themeColor="text1"/>
          <w:highlight w:val="none"/>
          <w14:textFill>
            <w14:solidFill>
              <w14:schemeClr w14:val="tx1"/>
            </w14:solidFill>
          </w14:textFill>
        </w:rPr>
        <w:tab/>
      </w:r>
      <w:r>
        <w:rPr>
          <w:rFonts w:hint="default" w:ascii="Times New Roman Regular" w:hAnsi="Times New Roman Regular" w:eastAsia="宋体" w:cs="Times New Roman Regular"/>
          <w:color w:val="000000" w:themeColor="text1"/>
          <w:highlight w:val="none"/>
          <w14:textFill>
            <w14:solidFill>
              <w14:schemeClr w14:val="tx1"/>
            </w14:solidFill>
          </w14:textFill>
        </w:rPr>
        <w:t>4）流动负债：</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27AD3868">
      <w:pPr>
        <w:spacing w:line="360" w:lineRule="auto"/>
        <w:ind w:firstLine="420" w:firstLineChars="20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ab/>
      </w:r>
      <w:r>
        <w:rPr>
          <w:rFonts w:hint="default" w:ascii="Times New Roman Regular" w:hAnsi="Times New Roman Regular" w:eastAsia="宋体" w:cs="Times New Roman Regular"/>
          <w:color w:val="000000" w:themeColor="text1"/>
          <w:highlight w:val="none"/>
          <w14:textFill>
            <w14:solidFill>
              <w14:schemeClr w14:val="tx1"/>
            </w14:solidFill>
          </w14:textFill>
        </w:rPr>
        <w:tab/>
      </w:r>
      <w:r>
        <w:rPr>
          <w:rFonts w:hint="default" w:ascii="Times New Roman Regular" w:hAnsi="Times New Roman Regular" w:eastAsia="宋体" w:cs="Times New Roman Regular"/>
          <w:color w:val="000000" w:themeColor="text1"/>
          <w:highlight w:val="none"/>
          <w14:textFill>
            <w14:solidFill>
              <w14:schemeClr w14:val="tx1"/>
            </w14:solidFill>
          </w14:textFill>
        </w:rPr>
        <w:t>5）净值：</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3B59C573">
      <w:pPr>
        <w:numPr>
          <w:ilvl w:val="0"/>
          <w:numId w:val="13"/>
        </w:numPr>
        <w:spacing w:line="360" w:lineRule="auto"/>
        <w:rPr>
          <w:rFonts w:hint="default" w:ascii="Times New Roman Regular" w:hAnsi="Times New Roman Regular" w:eastAsia="宋体" w:cs="Times New Roman Regular"/>
          <w:color w:val="000000" w:themeColor="text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主要负责人名称：（可选填）</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7DF8942E">
      <w:pPr>
        <w:numPr>
          <w:ilvl w:val="0"/>
          <w:numId w:val="13"/>
        </w:num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投标人简介（包括但不限于业务范围、注册/实收资金、所有权状况、组织机构及职能、人员构成、公司的场地环境和软硬件设施等）：</w:t>
      </w:r>
    </w:p>
    <w:p w14:paraId="4459ACE2">
      <w:pPr>
        <w:spacing w:line="360" w:lineRule="auto"/>
        <w:ind w:left="907"/>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3F4A43D3">
      <w:pPr>
        <w:numPr>
          <w:ilvl w:val="0"/>
          <w:numId w:val="13"/>
        </w:num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投标人在中国大陆的分支机构信息</w:t>
      </w:r>
    </w:p>
    <w:tbl>
      <w:tblPr>
        <w:tblStyle w:val="25"/>
        <w:tblW w:w="87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
        <w:gridCol w:w="1248"/>
        <w:gridCol w:w="1162"/>
        <w:gridCol w:w="2859"/>
        <w:gridCol w:w="1088"/>
        <w:gridCol w:w="1958"/>
      </w:tblGrid>
      <w:tr w14:paraId="2B890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8" w:type="dxa"/>
            <w:vAlign w:val="center"/>
          </w:tcPr>
          <w:p w14:paraId="1F18DACF">
            <w:pPr>
              <w:tabs>
                <w:tab w:val="left" w:pos="930"/>
                <w:tab w:val="left" w:pos="8364"/>
              </w:tabs>
              <w:spacing w:line="360" w:lineRule="auto"/>
              <w:ind w:right="-58"/>
              <w:jc w:val="center"/>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t>序号</w:t>
            </w:r>
          </w:p>
        </w:tc>
        <w:tc>
          <w:tcPr>
            <w:tcW w:w="1248" w:type="dxa"/>
            <w:vAlign w:val="center"/>
          </w:tcPr>
          <w:p w14:paraId="178EF2EB">
            <w:pPr>
              <w:tabs>
                <w:tab w:val="left" w:pos="930"/>
                <w:tab w:val="left" w:pos="8364"/>
              </w:tabs>
              <w:spacing w:line="360" w:lineRule="auto"/>
              <w:ind w:right="-58"/>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t>地区</w:t>
            </w:r>
          </w:p>
        </w:tc>
        <w:tc>
          <w:tcPr>
            <w:tcW w:w="1162" w:type="dxa"/>
            <w:vAlign w:val="center"/>
          </w:tcPr>
          <w:p w14:paraId="6209F24B">
            <w:pPr>
              <w:tabs>
                <w:tab w:val="left" w:pos="930"/>
                <w:tab w:val="left" w:pos="8364"/>
              </w:tabs>
              <w:spacing w:line="360" w:lineRule="auto"/>
              <w:ind w:right="-58"/>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t>分公司/办事处</w:t>
            </w:r>
          </w:p>
        </w:tc>
        <w:tc>
          <w:tcPr>
            <w:tcW w:w="2859" w:type="dxa"/>
            <w:vAlign w:val="center"/>
          </w:tcPr>
          <w:p w14:paraId="32A107AE">
            <w:pPr>
              <w:tabs>
                <w:tab w:val="left" w:pos="930"/>
                <w:tab w:val="left" w:pos="8364"/>
              </w:tabs>
              <w:spacing w:line="360" w:lineRule="auto"/>
              <w:ind w:right="-58"/>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t>地址/联系电话</w:t>
            </w:r>
          </w:p>
        </w:tc>
        <w:tc>
          <w:tcPr>
            <w:tcW w:w="1088" w:type="dxa"/>
            <w:vAlign w:val="center"/>
          </w:tcPr>
          <w:p w14:paraId="66B06F48">
            <w:pPr>
              <w:tabs>
                <w:tab w:val="left" w:pos="930"/>
                <w:tab w:val="left" w:pos="8364"/>
              </w:tabs>
              <w:spacing w:line="360" w:lineRule="auto"/>
              <w:ind w:right="-58"/>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t>负责人</w:t>
            </w:r>
          </w:p>
        </w:tc>
        <w:tc>
          <w:tcPr>
            <w:tcW w:w="1958" w:type="dxa"/>
            <w:vAlign w:val="center"/>
          </w:tcPr>
          <w:p w14:paraId="19AA0B87">
            <w:pPr>
              <w:tabs>
                <w:tab w:val="left" w:pos="930"/>
                <w:tab w:val="left" w:pos="8364"/>
              </w:tabs>
              <w:spacing w:line="360" w:lineRule="auto"/>
              <w:ind w:right="-58"/>
              <w:jc w:val="center"/>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t>技术人员数量</w:t>
            </w:r>
          </w:p>
        </w:tc>
      </w:tr>
      <w:tr w14:paraId="4D6B3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8" w:type="dxa"/>
          </w:tcPr>
          <w:p w14:paraId="42401421">
            <w:pPr>
              <w:tabs>
                <w:tab w:val="left" w:pos="930"/>
                <w:tab w:val="left" w:pos="8364"/>
              </w:tabs>
              <w:spacing w:line="360" w:lineRule="auto"/>
              <w:ind w:right="-58"/>
              <w:jc w:val="center"/>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pPr>
          </w:p>
        </w:tc>
        <w:tc>
          <w:tcPr>
            <w:tcW w:w="1248" w:type="dxa"/>
          </w:tcPr>
          <w:p w14:paraId="2F511E24">
            <w:pPr>
              <w:tabs>
                <w:tab w:val="left" w:pos="930"/>
                <w:tab w:val="left" w:pos="8364"/>
              </w:tabs>
              <w:spacing w:line="360" w:lineRule="auto"/>
              <w:ind w:right="-58"/>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pPr>
          </w:p>
        </w:tc>
        <w:tc>
          <w:tcPr>
            <w:tcW w:w="1162" w:type="dxa"/>
          </w:tcPr>
          <w:p w14:paraId="55FE10FC">
            <w:pPr>
              <w:tabs>
                <w:tab w:val="left" w:pos="930"/>
                <w:tab w:val="left" w:pos="8364"/>
              </w:tabs>
              <w:spacing w:line="360" w:lineRule="auto"/>
              <w:ind w:right="-58"/>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pPr>
          </w:p>
        </w:tc>
        <w:tc>
          <w:tcPr>
            <w:tcW w:w="2859" w:type="dxa"/>
          </w:tcPr>
          <w:p w14:paraId="0EDE7F72">
            <w:pPr>
              <w:tabs>
                <w:tab w:val="left" w:pos="930"/>
                <w:tab w:val="left" w:pos="8364"/>
              </w:tabs>
              <w:spacing w:line="360" w:lineRule="auto"/>
              <w:ind w:right="-58"/>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pPr>
          </w:p>
        </w:tc>
        <w:tc>
          <w:tcPr>
            <w:tcW w:w="1088" w:type="dxa"/>
          </w:tcPr>
          <w:p w14:paraId="08CC0179">
            <w:pPr>
              <w:tabs>
                <w:tab w:val="left" w:pos="930"/>
                <w:tab w:val="left" w:pos="8364"/>
              </w:tabs>
              <w:spacing w:line="360" w:lineRule="auto"/>
              <w:ind w:right="-58"/>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pPr>
          </w:p>
        </w:tc>
        <w:tc>
          <w:tcPr>
            <w:tcW w:w="1958" w:type="dxa"/>
          </w:tcPr>
          <w:p w14:paraId="15613642">
            <w:pPr>
              <w:tabs>
                <w:tab w:val="left" w:pos="930"/>
                <w:tab w:val="left" w:pos="8364"/>
              </w:tabs>
              <w:spacing w:line="360" w:lineRule="auto"/>
              <w:ind w:right="-58"/>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pPr>
          </w:p>
        </w:tc>
      </w:tr>
      <w:tr w14:paraId="251B3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8" w:type="dxa"/>
          </w:tcPr>
          <w:p w14:paraId="25393174">
            <w:pPr>
              <w:tabs>
                <w:tab w:val="left" w:pos="930"/>
                <w:tab w:val="left" w:pos="8364"/>
              </w:tabs>
              <w:spacing w:line="360" w:lineRule="auto"/>
              <w:ind w:right="-58"/>
              <w:jc w:val="center"/>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pPr>
          </w:p>
        </w:tc>
        <w:tc>
          <w:tcPr>
            <w:tcW w:w="1248" w:type="dxa"/>
          </w:tcPr>
          <w:p w14:paraId="1E2AEA1D">
            <w:pPr>
              <w:tabs>
                <w:tab w:val="left" w:pos="930"/>
                <w:tab w:val="left" w:pos="8364"/>
              </w:tabs>
              <w:spacing w:line="360" w:lineRule="auto"/>
              <w:ind w:right="-58"/>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pPr>
          </w:p>
        </w:tc>
        <w:tc>
          <w:tcPr>
            <w:tcW w:w="1162" w:type="dxa"/>
          </w:tcPr>
          <w:p w14:paraId="6F640C23">
            <w:pPr>
              <w:tabs>
                <w:tab w:val="left" w:pos="930"/>
                <w:tab w:val="left" w:pos="8364"/>
              </w:tabs>
              <w:spacing w:line="360" w:lineRule="auto"/>
              <w:ind w:right="-58"/>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pPr>
          </w:p>
        </w:tc>
        <w:tc>
          <w:tcPr>
            <w:tcW w:w="2859" w:type="dxa"/>
          </w:tcPr>
          <w:p w14:paraId="6C327DFE">
            <w:pPr>
              <w:tabs>
                <w:tab w:val="left" w:pos="930"/>
                <w:tab w:val="left" w:pos="8364"/>
              </w:tabs>
              <w:spacing w:line="360" w:lineRule="auto"/>
              <w:ind w:right="-58"/>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pPr>
          </w:p>
        </w:tc>
        <w:tc>
          <w:tcPr>
            <w:tcW w:w="1088" w:type="dxa"/>
          </w:tcPr>
          <w:p w14:paraId="68186D09">
            <w:pPr>
              <w:tabs>
                <w:tab w:val="left" w:pos="930"/>
                <w:tab w:val="left" w:pos="8364"/>
              </w:tabs>
              <w:spacing w:line="360" w:lineRule="auto"/>
              <w:ind w:right="-58"/>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pPr>
          </w:p>
        </w:tc>
        <w:tc>
          <w:tcPr>
            <w:tcW w:w="1958" w:type="dxa"/>
          </w:tcPr>
          <w:p w14:paraId="0C1BE48A">
            <w:pPr>
              <w:tabs>
                <w:tab w:val="left" w:pos="930"/>
                <w:tab w:val="left" w:pos="8364"/>
              </w:tabs>
              <w:spacing w:line="360" w:lineRule="auto"/>
              <w:ind w:right="-58"/>
              <w:rPr>
                <w:rFonts w:hint="default" w:ascii="Times New Roman Regular" w:hAnsi="Times New Roman Regular" w:eastAsia="宋体" w:cs="Times New Roman Regular"/>
                <w:color w:val="000000" w:themeColor="text1"/>
                <w:spacing w:val="20"/>
                <w:szCs w:val="21"/>
                <w:highlight w:val="none"/>
                <w14:textFill>
                  <w14:solidFill>
                    <w14:schemeClr w14:val="tx1"/>
                  </w14:solidFill>
                </w14:textFill>
              </w:rPr>
            </w:pPr>
          </w:p>
        </w:tc>
      </w:tr>
    </w:tbl>
    <w:p w14:paraId="7C8829F6">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2、有关开户银行的名称和地址：</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0EBEBAEE">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3、投标人所属的集团公司，如有的话：</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46160584">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4、其他情况：</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55DE769D">
      <w:pPr>
        <w:spacing w:line="360" w:lineRule="auto"/>
        <w:ind w:firstLine="420" w:firstLineChars="200"/>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兹证明上述声明是真实、正确的，并提供了全部能提供的资料和数据，我们同意遵照贵方要求出示有关证明文件。</w:t>
      </w:r>
    </w:p>
    <w:p w14:paraId="527940D2">
      <w:pPr>
        <w:spacing w:line="360" w:lineRule="auto"/>
        <w:rPr>
          <w:rFonts w:hint="default" w:ascii="Times New Roman Regular" w:hAnsi="Times New Roman Regular" w:eastAsia="宋体" w:cs="Times New Roman Regular"/>
          <w:color w:val="000000" w:themeColor="text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投标人名称（公章）：</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10B8A5B0">
      <w:pPr>
        <w:widowControl/>
        <w:spacing w:line="360" w:lineRule="auto"/>
        <w:jc w:val="left"/>
        <w:rPr>
          <w:rFonts w:hint="default" w:ascii="Times New Roman Regular" w:hAnsi="Times New Roman Regular" w:eastAsia="宋体" w:cs="Times New Roman Regular"/>
          <w:b/>
          <w:color w:val="000000" w:themeColor="text1"/>
          <w:kern w:val="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授权代理人（签字）：</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r>
        <w:rPr>
          <w:rFonts w:hint="default" w:ascii="Times New Roman Regular" w:hAnsi="Times New Roman Regular" w:eastAsia="宋体" w:cs="Times New Roman Regular"/>
          <w:b/>
          <w:color w:val="000000" w:themeColor="text1"/>
          <w:kern w:val="0"/>
          <w:szCs w:val="21"/>
          <w:highlight w:val="none"/>
          <w14:textFill>
            <w14:solidFill>
              <w14:schemeClr w14:val="tx1"/>
            </w14:solidFill>
          </w14:textFill>
        </w:rPr>
        <w:br w:type="page"/>
      </w:r>
    </w:p>
    <w:bookmarkEnd w:id="125"/>
    <w:bookmarkEnd w:id="126"/>
    <w:p w14:paraId="16B90BE9">
      <w:pPr>
        <w:spacing w:line="360" w:lineRule="auto"/>
        <w:jc w:val="center"/>
        <w:outlineLvl w:val="0"/>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bookmarkStart w:id="128" w:name="_Toc1881597101"/>
      <w:bookmarkStart w:id="129" w:name="_Toc6996311"/>
      <w:bookmarkStart w:id="130" w:name="_Toc3902769"/>
      <w:bookmarkStart w:id="131" w:name="_Toc459285630"/>
      <w:bookmarkStart w:id="132" w:name="_Toc6742"/>
      <w:bookmarkStart w:id="133" w:name="_Toc137566508"/>
      <w:bookmarkStart w:id="134" w:name="_Toc23086"/>
      <w:r>
        <w:rPr>
          <w:rFonts w:hint="default" w:ascii="Times New Roman Regular" w:hAnsi="Times New Roman Regular" w:eastAsia="宋体" w:cs="Times New Roman Regular"/>
          <w:b/>
          <w:color w:val="000000" w:themeColor="text1"/>
          <w:highlight w:val="none"/>
          <w14:textFill>
            <w14:solidFill>
              <w14:schemeClr w14:val="tx1"/>
            </w14:solidFill>
          </w14:textFill>
        </w:rPr>
        <w:t xml:space="preserve">7-3  </w:t>
      </w:r>
      <w:r>
        <w:rPr>
          <w:rFonts w:hint="default" w:ascii="Times New Roman Regular" w:hAnsi="Times New Roman Regular" w:eastAsia="宋体" w:cs="Times New Roman Regular"/>
          <w:b/>
          <w:color w:val="000000" w:themeColor="text1"/>
          <w:kern w:val="0"/>
          <w:szCs w:val="21"/>
          <w:highlight w:val="none"/>
          <w14:textFill>
            <w14:solidFill>
              <w14:schemeClr w14:val="tx1"/>
            </w14:solidFill>
          </w14:textFill>
        </w:rPr>
        <w:t>营业执照</w:t>
      </w:r>
      <w:r>
        <w:rPr>
          <w:rFonts w:hint="default" w:ascii="Times New Roman Regular" w:hAnsi="Times New Roman Regular" w:eastAsia="宋体" w:cs="Times New Roman Regular"/>
          <w:b/>
          <w:color w:val="000000" w:themeColor="text1"/>
          <w:highlight w:val="none"/>
          <w14:textFill>
            <w14:solidFill>
              <w14:schemeClr w14:val="tx1"/>
            </w14:solidFill>
          </w14:textFill>
        </w:rPr>
        <w:t>等</w:t>
      </w:r>
      <w:bookmarkEnd w:id="128"/>
    </w:p>
    <w:p w14:paraId="540A9B3F">
      <w:pPr>
        <w:widowControl/>
        <w:spacing w:line="360" w:lineRule="auto"/>
        <w:jc w:val="left"/>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p>
    <w:p w14:paraId="35F2A32B">
      <w:pPr>
        <w:spacing w:line="360" w:lineRule="auto"/>
        <w:rPr>
          <w:rFonts w:hint="default" w:ascii="Times New Roman Regular" w:hAnsi="Times New Roman Regular" w:eastAsia="宋体" w:cs="Times New Roman Regular"/>
          <w:b/>
          <w:color w:val="000000" w:themeColor="text1"/>
          <w:highlight w:val="none"/>
          <w14:textFill>
            <w14:solidFill>
              <w14:schemeClr w14:val="tx1"/>
            </w14:solidFill>
          </w14:textFill>
        </w:rPr>
        <w:sectPr>
          <w:headerReference r:id="rId10" w:type="default"/>
          <w:footerReference r:id="rId11" w:type="default"/>
          <w:pgSz w:w="11905" w:h="16838"/>
          <w:pgMar w:top="1440" w:right="1417" w:bottom="1440" w:left="1417" w:header="850" w:footer="992" w:gutter="0"/>
          <w:pgNumType w:fmt="decimal"/>
          <w:cols w:space="720" w:num="1"/>
          <w:docGrid w:type="lines" w:linePitch="317" w:charSpace="0"/>
        </w:sect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须提供法人或者其他组织的营业执照等证明文件，自然人的身份证明</w:t>
      </w:r>
    </w:p>
    <w:p w14:paraId="386A75F3">
      <w:pPr>
        <w:spacing w:line="360" w:lineRule="auto"/>
        <w:jc w:val="center"/>
        <w:outlineLvl w:val="0"/>
        <w:rPr>
          <w:rFonts w:hint="default" w:ascii="Times New Roman Regular" w:hAnsi="Times New Roman Regular" w:eastAsia="宋体" w:cs="Times New Roman Regular"/>
          <w:color w:val="000000" w:themeColor="text1"/>
          <w:highlight w:val="none"/>
          <w14:textFill>
            <w14:solidFill>
              <w14:schemeClr w14:val="tx1"/>
            </w14:solidFill>
          </w14:textFill>
        </w:rPr>
      </w:pPr>
      <w:bookmarkStart w:id="135" w:name="_Toc158290785"/>
      <w:r>
        <w:rPr>
          <w:rFonts w:hint="default" w:ascii="Times New Roman Regular" w:hAnsi="Times New Roman Regular" w:eastAsia="宋体" w:cs="Times New Roman Regular"/>
          <w:b/>
          <w:color w:val="000000" w:themeColor="text1"/>
          <w:highlight w:val="none"/>
          <w14:textFill>
            <w14:solidFill>
              <w14:schemeClr w14:val="tx1"/>
            </w14:solidFill>
          </w14:textFill>
        </w:rPr>
        <w:t>7-4  承诺书</w:t>
      </w:r>
      <w:bookmarkEnd w:id="135"/>
    </w:p>
    <w:p w14:paraId="673BB022">
      <w:pPr>
        <w:spacing w:line="360" w:lineRule="auto"/>
        <w:ind w:firstLine="420" w:firstLineChars="200"/>
        <w:rPr>
          <w:rFonts w:hint="default" w:ascii="Times New Roman Regular" w:hAnsi="Times New Roman Regular" w:eastAsia="宋体" w:cs="Times New Roman Regular"/>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Cs/>
          <w:color w:val="000000" w:themeColor="text1"/>
          <w:szCs w:val="21"/>
          <w:highlight w:val="none"/>
          <w14:textFill>
            <w14:solidFill>
              <w14:schemeClr w14:val="tx1"/>
            </w14:solidFill>
          </w14:textFill>
        </w:rPr>
        <w:t>我方为参与</w:t>
      </w:r>
      <w:r>
        <w:rPr>
          <w:rFonts w:hint="eastAsia" w:ascii="Times New Roman Regular" w:hAnsi="Times New Roman Regular" w:cs="Times New Roman Regular"/>
          <w:bCs/>
          <w:color w:val="000000" w:themeColor="text1"/>
          <w:szCs w:val="21"/>
          <w:highlight w:val="none"/>
          <w:lang w:eastAsia="zh-CN"/>
          <w14:textFill>
            <w14:solidFill>
              <w14:schemeClr w14:val="tx1"/>
            </w14:solidFill>
          </w14:textFill>
        </w:rPr>
        <w:t>成方金科上海分公司数据平台系统实时监测技术服务采购项目</w:t>
      </w:r>
      <w:r>
        <w:rPr>
          <w:rFonts w:hint="default" w:ascii="Times New Roman Regular" w:hAnsi="Times New Roman Regular" w:eastAsia="宋体" w:cs="Times New Roman Regular"/>
          <w:bCs/>
          <w:color w:val="000000" w:themeColor="text1"/>
          <w:szCs w:val="21"/>
          <w:highlight w:val="none"/>
          <w14:textFill>
            <w14:solidFill>
              <w14:schemeClr w14:val="tx1"/>
            </w14:solidFill>
          </w14:textFill>
        </w:rPr>
        <w:t>国内公开招标采购的投标人。</w:t>
      </w:r>
    </w:p>
    <w:p w14:paraId="29D7E059">
      <w:pPr>
        <w:numPr>
          <w:ilvl w:val="0"/>
          <w:numId w:val="14"/>
        </w:numPr>
        <w:spacing w:line="360" w:lineRule="auto"/>
        <w:ind w:firstLine="422" w:firstLineChars="200"/>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我方在此郑重承诺：</w:t>
      </w:r>
    </w:p>
    <w:p w14:paraId="2D0E55D0">
      <w:pPr>
        <w:numPr>
          <w:ilvl w:val="0"/>
          <w:numId w:val="0"/>
        </w:numPr>
        <w:spacing w:line="360" w:lineRule="auto"/>
        <w:ind w:firstLine="420"/>
        <w:rPr>
          <w:rFonts w:hint="eastAsia" w:ascii="Times New Roman Regular" w:hAnsi="Times New Roman Regular" w:cs="Times New Roman Regular"/>
          <w:b/>
          <w:bCs/>
          <w:color w:val="000000" w:themeColor="text1"/>
          <w:szCs w:val="21"/>
          <w:highlight w:val="none"/>
          <w:lang w:val="en-US" w:eastAsia="zh-CN"/>
          <w14:textFill>
            <w14:solidFill>
              <w14:schemeClr w14:val="tx1"/>
            </w14:solidFill>
          </w14:textFill>
        </w:rPr>
      </w:pPr>
      <w:r>
        <w:rPr>
          <w:rFonts w:hint="eastAsia"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（一）</w:t>
      </w: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我司</w:t>
      </w:r>
      <w:r>
        <w:rPr>
          <w:rFonts w:hint="eastAsia" w:ascii="Times New Roman Regular" w:hAnsi="Times New Roman Regular" w:cs="Times New Roman Regular"/>
          <w:b/>
          <w:bCs/>
          <w:color w:val="000000" w:themeColor="text1"/>
          <w:szCs w:val="21"/>
          <w:highlight w:val="none"/>
          <w:lang w:val="en-US" w:eastAsia="zh-CN"/>
          <w14:textFill>
            <w14:solidFill>
              <w14:schemeClr w14:val="tx1"/>
            </w14:solidFill>
          </w14:textFill>
        </w:rPr>
        <w:t>具有良好的商业信誉和健全的财务会计制度。</w:t>
      </w:r>
    </w:p>
    <w:p w14:paraId="4063E4B2">
      <w:pPr>
        <w:numPr>
          <w:ilvl w:val="0"/>
          <w:numId w:val="0"/>
        </w:numPr>
        <w:spacing w:line="360" w:lineRule="auto"/>
        <w:ind w:firstLine="420"/>
        <w:rPr>
          <w:rFonts w:hint="eastAsia" w:ascii="Times New Roman Regular" w:hAnsi="Times New Roman Regular" w:cs="Times New Roman Regular"/>
          <w:b/>
          <w:bCs/>
          <w:color w:val="000000" w:themeColor="text1"/>
          <w:szCs w:val="21"/>
          <w:highlight w:val="none"/>
          <w:lang w:val="en-US" w:eastAsia="zh-CN"/>
          <w14:textFill>
            <w14:solidFill>
              <w14:schemeClr w14:val="tx1"/>
            </w14:solidFill>
          </w14:textFill>
        </w:rPr>
      </w:pPr>
      <w:r>
        <w:rPr>
          <w:rFonts w:hint="eastAsia"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（二）</w:t>
      </w: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我司</w:t>
      </w:r>
      <w:r>
        <w:rPr>
          <w:rFonts w:hint="default" w:ascii="Times New Roman Regular" w:hAnsi="Times New Roman Regular" w:cs="Times New Roman Regular"/>
          <w:b/>
          <w:bCs/>
          <w:color w:val="000000" w:themeColor="text1"/>
          <w:szCs w:val="21"/>
          <w:highlight w:val="none"/>
          <w:lang w:val="en-US" w:eastAsia="zh-CN"/>
          <w14:textFill>
            <w14:solidFill>
              <w14:schemeClr w14:val="tx1"/>
            </w14:solidFill>
          </w14:textFill>
        </w:rPr>
        <w:t>具备履行合同所必需的设备和专业技术能力的证明材料</w:t>
      </w:r>
      <w:r>
        <w:rPr>
          <w:rFonts w:hint="eastAsia" w:ascii="Times New Roman Regular" w:hAnsi="Times New Roman Regular" w:cs="Times New Roman Regular"/>
          <w:b/>
          <w:bCs/>
          <w:color w:val="000000" w:themeColor="text1"/>
          <w:szCs w:val="21"/>
          <w:highlight w:val="none"/>
          <w:lang w:val="en-US" w:eastAsia="zh-CN"/>
          <w14:textFill>
            <w14:solidFill>
              <w14:schemeClr w14:val="tx1"/>
            </w14:solidFill>
          </w14:textFill>
        </w:rPr>
        <w:t>。</w:t>
      </w:r>
    </w:p>
    <w:p w14:paraId="65E933AE">
      <w:pPr>
        <w:pStyle w:val="7"/>
        <w:spacing w:line="360" w:lineRule="auto"/>
        <w:rPr>
          <w:rFonts w:hint="default" w:ascii="Times New Roman Regular" w:hAnsi="Times New Roman Regular" w:eastAsia="宋体" w:cs="Times New Roman Regular"/>
          <w:b/>
          <w:bCs/>
          <w:color w:val="000000" w:themeColor="text1"/>
          <w:sz w:val="21"/>
          <w:szCs w:val="21"/>
          <w:highlight w:val="none"/>
          <w14:textFill>
            <w14:solidFill>
              <w14:schemeClr w14:val="tx1"/>
            </w14:solidFill>
          </w14:textFill>
        </w:rPr>
      </w:pPr>
      <w:r>
        <w:rPr>
          <w:rFonts w:hint="eastAsia"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（三）</w:t>
      </w:r>
      <w:r>
        <w:rPr>
          <w:rFonts w:hint="default" w:ascii="Times New Roman Regular" w:hAnsi="Times New Roman Regular" w:eastAsia="宋体" w:cs="Times New Roman Regular"/>
          <w:b/>
          <w:bCs/>
          <w:color w:val="000000" w:themeColor="text1"/>
          <w:sz w:val="21"/>
          <w:szCs w:val="21"/>
          <w:highlight w:val="none"/>
          <w14:textFill>
            <w14:solidFill>
              <w14:schemeClr w14:val="tx1"/>
            </w14:solidFill>
          </w14:textFill>
        </w:rPr>
        <w:t>在本项目响应投标文件递交截止时间前三年内，在经营活动中没有重大违法记录。</w:t>
      </w:r>
    </w:p>
    <w:p w14:paraId="5E10732E">
      <w:pPr>
        <w:numPr>
          <w:ilvl w:val="0"/>
          <w:numId w:val="0"/>
        </w:numPr>
        <w:spacing w:line="360" w:lineRule="auto"/>
        <w:ind w:firstLine="420"/>
        <w:rPr>
          <w:rFonts w:hint="default" w:ascii="Times New Roman Regular" w:hAnsi="Times New Roman Regular" w:cs="Times New Roman Regular"/>
          <w:b/>
          <w:bCs/>
          <w:color w:val="000000" w:themeColor="text1"/>
          <w:szCs w:val="21"/>
          <w:highlight w:val="none"/>
          <w:lang w:val="en-US" w:eastAsia="zh-CN"/>
          <w14:textFill>
            <w14:solidFill>
              <w14:schemeClr w14:val="tx1"/>
            </w14:solidFill>
          </w14:textFill>
        </w:rPr>
      </w:pPr>
      <w:r>
        <w:rPr>
          <w:rFonts w:hint="eastAsia"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（四）</w:t>
      </w: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我司</w:t>
      </w:r>
      <w:r>
        <w:rPr>
          <w:rFonts w:hint="default" w:ascii="Times New Roman Regular" w:hAnsi="Times New Roman Regular" w:cs="Times New Roman Regular"/>
          <w:b/>
          <w:bCs/>
          <w:color w:val="000000" w:themeColor="text1"/>
          <w:szCs w:val="21"/>
          <w:highlight w:val="none"/>
          <w:lang w:val="en-US" w:eastAsia="zh-CN"/>
          <w14:textFill>
            <w14:solidFill>
              <w14:schemeClr w14:val="tx1"/>
            </w14:solidFill>
          </w14:textFill>
        </w:rPr>
        <w:t>具备法律、行政法规规定的其他条件的证明材料。</w:t>
      </w:r>
    </w:p>
    <w:p w14:paraId="32439C3C">
      <w:pPr>
        <w:spacing w:line="360" w:lineRule="auto"/>
        <w:ind w:firstLine="422" w:firstLineChars="200"/>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eastAsia"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（五）</w:t>
      </w:r>
      <w:r>
        <w:rPr>
          <w:rFonts w:hint="default"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我司</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可开具正式增值税专用发票。</w:t>
      </w:r>
    </w:p>
    <w:p w14:paraId="2BA28916">
      <w:pPr>
        <w:spacing w:line="360" w:lineRule="auto"/>
        <w:ind w:firstLine="422" w:firstLineChars="200"/>
        <w:rPr>
          <w:rFonts w:hint="eastAsia" w:ascii="Times New Roman Regular" w:hAnsi="Times New Roman Regular" w:eastAsia="宋体" w:cs="Times New Roman Regular"/>
          <w:b/>
          <w:bCs/>
          <w:color w:val="000000" w:themeColor="text1"/>
          <w:szCs w:val="21"/>
          <w:highlight w:val="none"/>
          <w:lang w:eastAsia="zh-CN"/>
          <w14:textFill>
            <w14:solidFill>
              <w14:schemeClr w14:val="tx1"/>
            </w14:solidFill>
          </w14:textFill>
        </w:rPr>
      </w:pPr>
      <w:r>
        <w:rPr>
          <w:rFonts w:hint="eastAsia"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（六）我司</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在法律和财务上独立、合法运作并独立于招标人和代理机构，不</w:t>
      </w:r>
      <w:r>
        <w:rPr>
          <w:rFonts w:hint="eastAsia"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存在</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直接或间接地与招标人为本项目所委托的其他机构有任何关联。</w:t>
      </w:r>
      <w:r>
        <w:rPr>
          <w:rFonts w:hint="eastAsia"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不存在</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主要股东、投标人高管或主要负责人与招标人有任何关联关系或利害关系</w:t>
      </w:r>
      <w:r>
        <w:rPr>
          <w:rFonts w:hint="eastAsia" w:ascii="Times New Roman Regular" w:hAnsi="Times New Roman Regular" w:eastAsia="宋体" w:cs="Times New Roman Regular"/>
          <w:b/>
          <w:bCs/>
          <w:color w:val="000000" w:themeColor="text1"/>
          <w:szCs w:val="21"/>
          <w:highlight w:val="none"/>
          <w:lang w:eastAsia="zh-CN"/>
          <w14:textFill>
            <w14:solidFill>
              <w14:schemeClr w14:val="tx1"/>
            </w14:solidFill>
          </w14:textFill>
        </w:rPr>
        <w:t>。</w:t>
      </w:r>
    </w:p>
    <w:p w14:paraId="49E66046">
      <w:pPr>
        <w:spacing w:line="360" w:lineRule="auto"/>
        <w:ind w:firstLine="422" w:firstLineChars="200"/>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eastAsia"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（七）</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不存在单位负责人为同一人或者存在控股、管理关系的不同单位，参加同一标段投标或者未划分标段的同一招标项目投标的情况。</w:t>
      </w:r>
    </w:p>
    <w:p w14:paraId="089B2A30">
      <w:pPr>
        <w:spacing w:line="360" w:lineRule="auto"/>
        <w:ind w:firstLine="422" w:firstLineChars="200"/>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eastAsia"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（八）</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招标人在其本国使用我司提供的货物或服务时，不存在任何已知的不合法的情形，也不存在任何已知的与第三方专利权、著作权、商标权或工业设计权相关的任何争议。如果有任何因使用我司提供的货物或服务而提起的侵权指控，我司将依法承担全部责任。</w:t>
      </w:r>
    </w:p>
    <w:p w14:paraId="01877C47">
      <w:pPr>
        <w:spacing w:line="360" w:lineRule="auto"/>
        <w:ind w:firstLine="422" w:firstLineChars="200"/>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eastAsia" w:ascii="Times New Roman Regular" w:hAnsi="Times New Roman Regular" w:eastAsia="宋体" w:cs="Times New Roman Regular"/>
          <w:b/>
          <w:bCs/>
          <w:color w:val="000000" w:themeColor="text1"/>
          <w:szCs w:val="21"/>
          <w:highlight w:val="none"/>
          <w:lang w:val="en-US" w:eastAsia="zh-CN"/>
          <w14:textFill>
            <w14:solidFill>
              <w14:schemeClr w14:val="tx1"/>
            </w14:solidFill>
          </w14:textFill>
        </w:rPr>
        <w:t>（九）</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我方在此郑重承诺：</w:t>
      </w:r>
      <w:r>
        <w:rPr>
          <w:rFonts w:hint="default" w:ascii="Times New Roman Regular" w:hAnsi="Times New Roman Regular" w:eastAsia="宋体" w:cs="Times New Roman Regular"/>
          <w:b/>
          <w:bCs/>
          <w:color w:val="000000" w:themeColor="text1"/>
          <w:kern w:val="0"/>
          <w:szCs w:val="21"/>
          <w:highlight w:val="none"/>
          <w14:textFill>
            <w14:solidFill>
              <w14:schemeClr w14:val="tx1"/>
            </w14:solidFill>
          </w14:textFill>
        </w:rPr>
        <w:t>非联合体投标，未经招标人同意不得</w:t>
      </w: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t>转包、分包本项目。</w:t>
      </w:r>
    </w:p>
    <w:p w14:paraId="60AE0AF8">
      <w:pPr>
        <w:spacing w:line="360" w:lineRule="auto"/>
        <w:ind w:firstLine="420" w:firstLineChars="200"/>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pPr>
    </w:p>
    <w:p w14:paraId="598E9780">
      <w:pPr>
        <w:spacing w:line="360" w:lineRule="auto"/>
        <w:ind w:firstLine="420" w:firstLineChars="200"/>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t>特此声明。</w:t>
      </w:r>
    </w:p>
    <w:p w14:paraId="4E56DD92">
      <w:pPr>
        <w:spacing w:line="360" w:lineRule="auto"/>
        <w:ind w:firstLine="420" w:firstLineChars="200"/>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t>我方对上述声明的真实性负责。如有虚假，将依法承担相应责任。</w:t>
      </w:r>
    </w:p>
    <w:p w14:paraId="757EFC3C">
      <w:pPr>
        <w:spacing w:line="360" w:lineRule="auto"/>
        <w:ind w:firstLine="420" w:firstLineChars="200"/>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t>注：以上内容如有修改，视为未实质性响应本招标项目。</w:t>
      </w:r>
    </w:p>
    <w:p w14:paraId="239F6D9A">
      <w:pPr>
        <w:pStyle w:val="9"/>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363C84B0">
      <w:pPr>
        <w:spacing w:line="360" w:lineRule="auto"/>
        <w:rPr>
          <w:rFonts w:hint="default" w:ascii="Times New Roman Regular" w:hAnsi="Times New Roman Regular" w:eastAsia="宋体" w:cs="Times New Roman Regular"/>
          <w:color w:val="000000" w:themeColor="text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投标人名称（公章）：</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4ABB2250">
      <w:pPr>
        <w:spacing w:line="360" w:lineRule="auto"/>
        <w:rPr>
          <w:rFonts w:hint="default" w:ascii="Times New Roman Regular" w:hAnsi="Times New Roman Regular" w:eastAsia="宋体" w:cs="Times New Roman Regular"/>
          <w:color w:val="000000" w:themeColor="text1"/>
          <w:highlight w:val="none"/>
          <w:u w:val="single"/>
          <w14:textFill>
            <w14:solidFill>
              <w14:schemeClr w14:val="tx1"/>
            </w14:solidFill>
          </w14:textFill>
        </w:rPr>
        <w:sectPr>
          <w:pgSz w:w="11905" w:h="16838"/>
          <w:pgMar w:top="1440" w:right="1417" w:bottom="1440" w:left="1417" w:header="850" w:footer="992" w:gutter="0"/>
          <w:pgNumType w:fmt="decimal"/>
          <w:cols w:space="720" w:num="1"/>
          <w:docGrid w:type="lines" w:linePitch="317" w:charSpace="0"/>
        </w:sectPr>
      </w:pPr>
      <w:r>
        <w:rPr>
          <w:rFonts w:hint="default" w:ascii="Times New Roman Regular" w:hAnsi="Times New Roman Regular" w:eastAsia="宋体" w:cs="Times New Roman Regular"/>
          <w:color w:val="000000" w:themeColor="text1"/>
          <w:highlight w:val="none"/>
          <w14:textFill>
            <w14:solidFill>
              <w14:schemeClr w14:val="tx1"/>
            </w14:solidFill>
          </w14:textFill>
        </w:rPr>
        <w:t>授权代理人（签字）：</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082030C1">
      <w:pPr>
        <w:spacing w:line="360" w:lineRule="auto"/>
        <w:jc w:val="center"/>
        <w:outlineLvl w:val="0"/>
        <w:rPr>
          <w:rFonts w:hint="default" w:ascii="Times New Roman Regular" w:hAnsi="Times New Roman Regular" w:eastAsia="宋体" w:cs="Times New Roman Regular"/>
          <w:b/>
          <w:color w:val="000000" w:themeColor="text1"/>
          <w:highlight w:val="none"/>
          <w14:textFill>
            <w14:solidFill>
              <w14:schemeClr w14:val="tx1"/>
            </w14:solidFill>
          </w14:textFill>
        </w:rPr>
      </w:pPr>
      <w:bookmarkStart w:id="136" w:name="_Toc1808468509"/>
      <w:r>
        <w:rPr>
          <w:rFonts w:hint="default" w:ascii="Times New Roman Regular" w:hAnsi="Times New Roman Regular" w:eastAsia="宋体" w:cs="Times New Roman Regular"/>
          <w:b/>
          <w:color w:val="000000" w:themeColor="text1"/>
          <w:highlight w:val="none"/>
          <w14:textFill>
            <w14:solidFill>
              <w14:schemeClr w14:val="tx1"/>
            </w14:solidFill>
          </w14:textFill>
        </w:rPr>
        <w:t>7-5 证明材料</w:t>
      </w:r>
      <w:bookmarkEnd w:id="136"/>
    </w:p>
    <w:p w14:paraId="55FB1FD9">
      <w:pPr>
        <w:spacing w:line="360" w:lineRule="auto"/>
        <w:rPr>
          <w:rFonts w:hint="default" w:ascii="Times New Roman Regular" w:hAnsi="Times New Roman Regular" w:eastAsia="宋体" w:cs="Times New Roman Regular"/>
          <w:b/>
          <w:color w:val="000000" w:themeColor="text1"/>
          <w:highlight w:val="none"/>
          <w14:textFill>
            <w14:solidFill>
              <w14:schemeClr w14:val="tx1"/>
            </w14:solidFill>
          </w14:textFill>
        </w:rPr>
      </w:pPr>
    </w:p>
    <w:p w14:paraId="1E01A977">
      <w:pPr>
        <w:spacing w:line="360" w:lineRule="auto"/>
        <w:rPr>
          <w:rFonts w:hint="default" w:ascii="Times New Roman Regular" w:hAnsi="Times New Roman Regular" w:eastAsia="宋体" w:cs="Times New Roman Regular"/>
          <w:b/>
          <w:color w:val="000000" w:themeColor="text1"/>
          <w:highlight w:val="none"/>
          <w14:textFill>
            <w14:solidFill>
              <w14:schemeClr w14:val="tx1"/>
            </w14:solidFill>
          </w14:textFill>
        </w:rPr>
      </w:pPr>
    </w:p>
    <w:p w14:paraId="58A33D77">
      <w:pPr>
        <w:pStyle w:val="7"/>
        <w:spacing w:line="360" w:lineRule="auto"/>
        <w:ind w:firstLine="0"/>
        <w:rPr>
          <w:rFonts w:hint="default" w:ascii="Times New Roman Regular" w:hAnsi="Times New Roman Regular" w:eastAsia="宋体" w:cs="Times New Roman Regular"/>
          <w:b/>
          <w:color w:val="000000" w:themeColor="text1"/>
          <w:kern w:val="2"/>
          <w:sz w:val="21"/>
          <w:highlight w:val="none"/>
          <w:lang w:val="en-US" w:eastAsia="zh-CN" w:bidi="ar-SA"/>
          <w14:textFill>
            <w14:solidFill>
              <w14:schemeClr w14:val="tx1"/>
            </w14:solidFill>
          </w14:textFill>
        </w:rPr>
      </w:pPr>
      <w:r>
        <w:rPr>
          <w:rFonts w:hint="default" w:ascii="Times New Roman Regular" w:hAnsi="Times New Roman Regular" w:eastAsia="宋体" w:cs="Times New Roman Regular"/>
          <w:b/>
          <w:color w:val="000000" w:themeColor="text1"/>
          <w:kern w:val="2"/>
          <w:sz w:val="21"/>
          <w:highlight w:val="none"/>
          <w:lang w:val="en-US" w:eastAsia="zh-CN" w:bidi="ar-SA"/>
          <w14:textFill>
            <w14:solidFill>
              <w14:schemeClr w14:val="tx1"/>
            </w14:solidFill>
          </w14:textFill>
        </w:rPr>
        <w:t>1、提供2024</w:t>
      </w:r>
      <w:r>
        <w:rPr>
          <w:rFonts w:hint="eastAsia" w:ascii="Times New Roman Regular" w:hAnsi="Times New Roman Regular" w:cs="Times New Roman Regular"/>
          <w:b/>
          <w:color w:val="000000" w:themeColor="text1"/>
          <w:kern w:val="2"/>
          <w:sz w:val="21"/>
          <w:highlight w:val="none"/>
          <w:lang w:val="en-US" w:eastAsia="zh-CN" w:bidi="ar-SA"/>
          <w14:textFill>
            <w14:solidFill>
              <w14:schemeClr w14:val="tx1"/>
            </w14:solidFill>
          </w14:textFill>
        </w:rPr>
        <w:t>或2025</w:t>
      </w:r>
      <w:r>
        <w:rPr>
          <w:rFonts w:hint="default" w:ascii="Times New Roman Regular" w:hAnsi="Times New Roman Regular" w:eastAsia="宋体" w:cs="Times New Roman Regular"/>
          <w:b/>
          <w:color w:val="000000" w:themeColor="text1"/>
          <w:kern w:val="2"/>
          <w:sz w:val="21"/>
          <w:highlight w:val="none"/>
          <w:lang w:val="en-US" w:eastAsia="zh-CN" w:bidi="ar-SA"/>
          <w14:textFill>
            <w14:solidFill>
              <w14:schemeClr w14:val="tx1"/>
            </w14:solidFill>
          </w14:textFill>
        </w:rPr>
        <w:t>年度的投标人经审计的财务报告复印件（加盖投标人公章，至少包含资产负债表、现金流量表、利润表，或在投标截止时间前三个月内开具的资信证明复印件）；</w:t>
      </w:r>
    </w:p>
    <w:p w14:paraId="14D0D99A">
      <w:pPr>
        <w:pStyle w:val="7"/>
        <w:spacing w:line="360" w:lineRule="auto"/>
        <w:ind w:firstLine="0"/>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248CFE7F">
      <w:pPr>
        <w:pStyle w:val="7"/>
        <w:spacing w:line="360" w:lineRule="auto"/>
        <w:rPr>
          <w:rFonts w:hint="default" w:ascii="Times New Roman Regular" w:hAnsi="Times New Roman Regular" w:eastAsia="宋体" w:cs="Times New Roman Regular"/>
          <w:b/>
          <w:color w:val="000000" w:themeColor="text1"/>
          <w:sz w:val="21"/>
          <w:highlight w:val="none"/>
          <w14:textFill>
            <w14:solidFill>
              <w14:schemeClr w14:val="tx1"/>
            </w14:solidFill>
          </w14:textFill>
        </w:rPr>
      </w:pPr>
    </w:p>
    <w:p w14:paraId="500C1F82">
      <w:pPr>
        <w:pStyle w:val="7"/>
        <w:spacing w:line="360" w:lineRule="auto"/>
        <w:rPr>
          <w:rFonts w:hint="default" w:ascii="Times New Roman Regular" w:hAnsi="Times New Roman Regular" w:eastAsia="宋体" w:cs="Times New Roman Regular"/>
          <w:b/>
          <w:color w:val="000000" w:themeColor="text1"/>
          <w:sz w:val="21"/>
          <w:highlight w:val="none"/>
          <w14:textFill>
            <w14:solidFill>
              <w14:schemeClr w14:val="tx1"/>
            </w14:solidFill>
          </w14:textFill>
        </w:rPr>
      </w:pPr>
    </w:p>
    <w:p w14:paraId="7C21A21A">
      <w:pPr>
        <w:pStyle w:val="7"/>
        <w:spacing w:line="360" w:lineRule="auto"/>
        <w:rPr>
          <w:rFonts w:hint="default" w:ascii="Times New Roman Regular" w:hAnsi="Times New Roman Regular" w:eastAsia="宋体" w:cs="Times New Roman Regular"/>
          <w:b/>
          <w:color w:val="000000" w:themeColor="text1"/>
          <w:sz w:val="21"/>
          <w:highlight w:val="none"/>
          <w14:textFill>
            <w14:solidFill>
              <w14:schemeClr w14:val="tx1"/>
            </w14:solidFill>
          </w14:textFill>
        </w:rPr>
      </w:pPr>
    </w:p>
    <w:p w14:paraId="3154C485">
      <w:pPr>
        <w:pStyle w:val="7"/>
        <w:spacing w:line="360" w:lineRule="auto"/>
        <w:rPr>
          <w:rFonts w:hint="default" w:ascii="Times New Roman Regular" w:hAnsi="Times New Roman Regular" w:eastAsia="宋体" w:cs="Times New Roman Regular"/>
          <w:b/>
          <w:color w:val="000000" w:themeColor="text1"/>
          <w:sz w:val="21"/>
          <w:highlight w:val="none"/>
          <w14:textFill>
            <w14:solidFill>
              <w14:schemeClr w14:val="tx1"/>
            </w14:solidFill>
          </w14:textFill>
        </w:rPr>
      </w:pPr>
    </w:p>
    <w:p w14:paraId="1C03EC93">
      <w:pPr>
        <w:pStyle w:val="12"/>
        <w:spacing w:line="360" w:lineRule="auto"/>
        <w:rPr>
          <w:rFonts w:hint="default" w:ascii="Times New Roman Regular" w:hAnsi="Times New Roman Regular" w:eastAsia="宋体" w:cs="Times New Roman Regular"/>
          <w:bCs/>
          <w:color w:val="000000" w:themeColor="text1"/>
          <w:highlight w:val="none"/>
          <w14:textFill>
            <w14:solidFill>
              <w14:schemeClr w14:val="tx1"/>
            </w14:solidFill>
          </w14:textFill>
        </w:rPr>
      </w:pPr>
      <w:r>
        <w:rPr>
          <w:rFonts w:hint="default" w:ascii="Times New Roman Regular" w:hAnsi="Times New Roman Regular" w:eastAsia="宋体" w:cs="Times New Roman Regular"/>
          <w:bCs/>
          <w:color w:val="000000" w:themeColor="text1"/>
          <w:highlight w:val="none"/>
          <w14:textFill>
            <w14:solidFill>
              <w14:schemeClr w14:val="tx1"/>
            </w14:solidFill>
          </w14:textFill>
        </w:rPr>
        <w:t>投标人名称（盖章）：____________________________</w:t>
      </w:r>
    </w:p>
    <w:p w14:paraId="5D97771A">
      <w:pPr>
        <w:spacing w:line="360" w:lineRule="auto"/>
        <w:rPr>
          <w:rFonts w:hint="default" w:ascii="Times New Roman Regular" w:hAnsi="Times New Roman Regular" w:eastAsia="宋体" w:cs="Times New Roman Regular"/>
          <w:bCs/>
          <w:color w:val="000000" w:themeColor="text1"/>
          <w:highlight w:val="none"/>
          <w:u w:val="single"/>
          <w14:textFill>
            <w14:solidFill>
              <w14:schemeClr w14:val="tx1"/>
            </w14:solidFill>
          </w14:textFill>
        </w:rPr>
      </w:pPr>
      <w:r>
        <w:rPr>
          <w:rFonts w:hint="default" w:ascii="Times New Roman Regular" w:hAnsi="Times New Roman Regular" w:eastAsia="宋体" w:cs="Times New Roman Regular"/>
          <w:bCs/>
          <w:color w:val="000000" w:themeColor="text1"/>
          <w:highlight w:val="none"/>
          <w14:textFill>
            <w14:solidFill>
              <w14:schemeClr w14:val="tx1"/>
            </w14:solidFill>
          </w14:textFill>
        </w:rPr>
        <w:t xml:space="preserve">投标人代表（签字）：  </w:t>
      </w:r>
      <w:r>
        <w:rPr>
          <w:rFonts w:hint="default" w:ascii="Times New Roman Regular" w:hAnsi="Times New Roman Regular" w:eastAsia="宋体" w:cs="Times New Roman Regular"/>
          <w:bCs/>
          <w:color w:val="000000" w:themeColor="text1"/>
          <w:highlight w:val="none"/>
          <w:u w:val="single"/>
          <w14:textFill>
            <w14:solidFill>
              <w14:schemeClr w14:val="tx1"/>
            </w14:solidFill>
          </w14:textFill>
        </w:rPr>
        <w:t xml:space="preserve"> </w:t>
      </w:r>
      <w:r>
        <w:rPr>
          <w:rFonts w:hint="default" w:ascii="Times New Roman Regular" w:hAnsi="Times New Roman Regular" w:eastAsia="宋体" w:cs="Times New Roman Regular"/>
          <w:bCs/>
          <w:color w:val="000000" w:themeColor="text1"/>
          <w:highlight w:val="none"/>
          <w:u w:val="single"/>
          <w14:textFill>
            <w14:solidFill>
              <w14:schemeClr w14:val="tx1"/>
            </w14:solidFill>
          </w14:textFill>
        </w:rPr>
        <w:tab/>
      </w:r>
      <w:r>
        <w:rPr>
          <w:rFonts w:hint="default" w:ascii="Times New Roman Regular" w:hAnsi="Times New Roman Regular" w:eastAsia="宋体" w:cs="Times New Roman Regular"/>
          <w:bCs/>
          <w:color w:val="000000" w:themeColor="text1"/>
          <w:highlight w:val="none"/>
          <w:u w:val="single"/>
          <w14:textFill>
            <w14:solidFill>
              <w14:schemeClr w14:val="tx1"/>
            </w14:solidFill>
          </w14:textFill>
        </w:rPr>
        <w:t xml:space="preserve">             </w:t>
      </w:r>
    </w:p>
    <w:p w14:paraId="16C10706">
      <w:pPr>
        <w:spacing w:line="360" w:lineRule="auto"/>
        <w:rPr>
          <w:rFonts w:hint="default" w:ascii="Times New Roman Regular" w:hAnsi="Times New Roman Regular" w:eastAsia="宋体" w:cs="Times New Roman Regular"/>
          <w:bCs/>
          <w:color w:val="000000" w:themeColor="text1"/>
          <w:highlight w:val="none"/>
          <w:u w:val="single"/>
          <w14:textFill>
            <w14:solidFill>
              <w14:schemeClr w14:val="tx1"/>
            </w14:solidFill>
          </w14:textFill>
        </w:rPr>
      </w:pPr>
    </w:p>
    <w:p w14:paraId="06373E36">
      <w:pPr>
        <w:spacing w:line="360" w:lineRule="auto"/>
        <w:rPr>
          <w:rFonts w:hint="default" w:ascii="Times New Roman Regular" w:hAnsi="Times New Roman Regular" w:eastAsia="宋体" w:cs="Times New Roman Regular"/>
          <w:b/>
          <w:color w:val="000000" w:themeColor="text1"/>
          <w:highlight w:val="none"/>
          <w14:textFill>
            <w14:solidFill>
              <w14:schemeClr w14:val="tx1"/>
            </w14:solidFill>
          </w14:textFill>
        </w:rPr>
      </w:pPr>
    </w:p>
    <w:p w14:paraId="105A469B">
      <w:pPr>
        <w:spacing w:line="360" w:lineRule="auto"/>
        <w:rPr>
          <w:rFonts w:hint="default" w:ascii="Times New Roman Regular" w:hAnsi="Times New Roman Regular" w:eastAsia="宋体" w:cs="Times New Roman Regular"/>
          <w:b/>
          <w:color w:val="000000" w:themeColor="text1"/>
          <w:highlight w:val="none"/>
          <w14:textFill>
            <w14:solidFill>
              <w14:schemeClr w14:val="tx1"/>
            </w14:solidFill>
          </w14:textFill>
        </w:rPr>
      </w:pPr>
      <w:r>
        <w:rPr>
          <w:rFonts w:hint="default" w:ascii="Times New Roman Regular" w:hAnsi="Times New Roman Regular" w:eastAsia="宋体" w:cs="Times New Roman Regular"/>
          <w:b/>
          <w:color w:val="000000" w:themeColor="text1"/>
          <w:highlight w:val="none"/>
          <w:lang w:val="en-US" w:eastAsia="zh-CN"/>
          <w14:textFill>
            <w14:solidFill>
              <w14:schemeClr w14:val="tx1"/>
            </w14:solidFill>
          </w14:textFill>
        </w:rPr>
        <w:t>2</w:t>
      </w:r>
      <w:r>
        <w:rPr>
          <w:rFonts w:hint="default" w:ascii="Times New Roman Regular" w:hAnsi="Times New Roman Regular" w:eastAsia="宋体" w:cs="Times New Roman Regular"/>
          <w:b/>
          <w:color w:val="000000" w:themeColor="text1"/>
          <w:highlight w:val="none"/>
          <w14:textFill>
            <w14:solidFill>
              <w14:schemeClr w14:val="tx1"/>
            </w14:solidFill>
          </w14:textFill>
        </w:rPr>
        <w:t>、提供投标截止时间前一年内任意一个月依法缴纳税收和社会保障资金的相关材料复印件并加盖投标人公章。</w:t>
      </w:r>
    </w:p>
    <w:p w14:paraId="7253697E">
      <w:pPr>
        <w:pStyle w:val="24"/>
        <w:spacing w:line="360" w:lineRule="auto"/>
        <w:ind w:firstLine="640"/>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05030807">
      <w:pPr>
        <w:pStyle w:val="23"/>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6057B4C1">
      <w:pPr>
        <w:pStyle w:val="12"/>
        <w:spacing w:line="360" w:lineRule="auto"/>
        <w:rPr>
          <w:rFonts w:hint="default" w:ascii="Times New Roman Regular" w:hAnsi="Times New Roman Regular" w:eastAsia="宋体" w:cs="Times New Roman Regular"/>
          <w:bCs/>
          <w:color w:val="000000" w:themeColor="text1"/>
          <w:highlight w:val="none"/>
          <w14:textFill>
            <w14:solidFill>
              <w14:schemeClr w14:val="tx1"/>
            </w14:solidFill>
          </w14:textFill>
        </w:rPr>
      </w:pPr>
      <w:r>
        <w:rPr>
          <w:rFonts w:hint="default" w:ascii="Times New Roman Regular" w:hAnsi="Times New Roman Regular" w:eastAsia="宋体" w:cs="Times New Roman Regular"/>
          <w:bCs/>
          <w:color w:val="000000" w:themeColor="text1"/>
          <w:highlight w:val="none"/>
          <w14:textFill>
            <w14:solidFill>
              <w14:schemeClr w14:val="tx1"/>
            </w14:solidFill>
          </w14:textFill>
        </w:rPr>
        <w:t>投标人名称（盖章）：____________________________</w:t>
      </w:r>
    </w:p>
    <w:p w14:paraId="1FBE4381">
      <w:pPr>
        <w:spacing w:line="360" w:lineRule="auto"/>
        <w:rPr>
          <w:rFonts w:hint="default" w:ascii="Times New Roman Regular" w:hAnsi="Times New Roman Regular" w:eastAsia="宋体" w:cs="Times New Roman Regular"/>
          <w:bCs/>
          <w:color w:val="000000" w:themeColor="text1"/>
          <w:highlight w:val="none"/>
          <w:u w:val="single"/>
          <w14:textFill>
            <w14:solidFill>
              <w14:schemeClr w14:val="tx1"/>
            </w14:solidFill>
          </w14:textFill>
        </w:rPr>
      </w:pPr>
      <w:r>
        <w:rPr>
          <w:rFonts w:hint="default" w:ascii="Times New Roman Regular" w:hAnsi="Times New Roman Regular" w:eastAsia="宋体" w:cs="Times New Roman Regular"/>
          <w:bCs/>
          <w:color w:val="000000" w:themeColor="text1"/>
          <w:highlight w:val="none"/>
          <w14:textFill>
            <w14:solidFill>
              <w14:schemeClr w14:val="tx1"/>
            </w14:solidFill>
          </w14:textFill>
        </w:rPr>
        <w:t xml:space="preserve">投标人代表（签字）：  </w:t>
      </w:r>
      <w:r>
        <w:rPr>
          <w:rFonts w:hint="default" w:ascii="Times New Roman Regular" w:hAnsi="Times New Roman Regular" w:eastAsia="宋体" w:cs="Times New Roman Regular"/>
          <w:bCs/>
          <w:color w:val="000000" w:themeColor="text1"/>
          <w:highlight w:val="none"/>
          <w:u w:val="single"/>
          <w14:textFill>
            <w14:solidFill>
              <w14:schemeClr w14:val="tx1"/>
            </w14:solidFill>
          </w14:textFill>
        </w:rPr>
        <w:t xml:space="preserve"> </w:t>
      </w:r>
      <w:r>
        <w:rPr>
          <w:rFonts w:hint="default" w:ascii="Times New Roman Regular" w:hAnsi="Times New Roman Regular" w:eastAsia="宋体" w:cs="Times New Roman Regular"/>
          <w:bCs/>
          <w:color w:val="000000" w:themeColor="text1"/>
          <w:highlight w:val="none"/>
          <w:u w:val="single"/>
          <w14:textFill>
            <w14:solidFill>
              <w14:schemeClr w14:val="tx1"/>
            </w14:solidFill>
          </w14:textFill>
        </w:rPr>
        <w:tab/>
      </w:r>
      <w:r>
        <w:rPr>
          <w:rFonts w:hint="default" w:ascii="Times New Roman Regular" w:hAnsi="Times New Roman Regular" w:eastAsia="宋体" w:cs="Times New Roman Regular"/>
          <w:bCs/>
          <w:color w:val="000000" w:themeColor="text1"/>
          <w:highlight w:val="none"/>
          <w:u w:val="single"/>
          <w14:textFill>
            <w14:solidFill>
              <w14:schemeClr w14:val="tx1"/>
            </w14:solidFill>
          </w14:textFill>
        </w:rPr>
        <w:t xml:space="preserve">             </w:t>
      </w:r>
    </w:p>
    <w:p w14:paraId="61307B36">
      <w:pPr>
        <w:pStyle w:val="9"/>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sectPr>
          <w:pgSz w:w="11905" w:h="16838"/>
          <w:pgMar w:top="1440" w:right="1417" w:bottom="1440" w:left="1417" w:header="850" w:footer="992" w:gutter="0"/>
          <w:pgNumType w:fmt="decimal"/>
          <w:cols w:space="720" w:num="1"/>
          <w:docGrid w:type="lines" w:linePitch="317" w:charSpace="0"/>
        </w:sectPr>
      </w:pPr>
    </w:p>
    <w:p w14:paraId="1BF3AE2C">
      <w:pPr>
        <w:spacing w:line="440" w:lineRule="exact"/>
        <w:jc w:val="center"/>
        <w:outlineLvl w:val="0"/>
        <w:rPr>
          <w:rFonts w:hint="eastAsia" w:hAnsi="宋体" w:cs="宋体"/>
          <w:b/>
          <w:bCs/>
          <w:color w:val="000000" w:themeColor="text1"/>
          <w:highlight w:val="none"/>
          <w14:textFill>
            <w14:solidFill>
              <w14:schemeClr w14:val="tx1"/>
            </w14:solidFill>
          </w14:textFill>
        </w:rPr>
      </w:pPr>
      <w:bookmarkStart w:id="137" w:name="_Toc1594174772"/>
      <w:r>
        <w:rPr>
          <w:rFonts w:hint="eastAsia" w:hAnsi="宋体" w:cs="宋体"/>
          <w:b/>
          <w:bCs/>
          <w:color w:val="000000" w:themeColor="text1"/>
          <w:highlight w:val="none"/>
          <w14:textFill>
            <w14:solidFill>
              <w14:schemeClr w14:val="tx1"/>
            </w14:solidFill>
          </w14:textFill>
        </w:rPr>
        <w:t>7-6  服务承诺函</w:t>
      </w:r>
    </w:p>
    <w:p w14:paraId="5AD820FF">
      <w:pPr>
        <w:pStyle w:val="12"/>
        <w:spacing w:line="360" w:lineRule="auto"/>
        <w:rPr>
          <w:rFonts w:hint="default" w:hAnsi="宋体" w:eastAsia="宋体"/>
          <w:color w:val="000000" w:themeColor="text1"/>
          <w:highlight w:val="none"/>
          <w:lang w:val="en-US" w:eastAsia="zh-CN"/>
          <w14:textFill>
            <w14:solidFill>
              <w14:schemeClr w14:val="tx1"/>
            </w14:solidFill>
          </w14:textFill>
        </w:rPr>
      </w:pPr>
      <w:r>
        <w:rPr>
          <w:rFonts w:hint="eastAsia" w:hAnsi="宋体"/>
          <w:color w:val="000000" w:themeColor="text1"/>
          <w:highlight w:val="none"/>
          <w:lang w:eastAsia="zh-CN"/>
          <w14:textFill>
            <w14:solidFill>
              <w14:schemeClr w14:val="tx1"/>
            </w14:solidFill>
          </w14:textFill>
        </w:rPr>
        <w:t>（</w:t>
      </w:r>
      <w:r>
        <w:rPr>
          <w:rFonts w:hint="eastAsia" w:hAnsi="宋体"/>
          <w:color w:val="000000" w:themeColor="text1"/>
          <w:highlight w:val="none"/>
          <w:lang w:val="en-US" w:eastAsia="zh-CN"/>
          <w14:textFill>
            <w14:solidFill>
              <w14:schemeClr w14:val="tx1"/>
            </w14:solidFill>
          </w14:textFill>
        </w:rPr>
        <w:t>格式自拟）</w:t>
      </w:r>
    </w:p>
    <w:p w14:paraId="3D4F832B">
      <w:pPr>
        <w:pStyle w:val="12"/>
        <w:spacing w:line="360" w:lineRule="auto"/>
        <w:rPr>
          <w:rFonts w:hint="eastAsia"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注：</w:t>
      </w:r>
    </w:p>
    <w:p w14:paraId="2E67D75F">
      <w:pPr>
        <w:pStyle w:val="12"/>
        <w:numPr>
          <w:ilvl w:val="0"/>
          <w:numId w:val="15"/>
        </w:numPr>
        <w:spacing w:line="360" w:lineRule="auto"/>
        <w:rPr>
          <w:rFonts w:hint="eastAsia" w:hAnsi="宋体"/>
          <w:b/>
          <w:bCs/>
          <w:color w:val="000000" w:themeColor="text1"/>
          <w:highlight w:val="none"/>
          <w14:textFill>
            <w14:solidFill>
              <w14:schemeClr w14:val="tx1"/>
            </w14:solidFill>
          </w14:textFill>
        </w:rPr>
      </w:pPr>
      <w:r>
        <w:rPr>
          <w:rFonts w:hint="eastAsia" w:hAnsi="宋体"/>
          <w:b/>
          <w:bCs/>
          <w:color w:val="000000" w:themeColor="text1"/>
          <w:highlight w:val="none"/>
          <w14:textFill>
            <w14:solidFill>
              <w14:schemeClr w14:val="tx1"/>
            </w14:solidFill>
          </w14:textFill>
        </w:rPr>
        <w:t>投标人应根据“</w:t>
      </w:r>
      <w:r>
        <w:rPr>
          <w:rFonts w:hint="eastAsia" w:hAnsi="宋体" w:cs="宋体"/>
          <w:b/>
          <w:bCs/>
          <w:color w:val="000000" w:themeColor="text1"/>
          <w:szCs w:val="21"/>
          <w:highlight w:val="none"/>
          <w14:textFill>
            <w14:solidFill>
              <w14:schemeClr w14:val="tx1"/>
            </w14:solidFill>
          </w14:textFill>
        </w:rPr>
        <w:t>附表3：综合评分标准</w:t>
      </w:r>
      <w:r>
        <w:rPr>
          <w:rFonts w:hint="eastAsia" w:hAnsi="宋体"/>
          <w:b/>
          <w:bCs/>
          <w:color w:val="000000" w:themeColor="text1"/>
          <w:highlight w:val="none"/>
          <w14:textFill>
            <w14:solidFill>
              <w14:schemeClr w14:val="tx1"/>
            </w14:solidFill>
          </w14:textFill>
        </w:rPr>
        <w:t>”及“第五章 技术/服务需求书”中的要求提供</w:t>
      </w:r>
      <w:r>
        <w:rPr>
          <w:rFonts w:hint="eastAsia" w:hAnsi="宋体"/>
          <w:b/>
          <w:bCs/>
          <w:color w:val="000000" w:themeColor="text1"/>
          <w:highlight w:val="none"/>
          <w:lang w:val="en-US" w:eastAsia="zh-CN"/>
          <w14:textFill>
            <w14:solidFill>
              <w14:schemeClr w14:val="tx1"/>
            </w14:solidFill>
          </w14:textFill>
        </w:rPr>
        <w:t>服务承诺函</w:t>
      </w:r>
    </w:p>
    <w:p w14:paraId="1B6FBBD3">
      <w:pPr>
        <w:pStyle w:val="12"/>
        <w:numPr>
          <w:ilvl w:val="0"/>
          <w:numId w:val="15"/>
        </w:numPr>
        <w:spacing w:line="360" w:lineRule="auto"/>
        <w:rPr>
          <w:rFonts w:hint="eastAsia"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拟投入的项目团队须满足</w:t>
      </w:r>
      <w:r>
        <w:rPr>
          <w:rFonts w:hint="eastAsia" w:hAnsi="宋体"/>
          <w:b/>
          <w:bCs/>
          <w:color w:val="000000" w:themeColor="text1"/>
          <w:highlight w:val="none"/>
          <w14:textFill>
            <w14:solidFill>
              <w14:schemeClr w14:val="tx1"/>
            </w14:solidFill>
          </w14:textFill>
        </w:rPr>
        <w:t>“第五章 技术/服务需求书”中对项目团队人员配置的要求</w:t>
      </w:r>
      <w:r>
        <w:rPr>
          <w:rFonts w:hint="eastAsia" w:hAnsi="宋体"/>
          <w:color w:val="000000" w:themeColor="text1"/>
          <w:highlight w:val="none"/>
          <w14:textFill>
            <w14:solidFill>
              <w14:schemeClr w14:val="tx1"/>
            </w14:solidFill>
          </w14:textFill>
        </w:rPr>
        <w:t>。</w:t>
      </w:r>
    </w:p>
    <w:p w14:paraId="1405286D">
      <w:pPr>
        <w:pStyle w:val="12"/>
        <w:rPr>
          <w:rFonts w:hint="eastAsia" w:hAnsi="宋体"/>
          <w:color w:val="000000" w:themeColor="text1"/>
          <w:highlight w:val="none"/>
          <w14:textFill>
            <w14:solidFill>
              <w14:schemeClr w14:val="tx1"/>
            </w14:solidFill>
          </w14:textFill>
        </w:rPr>
      </w:pPr>
    </w:p>
    <w:p w14:paraId="24EC9618">
      <w:pPr>
        <w:spacing w:line="480" w:lineRule="auto"/>
        <w:rPr>
          <w:rFonts w:hint="eastAsia"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投标人名称（公章）：</w:t>
      </w:r>
      <w:r>
        <w:rPr>
          <w:rFonts w:hint="eastAsia" w:ascii="宋体" w:hAnsi="宋体"/>
          <w:color w:val="000000" w:themeColor="text1"/>
          <w:highlight w:val="none"/>
          <w:u w:val="single"/>
          <w14:textFill>
            <w14:solidFill>
              <w14:schemeClr w14:val="tx1"/>
            </w14:solidFill>
          </w14:textFill>
        </w:rPr>
        <w:t xml:space="preserve">                     </w:t>
      </w:r>
    </w:p>
    <w:p w14:paraId="2346EEE9">
      <w:pPr>
        <w:spacing w:line="480" w:lineRule="auto"/>
        <w:rPr>
          <w:rFonts w:hint="eastAsia"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授权代理人（签字）：</w:t>
      </w:r>
      <w:r>
        <w:rPr>
          <w:rFonts w:hint="eastAsia" w:ascii="宋体" w:hAnsi="宋体"/>
          <w:color w:val="000000" w:themeColor="text1"/>
          <w:highlight w:val="none"/>
          <w:u w:val="single"/>
          <w14:textFill>
            <w14:solidFill>
              <w14:schemeClr w14:val="tx1"/>
            </w14:solidFill>
          </w14:textFill>
        </w:rPr>
        <w:t xml:space="preserve">                      </w:t>
      </w:r>
    </w:p>
    <w:p w14:paraId="4D678F03">
      <w:pPr>
        <w:rPr>
          <w:rFonts w:hint="default" w:ascii="Times New Roman Regular" w:hAnsi="Times New Roman Regular" w:eastAsia="宋体" w:cs="Times New Roman Regular"/>
          <w:b/>
          <w:bCs/>
          <w:color w:val="000000" w:themeColor="text1"/>
          <w:highlight w:val="none"/>
          <w14:textFill>
            <w14:solidFill>
              <w14:schemeClr w14:val="tx1"/>
            </w14:solidFill>
          </w14:textFill>
        </w:rPr>
      </w:pPr>
    </w:p>
    <w:p w14:paraId="200413C4">
      <w:pPr>
        <w:rPr>
          <w:rFonts w:hint="default" w:ascii="Times New Roman Regular" w:hAnsi="Times New Roman Regular" w:eastAsia="宋体" w:cs="Times New Roman Regular"/>
          <w:b/>
          <w:bCs/>
          <w:color w:val="000000" w:themeColor="text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highlight w:val="none"/>
          <w14:textFill>
            <w14:solidFill>
              <w14:schemeClr w14:val="tx1"/>
            </w14:solidFill>
          </w14:textFill>
        </w:rPr>
        <w:br w:type="page"/>
      </w:r>
    </w:p>
    <w:bookmarkEnd w:id="137"/>
    <w:p w14:paraId="72D25CDE">
      <w:pPr>
        <w:spacing w:line="360" w:lineRule="auto"/>
        <w:jc w:val="center"/>
        <w:outlineLvl w:val="0"/>
        <w:rPr>
          <w:rFonts w:hint="default" w:ascii="Times New Roman Regular" w:hAnsi="Times New Roman Regular" w:eastAsia="宋体" w:cs="Times New Roman Regular"/>
          <w:b/>
          <w:bCs/>
          <w:color w:val="000000" w:themeColor="text1"/>
          <w:highlight w:val="none"/>
          <w14:textFill>
            <w14:solidFill>
              <w14:schemeClr w14:val="tx1"/>
            </w14:solidFill>
          </w14:textFill>
        </w:rPr>
      </w:pPr>
      <w:r>
        <w:rPr>
          <w:rFonts w:hint="eastAsia" w:hAnsi="宋体" w:cs="宋体"/>
          <w:b/>
          <w:bCs/>
          <w:color w:val="000000" w:themeColor="text1"/>
          <w:highlight w:val="none"/>
          <w14:textFill>
            <w14:solidFill>
              <w14:schemeClr w14:val="tx1"/>
            </w14:solidFill>
          </w14:textFill>
        </w:rPr>
        <w:t>7-6</w:t>
      </w:r>
      <w:r>
        <w:rPr>
          <w:rFonts w:hint="eastAsia" w:hAnsi="宋体" w:cs="宋体"/>
          <w:b/>
          <w:bCs/>
          <w:color w:val="000000" w:themeColor="text1"/>
          <w:highlight w:val="none"/>
          <w:lang w:val="en-US" w:eastAsia="zh-CN"/>
          <w14:textFill>
            <w14:solidFill>
              <w14:schemeClr w14:val="tx1"/>
            </w14:solidFill>
          </w14:textFill>
        </w:rPr>
        <w:t xml:space="preserve">-1 </w:t>
      </w:r>
      <w:r>
        <w:rPr>
          <w:rFonts w:hint="default" w:ascii="Times New Roman Regular" w:hAnsi="Times New Roman Regular" w:eastAsia="宋体" w:cs="Times New Roman Regular"/>
          <w:b/>
          <w:bCs/>
          <w:color w:val="000000" w:themeColor="text1"/>
          <w:highlight w:val="none"/>
          <w14:textFill>
            <w14:solidFill>
              <w14:schemeClr w14:val="tx1"/>
            </w14:solidFill>
          </w14:textFill>
        </w:rPr>
        <w:t>项目经理简历</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95"/>
        <w:gridCol w:w="1563"/>
        <w:gridCol w:w="1272"/>
        <w:gridCol w:w="890"/>
        <w:gridCol w:w="957"/>
        <w:gridCol w:w="200"/>
        <w:gridCol w:w="1501"/>
        <w:gridCol w:w="9"/>
        <w:gridCol w:w="1263"/>
      </w:tblGrid>
      <w:tr w14:paraId="1BC23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0" w:hRule="atLeast"/>
          <w:jc w:val="center"/>
        </w:trPr>
        <w:tc>
          <w:tcPr>
            <w:tcW w:w="1095" w:type="dxa"/>
            <w:vAlign w:val="center"/>
          </w:tcPr>
          <w:p w14:paraId="33C4E68F">
            <w:pPr>
              <w:snapToGrid w:val="0"/>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姓名</w:t>
            </w:r>
          </w:p>
        </w:tc>
        <w:tc>
          <w:tcPr>
            <w:tcW w:w="1563" w:type="dxa"/>
            <w:vAlign w:val="center"/>
          </w:tcPr>
          <w:p w14:paraId="23CDC202">
            <w:pPr>
              <w:snapToGrid w:val="0"/>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1272" w:type="dxa"/>
            <w:vAlign w:val="center"/>
          </w:tcPr>
          <w:p w14:paraId="27989A33">
            <w:pPr>
              <w:snapToGrid w:val="0"/>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职务</w:t>
            </w:r>
          </w:p>
        </w:tc>
        <w:tc>
          <w:tcPr>
            <w:tcW w:w="1847" w:type="dxa"/>
            <w:gridSpan w:val="2"/>
            <w:vAlign w:val="center"/>
          </w:tcPr>
          <w:p w14:paraId="24605758">
            <w:pPr>
              <w:snapToGrid w:val="0"/>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1701" w:type="dxa"/>
            <w:gridSpan w:val="2"/>
            <w:vAlign w:val="center"/>
          </w:tcPr>
          <w:p w14:paraId="1F038304">
            <w:pPr>
              <w:snapToGrid w:val="0"/>
              <w:spacing w:line="360" w:lineRule="auto"/>
              <w:ind w:left="57"/>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职称</w:t>
            </w:r>
          </w:p>
        </w:tc>
        <w:tc>
          <w:tcPr>
            <w:tcW w:w="1272" w:type="dxa"/>
            <w:gridSpan w:val="2"/>
            <w:vAlign w:val="center"/>
          </w:tcPr>
          <w:p w14:paraId="64C60532">
            <w:pPr>
              <w:snapToGrid w:val="0"/>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r w14:paraId="17AC7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55" w:hRule="atLeast"/>
          <w:jc w:val="center"/>
        </w:trPr>
        <w:tc>
          <w:tcPr>
            <w:tcW w:w="1095" w:type="dxa"/>
            <w:vAlign w:val="center"/>
          </w:tcPr>
          <w:p w14:paraId="052CE033">
            <w:pPr>
              <w:snapToGrid w:val="0"/>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年龄</w:t>
            </w:r>
          </w:p>
        </w:tc>
        <w:tc>
          <w:tcPr>
            <w:tcW w:w="1563" w:type="dxa"/>
            <w:vAlign w:val="center"/>
          </w:tcPr>
          <w:p w14:paraId="25A1B947">
            <w:pPr>
              <w:snapToGrid w:val="0"/>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1272" w:type="dxa"/>
            <w:vAlign w:val="center"/>
          </w:tcPr>
          <w:p w14:paraId="484DADD6">
            <w:pPr>
              <w:snapToGrid w:val="0"/>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拟任职</w:t>
            </w:r>
          </w:p>
        </w:tc>
        <w:tc>
          <w:tcPr>
            <w:tcW w:w="1847" w:type="dxa"/>
            <w:gridSpan w:val="2"/>
            <w:vAlign w:val="center"/>
          </w:tcPr>
          <w:p w14:paraId="6712CACC">
            <w:pPr>
              <w:snapToGrid w:val="0"/>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1701" w:type="dxa"/>
            <w:gridSpan w:val="2"/>
            <w:vAlign w:val="center"/>
          </w:tcPr>
          <w:p w14:paraId="56FAEF11">
            <w:pPr>
              <w:snapToGrid w:val="0"/>
              <w:spacing w:line="360" w:lineRule="auto"/>
              <w:ind w:left="192"/>
              <w:jc w:val="cente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val="en-US" w:eastAsia="zh-CN"/>
                <w14:textFill>
                  <w14:solidFill>
                    <w14:schemeClr w14:val="tx1"/>
                  </w14:solidFill>
                </w14:textFill>
              </w:rPr>
              <w:t>项目经理：从事项目管理</w:t>
            </w: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时间</w:t>
            </w:r>
          </w:p>
        </w:tc>
        <w:tc>
          <w:tcPr>
            <w:tcW w:w="1272" w:type="dxa"/>
            <w:gridSpan w:val="2"/>
            <w:vAlign w:val="center"/>
          </w:tcPr>
          <w:p w14:paraId="73B23BC9">
            <w:pPr>
              <w:snapToGrid w:val="0"/>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r w14:paraId="1A05A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12" w:hRule="atLeast"/>
          <w:jc w:val="center"/>
        </w:trPr>
        <w:tc>
          <w:tcPr>
            <w:tcW w:w="8750" w:type="dxa"/>
            <w:gridSpan w:val="9"/>
          </w:tcPr>
          <w:p w14:paraId="4F04930B">
            <w:pPr>
              <w:snapToGrid w:val="0"/>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学历（毕业学校、时间、专业）：</w:t>
            </w:r>
          </w:p>
          <w:p w14:paraId="7D89F00C">
            <w:pPr>
              <w:snapToGrid w:val="0"/>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2FCB0182">
            <w:pPr>
              <w:snapToGrid w:val="0"/>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r w14:paraId="636E4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96" w:hRule="atLeast"/>
          <w:jc w:val="center"/>
        </w:trPr>
        <w:tc>
          <w:tcPr>
            <w:tcW w:w="8750" w:type="dxa"/>
            <w:gridSpan w:val="9"/>
          </w:tcPr>
          <w:p w14:paraId="66455697">
            <w:pPr>
              <w:snapToGrid w:val="0"/>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取得的相关专业资质情况：</w:t>
            </w:r>
          </w:p>
          <w:p w14:paraId="0D17C1B0">
            <w:pPr>
              <w:snapToGrid w:val="0"/>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r w14:paraId="16A6A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96" w:hRule="atLeast"/>
          <w:jc w:val="center"/>
        </w:trPr>
        <w:tc>
          <w:tcPr>
            <w:tcW w:w="8750" w:type="dxa"/>
            <w:gridSpan w:val="9"/>
          </w:tcPr>
          <w:p w14:paraId="189F9D84">
            <w:pPr>
              <w:snapToGrid w:val="0"/>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获奖证书：</w:t>
            </w:r>
          </w:p>
          <w:p w14:paraId="3E6A7F69">
            <w:pPr>
              <w:snapToGrid w:val="0"/>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r w14:paraId="493A5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30" w:hRule="atLeast"/>
          <w:jc w:val="center"/>
        </w:trPr>
        <w:tc>
          <w:tcPr>
            <w:tcW w:w="8750" w:type="dxa"/>
            <w:gridSpan w:val="9"/>
          </w:tcPr>
          <w:p w14:paraId="12E00692">
            <w:pPr>
              <w:snapToGrid w:val="0"/>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相关领域工作经验（经验、年限、类似案例情况介绍等）：</w:t>
            </w:r>
          </w:p>
          <w:p w14:paraId="3768C42A">
            <w:pPr>
              <w:snapToGrid w:val="0"/>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r w14:paraId="12E7B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18" w:hRule="atLeast"/>
          <w:jc w:val="center"/>
        </w:trPr>
        <w:tc>
          <w:tcPr>
            <w:tcW w:w="4820" w:type="dxa"/>
            <w:gridSpan w:val="4"/>
            <w:vAlign w:val="center"/>
          </w:tcPr>
          <w:p w14:paraId="5D39D41C">
            <w:pPr>
              <w:snapToGrid w:val="0"/>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参加过的类似项目名称</w:t>
            </w:r>
          </w:p>
        </w:tc>
        <w:tc>
          <w:tcPr>
            <w:tcW w:w="1157" w:type="dxa"/>
            <w:gridSpan w:val="2"/>
            <w:vAlign w:val="center"/>
          </w:tcPr>
          <w:p w14:paraId="0E8B0CA4">
            <w:pPr>
              <w:snapToGrid w:val="0"/>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主要</w:t>
            </w:r>
          </w:p>
          <w:p w14:paraId="0770BA96">
            <w:pPr>
              <w:snapToGrid w:val="0"/>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工作成果</w:t>
            </w:r>
          </w:p>
        </w:tc>
        <w:tc>
          <w:tcPr>
            <w:tcW w:w="1510" w:type="dxa"/>
            <w:gridSpan w:val="2"/>
            <w:vAlign w:val="center"/>
          </w:tcPr>
          <w:p w14:paraId="0AB2B927">
            <w:pPr>
              <w:snapToGrid w:val="0"/>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项目期</w:t>
            </w:r>
          </w:p>
        </w:tc>
        <w:tc>
          <w:tcPr>
            <w:tcW w:w="1263" w:type="dxa"/>
            <w:vAlign w:val="center"/>
          </w:tcPr>
          <w:p w14:paraId="0575CA8A">
            <w:pPr>
              <w:snapToGrid w:val="0"/>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担任职务</w:t>
            </w:r>
          </w:p>
        </w:tc>
      </w:tr>
      <w:tr w14:paraId="6944F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7" w:hRule="atLeast"/>
          <w:jc w:val="center"/>
        </w:trPr>
        <w:tc>
          <w:tcPr>
            <w:tcW w:w="4820" w:type="dxa"/>
            <w:gridSpan w:val="4"/>
            <w:vAlign w:val="center"/>
          </w:tcPr>
          <w:p w14:paraId="5EEC38FE">
            <w:pPr>
              <w:snapToGrid w:val="0"/>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1157" w:type="dxa"/>
            <w:gridSpan w:val="2"/>
            <w:vAlign w:val="center"/>
          </w:tcPr>
          <w:p w14:paraId="27534197">
            <w:pPr>
              <w:snapToGrid w:val="0"/>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1510" w:type="dxa"/>
            <w:gridSpan w:val="2"/>
            <w:vAlign w:val="center"/>
          </w:tcPr>
          <w:p w14:paraId="4008051D">
            <w:pPr>
              <w:snapToGrid w:val="0"/>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1263" w:type="dxa"/>
          </w:tcPr>
          <w:p w14:paraId="0EB8F969">
            <w:pPr>
              <w:snapToGrid w:val="0"/>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r w14:paraId="3DBA8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2" w:hRule="atLeast"/>
          <w:jc w:val="center"/>
        </w:trPr>
        <w:tc>
          <w:tcPr>
            <w:tcW w:w="4820" w:type="dxa"/>
            <w:gridSpan w:val="4"/>
          </w:tcPr>
          <w:p w14:paraId="16A10FCB">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1157" w:type="dxa"/>
            <w:gridSpan w:val="2"/>
          </w:tcPr>
          <w:p w14:paraId="3BE7A182">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1510" w:type="dxa"/>
            <w:gridSpan w:val="2"/>
          </w:tcPr>
          <w:p w14:paraId="402BCBFF">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1263" w:type="dxa"/>
          </w:tcPr>
          <w:p w14:paraId="6B3DD252">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r w14:paraId="24E8D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94" w:hRule="atLeast"/>
          <w:jc w:val="center"/>
        </w:trPr>
        <w:tc>
          <w:tcPr>
            <w:tcW w:w="4820" w:type="dxa"/>
            <w:gridSpan w:val="4"/>
          </w:tcPr>
          <w:p w14:paraId="38033D82">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1157" w:type="dxa"/>
            <w:gridSpan w:val="2"/>
          </w:tcPr>
          <w:p w14:paraId="6F5B80AF">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1510" w:type="dxa"/>
            <w:gridSpan w:val="2"/>
          </w:tcPr>
          <w:p w14:paraId="2464BF53">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1263" w:type="dxa"/>
          </w:tcPr>
          <w:p w14:paraId="480C8F78">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bl>
    <w:p w14:paraId="12A2ED63">
      <w:pPr>
        <w:spacing w:line="360" w:lineRule="auto"/>
        <w:rPr>
          <w:rFonts w:hint="default" w:ascii="Times New Roman Regular" w:hAnsi="Times New Roman Regular" w:eastAsia="宋体" w:cs="Times New Roman Regular"/>
          <w:b/>
          <w:color w:val="000000" w:themeColor="text1"/>
          <w:kern w:val="0"/>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kern w:val="0"/>
          <w:szCs w:val="21"/>
          <w:highlight w:val="none"/>
          <w14:textFill>
            <w14:solidFill>
              <w14:schemeClr w14:val="tx1"/>
            </w14:solidFill>
          </w14:textFill>
        </w:rPr>
        <w:br w:type="page"/>
      </w:r>
    </w:p>
    <w:p w14:paraId="0F799CAD">
      <w:pPr>
        <w:spacing w:line="360" w:lineRule="auto"/>
        <w:jc w:val="center"/>
        <w:outlineLvl w:val="0"/>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bookmarkStart w:id="138" w:name="_Toc20723"/>
      <w:bookmarkStart w:id="139" w:name="_Toc1289413032"/>
      <w:bookmarkStart w:id="140" w:name="_Toc23327"/>
      <w:r>
        <w:rPr>
          <w:rFonts w:hint="default" w:ascii="Times New Roman Regular" w:hAnsi="Times New Roman Regular" w:eastAsia="宋体" w:cs="Times New Roman Regular"/>
          <w:b/>
          <w:color w:val="000000" w:themeColor="text1"/>
          <w:kern w:val="0"/>
          <w:szCs w:val="21"/>
          <w:highlight w:val="none"/>
          <w14:textFill>
            <w14:solidFill>
              <w14:schemeClr w14:val="tx1"/>
            </w14:solidFill>
          </w14:textFill>
        </w:rPr>
        <w:t>7-</w:t>
      </w:r>
      <w:bookmarkEnd w:id="129"/>
      <w:bookmarkEnd w:id="130"/>
      <w:r>
        <w:rPr>
          <w:rFonts w:hint="default" w:ascii="Times New Roman Regular" w:hAnsi="Times New Roman Regular" w:eastAsia="宋体" w:cs="Times New Roman Regular"/>
          <w:b/>
          <w:color w:val="000000" w:themeColor="text1"/>
          <w:kern w:val="0"/>
          <w:szCs w:val="21"/>
          <w:highlight w:val="none"/>
          <w14:textFill>
            <w14:solidFill>
              <w14:schemeClr w14:val="tx1"/>
            </w14:solidFill>
          </w14:textFill>
        </w:rPr>
        <w:t xml:space="preserve">7 </w:t>
      </w:r>
      <w:bookmarkEnd w:id="131"/>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t>业绩及证明文件</w:t>
      </w:r>
      <w:bookmarkEnd w:id="132"/>
      <w:bookmarkEnd w:id="133"/>
      <w:bookmarkEnd w:id="134"/>
      <w:bookmarkEnd w:id="138"/>
      <w:bookmarkEnd w:id="139"/>
      <w:bookmarkEnd w:id="140"/>
    </w:p>
    <w:p w14:paraId="477C44AE">
      <w:pPr>
        <w:spacing w:line="360" w:lineRule="auto"/>
        <w:jc w:val="center"/>
        <w:rPr>
          <w:rFonts w:hint="default" w:ascii="Times New Roman Regular" w:hAnsi="Times New Roman Regular" w:eastAsia="宋体" w:cs="Times New Roman Regular"/>
          <w:b/>
          <w:bCs/>
          <w:color w:val="000000" w:themeColor="text1"/>
          <w:highlight w:val="none"/>
          <w14:textFill>
            <w14:solidFill>
              <w14:schemeClr w14:val="tx1"/>
            </w14:solidFill>
          </w14:textFill>
        </w:rPr>
      </w:pPr>
    </w:p>
    <w:tbl>
      <w:tblPr>
        <w:tblStyle w:val="25"/>
        <w:tblW w:w="460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1617"/>
        <w:gridCol w:w="1602"/>
        <w:gridCol w:w="1142"/>
        <w:gridCol w:w="883"/>
        <w:gridCol w:w="1136"/>
        <w:gridCol w:w="1342"/>
      </w:tblGrid>
      <w:tr w14:paraId="36303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blHeader/>
          <w:jc w:val="center"/>
        </w:trPr>
        <w:tc>
          <w:tcPr>
            <w:tcW w:w="484" w:type="pct"/>
            <w:tcBorders>
              <w:top w:val="single" w:color="auto" w:sz="4" w:space="0"/>
              <w:left w:val="single" w:color="auto" w:sz="4" w:space="0"/>
              <w:bottom w:val="single" w:color="auto" w:sz="4" w:space="0"/>
              <w:right w:val="single" w:color="auto" w:sz="4" w:space="0"/>
            </w:tcBorders>
            <w:vAlign w:val="center"/>
          </w:tcPr>
          <w:p w14:paraId="0563AB05">
            <w:pPr>
              <w:pStyle w:val="12"/>
              <w:spacing w:line="360" w:lineRule="auto"/>
              <w:jc w:val="cente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t>序号</w:t>
            </w:r>
          </w:p>
        </w:tc>
        <w:tc>
          <w:tcPr>
            <w:tcW w:w="945" w:type="pct"/>
            <w:tcBorders>
              <w:top w:val="single" w:color="auto" w:sz="4" w:space="0"/>
              <w:left w:val="single" w:color="auto" w:sz="4" w:space="0"/>
              <w:bottom w:val="single" w:color="auto" w:sz="4" w:space="0"/>
              <w:right w:val="single" w:color="auto" w:sz="4" w:space="0"/>
            </w:tcBorders>
            <w:vAlign w:val="center"/>
          </w:tcPr>
          <w:p w14:paraId="5BA49031">
            <w:pPr>
              <w:pStyle w:val="12"/>
              <w:spacing w:line="360" w:lineRule="auto"/>
              <w:jc w:val="cente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t>合同签订时间</w:t>
            </w:r>
          </w:p>
        </w:tc>
        <w:tc>
          <w:tcPr>
            <w:tcW w:w="936" w:type="pct"/>
            <w:tcBorders>
              <w:top w:val="single" w:color="auto" w:sz="4" w:space="0"/>
              <w:left w:val="single" w:color="auto" w:sz="4" w:space="0"/>
              <w:bottom w:val="single" w:color="auto" w:sz="4" w:space="0"/>
              <w:right w:val="single" w:color="auto" w:sz="4" w:space="0"/>
            </w:tcBorders>
            <w:vAlign w:val="center"/>
          </w:tcPr>
          <w:p w14:paraId="533C9C8A">
            <w:pPr>
              <w:pStyle w:val="12"/>
              <w:spacing w:line="360" w:lineRule="auto"/>
              <w:jc w:val="cente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t>合同双方名称</w:t>
            </w:r>
          </w:p>
        </w:tc>
        <w:tc>
          <w:tcPr>
            <w:tcW w:w="667" w:type="pct"/>
            <w:tcBorders>
              <w:top w:val="single" w:color="auto" w:sz="4" w:space="0"/>
              <w:left w:val="single" w:color="auto" w:sz="4" w:space="0"/>
              <w:bottom w:val="single" w:color="auto" w:sz="4" w:space="0"/>
              <w:right w:val="single" w:color="auto" w:sz="4" w:space="0"/>
            </w:tcBorders>
            <w:vAlign w:val="center"/>
          </w:tcPr>
          <w:p w14:paraId="574E33D2">
            <w:pPr>
              <w:pStyle w:val="12"/>
              <w:spacing w:line="360" w:lineRule="auto"/>
              <w:jc w:val="cente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t>合同内容</w:t>
            </w:r>
          </w:p>
        </w:tc>
        <w:tc>
          <w:tcPr>
            <w:tcW w:w="516" w:type="pct"/>
            <w:tcBorders>
              <w:top w:val="single" w:color="auto" w:sz="4" w:space="0"/>
              <w:left w:val="single" w:color="auto" w:sz="4" w:space="0"/>
              <w:bottom w:val="single" w:color="auto" w:sz="4" w:space="0"/>
              <w:right w:val="single" w:color="auto" w:sz="4" w:space="0"/>
            </w:tcBorders>
            <w:vAlign w:val="center"/>
          </w:tcPr>
          <w:p w14:paraId="1EF12723">
            <w:pPr>
              <w:pStyle w:val="12"/>
              <w:spacing w:line="360" w:lineRule="auto"/>
              <w:jc w:val="cente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t>联系人</w:t>
            </w:r>
          </w:p>
        </w:tc>
        <w:tc>
          <w:tcPr>
            <w:tcW w:w="664" w:type="pct"/>
            <w:tcBorders>
              <w:top w:val="single" w:color="auto" w:sz="4" w:space="0"/>
              <w:left w:val="single" w:color="auto" w:sz="4" w:space="0"/>
              <w:bottom w:val="single" w:color="auto" w:sz="4" w:space="0"/>
              <w:right w:val="single" w:color="auto" w:sz="4" w:space="0"/>
            </w:tcBorders>
            <w:vAlign w:val="center"/>
          </w:tcPr>
          <w:p w14:paraId="24771D1E">
            <w:pPr>
              <w:pStyle w:val="12"/>
              <w:spacing w:line="360" w:lineRule="auto"/>
              <w:jc w:val="cente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t>联系电话</w:t>
            </w:r>
          </w:p>
        </w:tc>
        <w:tc>
          <w:tcPr>
            <w:tcW w:w="784" w:type="pct"/>
            <w:tcBorders>
              <w:top w:val="single" w:color="auto" w:sz="4" w:space="0"/>
              <w:left w:val="single" w:color="auto" w:sz="4" w:space="0"/>
              <w:bottom w:val="single" w:color="auto" w:sz="4" w:space="0"/>
              <w:right w:val="single" w:color="auto" w:sz="4" w:space="0"/>
            </w:tcBorders>
            <w:vAlign w:val="center"/>
          </w:tcPr>
          <w:p w14:paraId="08A4D29B">
            <w:pPr>
              <w:pStyle w:val="12"/>
              <w:spacing w:line="360" w:lineRule="auto"/>
              <w:jc w:val="cente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t>签字盖章页所在投标文件中的页码</w:t>
            </w:r>
          </w:p>
        </w:tc>
      </w:tr>
      <w:tr w14:paraId="40A95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484" w:type="pct"/>
            <w:tcBorders>
              <w:top w:val="single" w:color="auto" w:sz="4" w:space="0"/>
              <w:left w:val="single" w:color="auto" w:sz="4" w:space="0"/>
              <w:bottom w:val="single" w:color="auto" w:sz="4" w:space="0"/>
              <w:right w:val="single" w:color="auto" w:sz="4" w:space="0"/>
            </w:tcBorders>
            <w:vAlign w:val="center"/>
          </w:tcPr>
          <w:p w14:paraId="7365C55A">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1</w:t>
            </w:r>
          </w:p>
        </w:tc>
        <w:tc>
          <w:tcPr>
            <w:tcW w:w="945" w:type="pct"/>
            <w:tcBorders>
              <w:top w:val="single" w:color="auto" w:sz="4" w:space="0"/>
              <w:left w:val="single" w:color="auto" w:sz="4" w:space="0"/>
              <w:bottom w:val="single" w:color="auto" w:sz="4" w:space="0"/>
              <w:right w:val="single" w:color="auto" w:sz="4" w:space="0"/>
            </w:tcBorders>
            <w:vAlign w:val="center"/>
          </w:tcPr>
          <w:p w14:paraId="22510356">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936" w:type="pct"/>
            <w:tcBorders>
              <w:top w:val="single" w:color="auto" w:sz="4" w:space="0"/>
              <w:left w:val="single" w:color="auto" w:sz="4" w:space="0"/>
              <w:bottom w:val="single" w:color="auto" w:sz="4" w:space="0"/>
              <w:right w:val="single" w:color="auto" w:sz="4" w:space="0"/>
            </w:tcBorders>
            <w:vAlign w:val="center"/>
          </w:tcPr>
          <w:p w14:paraId="7F6AA4F5">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667" w:type="pct"/>
            <w:tcBorders>
              <w:top w:val="single" w:color="auto" w:sz="4" w:space="0"/>
              <w:left w:val="single" w:color="auto" w:sz="4" w:space="0"/>
              <w:bottom w:val="single" w:color="auto" w:sz="4" w:space="0"/>
              <w:right w:val="single" w:color="auto" w:sz="4" w:space="0"/>
            </w:tcBorders>
            <w:vAlign w:val="center"/>
          </w:tcPr>
          <w:p w14:paraId="3E92B19E">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516" w:type="pct"/>
            <w:tcBorders>
              <w:top w:val="single" w:color="auto" w:sz="4" w:space="0"/>
              <w:left w:val="single" w:color="auto" w:sz="4" w:space="0"/>
              <w:bottom w:val="single" w:color="auto" w:sz="4" w:space="0"/>
              <w:right w:val="single" w:color="auto" w:sz="4" w:space="0"/>
            </w:tcBorders>
            <w:vAlign w:val="center"/>
          </w:tcPr>
          <w:p w14:paraId="2DDD8FDE">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664" w:type="pct"/>
            <w:tcBorders>
              <w:top w:val="single" w:color="auto" w:sz="4" w:space="0"/>
              <w:left w:val="single" w:color="auto" w:sz="4" w:space="0"/>
              <w:bottom w:val="single" w:color="auto" w:sz="4" w:space="0"/>
              <w:right w:val="single" w:color="auto" w:sz="4" w:space="0"/>
            </w:tcBorders>
            <w:vAlign w:val="center"/>
          </w:tcPr>
          <w:p w14:paraId="27E4F3BE">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784" w:type="pct"/>
            <w:tcBorders>
              <w:top w:val="single" w:color="auto" w:sz="4" w:space="0"/>
              <w:left w:val="single" w:color="auto" w:sz="4" w:space="0"/>
              <w:bottom w:val="single" w:color="auto" w:sz="4" w:space="0"/>
              <w:right w:val="single" w:color="auto" w:sz="4" w:space="0"/>
            </w:tcBorders>
          </w:tcPr>
          <w:p w14:paraId="15678D6D">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r w14:paraId="14C39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484" w:type="pct"/>
            <w:tcBorders>
              <w:top w:val="single" w:color="auto" w:sz="4" w:space="0"/>
              <w:left w:val="single" w:color="auto" w:sz="4" w:space="0"/>
              <w:bottom w:val="single" w:color="auto" w:sz="4" w:space="0"/>
              <w:right w:val="single" w:color="auto" w:sz="4" w:space="0"/>
            </w:tcBorders>
            <w:vAlign w:val="center"/>
          </w:tcPr>
          <w:p w14:paraId="3BFEDA8B">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w:t>
            </w:r>
          </w:p>
        </w:tc>
        <w:tc>
          <w:tcPr>
            <w:tcW w:w="945" w:type="pct"/>
            <w:tcBorders>
              <w:top w:val="single" w:color="auto" w:sz="4" w:space="0"/>
              <w:left w:val="single" w:color="auto" w:sz="4" w:space="0"/>
              <w:bottom w:val="single" w:color="auto" w:sz="4" w:space="0"/>
              <w:right w:val="single" w:color="auto" w:sz="4" w:space="0"/>
            </w:tcBorders>
            <w:vAlign w:val="center"/>
          </w:tcPr>
          <w:p w14:paraId="3B12E342">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936" w:type="pct"/>
            <w:tcBorders>
              <w:top w:val="single" w:color="auto" w:sz="4" w:space="0"/>
              <w:left w:val="single" w:color="auto" w:sz="4" w:space="0"/>
              <w:bottom w:val="single" w:color="auto" w:sz="4" w:space="0"/>
              <w:right w:val="single" w:color="auto" w:sz="4" w:space="0"/>
            </w:tcBorders>
            <w:vAlign w:val="center"/>
          </w:tcPr>
          <w:p w14:paraId="46BE0D4B">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667" w:type="pct"/>
            <w:tcBorders>
              <w:top w:val="single" w:color="auto" w:sz="4" w:space="0"/>
              <w:left w:val="single" w:color="auto" w:sz="4" w:space="0"/>
              <w:bottom w:val="single" w:color="auto" w:sz="4" w:space="0"/>
              <w:right w:val="single" w:color="auto" w:sz="4" w:space="0"/>
            </w:tcBorders>
            <w:vAlign w:val="center"/>
          </w:tcPr>
          <w:p w14:paraId="022A5023">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516" w:type="pct"/>
            <w:tcBorders>
              <w:top w:val="single" w:color="auto" w:sz="4" w:space="0"/>
              <w:left w:val="single" w:color="auto" w:sz="4" w:space="0"/>
              <w:bottom w:val="single" w:color="auto" w:sz="4" w:space="0"/>
              <w:right w:val="single" w:color="auto" w:sz="4" w:space="0"/>
            </w:tcBorders>
            <w:vAlign w:val="center"/>
          </w:tcPr>
          <w:p w14:paraId="429D14FA">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664" w:type="pct"/>
            <w:tcBorders>
              <w:top w:val="single" w:color="auto" w:sz="4" w:space="0"/>
              <w:left w:val="single" w:color="auto" w:sz="4" w:space="0"/>
              <w:bottom w:val="single" w:color="auto" w:sz="4" w:space="0"/>
              <w:right w:val="single" w:color="auto" w:sz="4" w:space="0"/>
            </w:tcBorders>
            <w:vAlign w:val="center"/>
          </w:tcPr>
          <w:p w14:paraId="1F3A8EF8">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784" w:type="pct"/>
            <w:tcBorders>
              <w:top w:val="single" w:color="auto" w:sz="4" w:space="0"/>
              <w:left w:val="single" w:color="auto" w:sz="4" w:space="0"/>
              <w:bottom w:val="single" w:color="auto" w:sz="4" w:space="0"/>
              <w:right w:val="single" w:color="auto" w:sz="4" w:space="0"/>
            </w:tcBorders>
          </w:tcPr>
          <w:p w14:paraId="248B72E6">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r w14:paraId="23E0A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484" w:type="pct"/>
            <w:tcBorders>
              <w:top w:val="single" w:color="auto" w:sz="4" w:space="0"/>
              <w:left w:val="single" w:color="auto" w:sz="4" w:space="0"/>
              <w:bottom w:val="single" w:color="auto" w:sz="4" w:space="0"/>
              <w:right w:val="single" w:color="auto" w:sz="4" w:space="0"/>
            </w:tcBorders>
            <w:vAlign w:val="center"/>
          </w:tcPr>
          <w:p w14:paraId="2F195B7E">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3</w:t>
            </w:r>
          </w:p>
        </w:tc>
        <w:tc>
          <w:tcPr>
            <w:tcW w:w="945" w:type="pct"/>
            <w:tcBorders>
              <w:top w:val="single" w:color="auto" w:sz="4" w:space="0"/>
              <w:left w:val="single" w:color="auto" w:sz="4" w:space="0"/>
              <w:bottom w:val="single" w:color="auto" w:sz="4" w:space="0"/>
              <w:right w:val="single" w:color="auto" w:sz="4" w:space="0"/>
            </w:tcBorders>
            <w:vAlign w:val="center"/>
          </w:tcPr>
          <w:p w14:paraId="7AD7BBA0">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936" w:type="pct"/>
            <w:tcBorders>
              <w:top w:val="single" w:color="auto" w:sz="4" w:space="0"/>
              <w:left w:val="single" w:color="auto" w:sz="4" w:space="0"/>
              <w:bottom w:val="single" w:color="auto" w:sz="4" w:space="0"/>
              <w:right w:val="single" w:color="auto" w:sz="4" w:space="0"/>
            </w:tcBorders>
            <w:vAlign w:val="center"/>
          </w:tcPr>
          <w:p w14:paraId="4890F987">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667" w:type="pct"/>
            <w:tcBorders>
              <w:top w:val="single" w:color="auto" w:sz="4" w:space="0"/>
              <w:left w:val="single" w:color="auto" w:sz="4" w:space="0"/>
              <w:bottom w:val="single" w:color="auto" w:sz="4" w:space="0"/>
              <w:right w:val="single" w:color="auto" w:sz="4" w:space="0"/>
            </w:tcBorders>
            <w:vAlign w:val="center"/>
          </w:tcPr>
          <w:p w14:paraId="2EF8D129">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516" w:type="pct"/>
            <w:tcBorders>
              <w:top w:val="single" w:color="auto" w:sz="4" w:space="0"/>
              <w:left w:val="single" w:color="auto" w:sz="4" w:space="0"/>
              <w:bottom w:val="single" w:color="auto" w:sz="4" w:space="0"/>
              <w:right w:val="single" w:color="auto" w:sz="4" w:space="0"/>
            </w:tcBorders>
            <w:vAlign w:val="center"/>
          </w:tcPr>
          <w:p w14:paraId="1A582F79">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664" w:type="pct"/>
            <w:tcBorders>
              <w:top w:val="single" w:color="auto" w:sz="4" w:space="0"/>
              <w:left w:val="single" w:color="auto" w:sz="4" w:space="0"/>
              <w:bottom w:val="single" w:color="auto" w:sz="4" w:space="0"/>
              <w:right w:val="single" w:color="auto" w:sz="4" w:space="0"/>
            </w:tcBorders>
            <w:vAlign w:val="center"/>
          </w:tcPr>
          <w:p w14:paraId="4421F16D">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784" w:type="pct"/>
            <w:tcBorders>
              <w:top w:val="single" w:color="auto" w:sz="4" w:space="0"/>
              <w:left w:val="single" w:color="auto" w:sz="4" w:space="0"/>
              <w:bottom w:val="single" w:color="auto" w:sz="4" w:space="0"/>
              <w:right w:val="single" w:color="auto" w:sz="4" w:space="0"/>
            </w:tcBorders>
          </w:tcPr>
          <w:p w14:paraId="6537AC7A">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r w14:paraId="0520A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484" w:type="pct"/>
            <w:tcBorders>
              <w:top w:val="single" w:color="auto" w:sz="4" w:space="0"/>
              <w:left w:val="single" w:color="auto" w:sz="4" w:space="0"/>
              <w:bottom w:val="single" w:color="auto" w:sz="4" w:space="0"/>
              <w:right w:val="single" w:color="auto" w:sz="4" w:space="0"/>
            </w:tcBorders>
            <w:vAlign w:val="center"/>
          </w:tcPr>
          <w:p w14:paraId="7BB01619">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4</w:t>
            </w:r>
          </w:p>
        </w:tc>
        <w:tc>
          <w:tcPr>
            <w:tcW w:w="945" w:type="pct"/>
            <w:tcBorders>
              <w:top w:val="single" w:color="auto" w:sz="4" w:space="0"/>
              <w:left w:val="single" w:color="auto" w:sz="4" w:space="0"/>
              <w:bottom w:val="single" w:color="auto" w:sz="4" w:space="0"/>
              <w:right w:val="single" w:color="auto" w:sz="4" w:space="0"/>
            </w:tcBorders>
            <w:vAlign w:val="center"/>
          </w:tcPr>
          <w:p w14:paraId="2D4CAE9A">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936" w:type="pct"/>
            <w:tcBorders>
              <w:top w:val="single" w:color="auto" w:sz="4" w:space="0"/>
              <w:left w:val="single" w:color="auto" w:sz="4" w:space="0"/>
              <w:bottom w:val="single" w:color="auto" w:sz="4" w:space="0"/>
              <w:right w:val="single" w:color="auto" w:sz="4" w:space="0"/>
            </w:tcBorders>
            <w:vAlign w:val="center"/>
          </w:tcPr>
          <w:p w14:paraId="1F5AF5C2">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667" w:type="pct"/>
            <w:tcBorders>
              <w:top w:val="single" w:color="auto" w:sz="4" w:space="0"/>
              <w:left w:val="single" w:color="auto" w:sz="4" w:space="0"/>
              <w:bottom w:val="single" w:color="auto" w:sz="4" w:space="0"/>
              <w:right w:val="single" w:color="auto" w:sz="4" w:space="0"/>
            </w:tcBorders>
            <w:vAlign w:val="center"/>
          </w:tcPr>
          <w:p w14:paraId="4764DD7E">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516" w:type="pct"/>
            <w:tcBorders>
              <w:top w:val="single" w:color="auto" w:sz="4" w:space="0"/>
              <w:left w:val="single" w:color="auto" w:sz="4" w:space="0"/>
              <w:bottom w:val="single" w:color="auto" w:sz="4" w:space="0"/>
              <w:right w:val="single" w:color="auto" w:sz="4" w:space="0"/>
            </w:tcBorders>
            <w:vAlign w:val="center"/>
          </w:tcPr>
          <w:p w14:paraId="4DE93F13">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664" w:type="pct"/>
            <w:tcBorders>
              <w:top w:val="single" w:color="auto" w:sz="4" w:space="0"/>
              <w:left w:val="single" w:color="auto" w:sz="4" w:space="0"/>
              <w:bottom w:val="single" w:color="auto" w:sz="4" w:space="0"/>
              <w:right w:val="single" w:color="auto" w:sz="4" w:space="0"/>
            </w:tcBorders>
            <w:vAlign w:val="center"/>
          </w:tcPr>
          <w:p w14:paraId="0825996B">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784" w:type="pct"/>
            <w:tcBorders>
              <w:top w:val="single" w:color="auto" w:sz="4" w:space="0"/>
              <w:left w:val="single" w:color="auto" w:sz="4" w:space="0"/>
              <w:bottom w:val="single" w:color="auto" w:sz="4" w:space="0"/>
              <w:right w:val="single" w:color="auto" w:sz="4" w:space="0"/>
            </w:tcBorders>
          </w:tcPr>
          <w:p w14:paraId="257B455C">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r w14:paraId="45EF3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484" w:type="pct"/>
            <w:tcBorders>
              <w:top w:val="single" w:color="auto" w:sz="4" w:space="0"/>
              <w:left w:val="single" w:color="auto" w:sz="4" w:space="0"/>
              <w:bottom w:val="single" w:color="auto" w:sz="4" w:space="0"/>
              <w:right w:val="single" w:color="auto" w:sz="4" w:space="0"/>
            </w:tcBorders>
            <w:vAlign w:val="center"/>
          </w:tcPr>
          <w:p w14:paraId="511AF23F">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5</w:t>
            </w:r>
          </w:p>
        </w:tc>
        <w:tc>
          <w:tcPr>
            <w:tcW w:w="945" w:type="pct"/>
            <w:tcBorders>
              <w:top w:val="single" w:color="auto" w:sz="4" w:space="0"/>
              <w:left w:val="single" w:color="auto" w:sz="4" w:space="0"/>
              <w:bottom w:val="single" w:color="auto" w:sz="4" w:space="0"/>
              <w:right w:val="single" w:color="auto" w:sz="4" w:space="0"/>
            </w:tcBorders>
            <w:vAlign w:val="center"/>
          </w:tcPr>
          <w:p w14:paraId="11CC39E6">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936" w:type="pct"/>
            <w:tcBorders>
              <w:top w:val="single" w:color="auto" w:sz="4" w:space="0"/>
              <w:left w:val="single" w:color="auto" w:sz="4" w:space="0"/>
              <w:bottom w:val="single" w:color="auto" w:sz="4" w:space="0"/>
              <w:right w:val="single" w:color="auto" w:sz="4" w:space="0"/>
            </w:tcBorders>
            <w:vAlign w:val="center"/>
          </w:tcPr>
          <w:p w14:paraId="5564705A">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667" w:type="pct"/>
            <w:tcBorders>
              <w:top w:val="single" w:color="auto" w:sz="4" w:space="0"/>
              <w:left w:val="single" w:color="auto" w:sz="4" w:space="0"/>
              <w:bottom w:val="single" w:color="auto" w:sz="4" w:space="0"/>
              <w:right w:val="single" w:color="auto" w:sz="4" w:space="0"/>
            </w:tcBorders>
            <w:vAlign w:val="center"/>
          </w:tcPr>
          <w:p w14:paraId="43D7CF5E">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516" w:type="pct"/>
            <w:tcBorders>
              <w:top w:val="single" w:color="auto" w:sz="4" w:space="0"/>
              <w:left w:val="single" w:color="auto" w:sz="4" w:space="0"/>
              <w:bottom w:val="single" w:color="auto" w:sz="4" w:space="0"/>
              <w:right w:val="single" w:color="auto" w:sz="4" w:space="0"/>
            </w:tcBorders>
            <w:vAlign w:val="center"/>
          </w:tcPr>
          <w:p w14:paraId="621D65BE">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664" w:type="pct"/>
            <w:tcBorders>
              <w:top w:val="single" w:color="auto" w:sz="4" w:space="0"/>
              <w:left w:val="single" w:color="auto" w:sz="4" w:space="0"/>
              <w:bottom w:val="single" w:color="auto" w:sz="4" w:space="0"/>
              <w:right w:val="single" w:color="auto" w:sz="4" w:space="0"/>
            </w:tcBorders>
            <w:vAlign w:val="center"/>
          </w:tcPr>
          <w:p w14:paraId="1CD51925">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784" w:type="pct"/>
            <w:tcBorders>
              <w:top w:val="single" w:color="auto" w:sz="4" w:space="0"/>
              <w:left w:val="single" w:color="auto" w:sz="4" w:space="0"/>
              <w:bottom w:val="single" w:color="auto" w:sz="4" w:space="0"/>
              <w:right w:val="single" w:color="auto" w:sz="4" w:space="0"/>
            </w:tcBorders>
          </w:tcPr>
          <w:p w14:paraId="3632623B">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r w14:paraId="0CFEF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484" w:type="pct"/>
            <w:tcBorders>
              <w:top w:val="single" w:color="auto" w:sz="4" w:space="0"/>
              <w:left w:val="single" w:color="auto" w:sz="4" w:space="0"/>
              <w:bottom w:val="single" w:color="auto" w:sz="4" w:space="0"/>
              <w:right w:val="single" w:color="auto" w:sz="4" w:space="0"/>
            </w:tcBorders>
            <w:vAlign w:val="center"/>
          </w:tcPr>
          <w:p w14:paraId="052AF082">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w:t>
            </w:r>
          </w:p>
        </w:tc>
        <w:tc>
          <w:tcPr>
            <w:tcW w:w="945" w:type="pct"/>
            <w:tcBorders>
              <w:top w:val="single" w:color="auto" w:sz="4" w:space="0"/>
              <w:left w:val="single" w:color="auto" w:sz="4" w:space="0"/>
              <w:bottom w:val="single" w:color="auto" w:sz="4" w:space="0"/>
              <w:right w:val="single" w:color="auto" w:sz="4" w:space="0"/>
            </w:tcBorders>
            <w:vAlign w:val="center"/>
          </w:tcPr>
          <w:p w14:paraId="5B594DEB">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936" w:type="pct"/>
            <w:tcBorders>
              <w:top w:val="single" w:color="auto" w:sz="4" w:space="0"/>
              <w:left w:val="single" w:color="auto" w:sz="4" w:space="0"/>
              <w:bottom w:val="single" w:color="auto" w:sz="4" w:space="0"/>
              <w:right w:val="single" w:color="auto" w:sz="4" w:space="0"/>
            </w:tcBorders>
            <w:vAlign w:val="center"/>
          </w:tcPr>
          <w:p w14:paraId="485ECD93">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667" w:type="pct"/>
            <w:tcBorders>
              <w:top w:val="single" w:color="auto" w:sz="4" w:space="0"/>
              <w:left w:val="single" w:color="auto" w:sz="4" w:space="0"/>
              <w:bottom w:val="single" w:color="auto" w:sz="4" w:space="0"/>
              <w:right w:val="single" w:color="auto" w:sz="4" w:space="0"/>
            </w:tcBorders>
            <w:vAlign w:val="center"/>
          </w:tcPr>
          <w:p w14:paraId="389A24B2">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516" w:type="pct"/>
            <w:tcBorders>
              <w:top w:val="single" w:color="auto" w:sz="4" w:space="0"/>
              <w:left w:val="single" w:color="auto" w:sz="4" w:space="0"/>
              <w:bottom w:val="single" w:color="auto" w:sz="4" w:space="0"/>
              <w:right w:val="single" w:color="auto" w:sz="4" w:space="0"/>
            </w:tcBorders>
            <w:vAlign w:val="center"/>
          </w:tcPr>
          <w:p w14:paraId="4982469A">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664" w:type="pct"/>
            <w:tcBorders>
              <w:top w:val="single" w:color="auto" w:sz="4" w:space="0"/>
              <w:left w:val="single" w:color="auto" w:sz="4" w:space="0"/>
              <w:bottom w:val="single" w:color="auto" w:sz="4" w:space="0"/>
              <w:right w:val="single" w:color="auto" w:sz="4" w:space="0"/>
            </w:tcBorders>
            <w:vAlign w:val="center"/>
          </w:tcPr>
          <w:p w14:paraId="25DB6561">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784" w:type="pct"/>
            <w:tcBorders>
              <w:top w:val="single" w:color="auto" w:sz="4" w:space="0"/>
              <w:left w:val="single" w:color="auto" w:sz="4" w:space="0"/>
              <w:bottom w:val="single" w:color="auto" w:sz="4" w:space="0"/>
              <w:right w:val="single" w:color="auto" w:sz="4" w:space="0"/>
            </w:tcBorders>
          </w:tcPr>
          <w:p w14:paraId="6CCCEF23">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r w14:paraId="4FF21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484" w:type="pct"/>
            <w:tcBorders>
              <w:top w:val="single" w:color="auto" w:sz="4" w:space="0"/>
              <w:left w:val="single" w:color="auto" w:sz="4" w:space="0"/>
              <w:bottom w:val="single" w:color="auto" w:sz="4" w:space="0"/>
              <w:right w:val="single" w:color="auto" w:sz="4" w:space="0"/>
            </w:tcBorders>
            <w:vAlign w:val="center"/>
          </w:tcPr>
          <w:p w14:paraId="2BFE288E">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w:t>
            </w:r>
          </w:p>
        </w:tc>
        <w:tc>
          <w:tcPr>
            <w:tcW w:w="945" w:type="pct"/>
            <w:tcBorders>
              <w:top w:val="single" w:color="auto" w:sz="4" w:space="0"/>
              <w:left w:val="single" w:color="auto" w:sz="4" w:space="0"/>
              <w:bottom w:val="single" w:color="auto" w:sz="4" w:space="0"/>
              <w:right w:val="single" w:color="auto" w:sz="4" w:space="0"/>
            </w:tcBorders>
            <w:vAlign w:val="center"/>
          </w:tcPr>
          <w:p w14:paraId="5066ABE6">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936" w:type="pct"/>
            <w:tcBorders>
              <w:top w:val="single" w:color="auto" w:sz="4" w:space="0"/>
              <w:left w:val="single" w:color="auto" w:sz="4" w:space="0"/>
              <w:bottom w:val="single" w:color="auto" w:sz="4" w:space="0"/>
              <w:right w:val="single" w:color="auto" w:sz="4" w:space="0"/>
            </w:tcBorders>
            <w:vAlign w:val="center"/>
          </w:tcPr>
          <w:p w14:paraId="7C4D3435">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667" w:type="pct"/>
            <w:tcBorders>
              <w:top w:val="single" w:color="auto" w:sz="4" w:space="0"/>
              <w:left w:val="single" w:color="auto" w:sz="4" w:space="0"/>
              <w:bottom w:val="single" w:color="auto" w:sz="4" w:space="0"/>
              <w:right w:val="single" w:color="auto" w:sz="4" w:space="0"/>
            </w:tcBorders>
            <w:vAlign w:val="center"/>
          </w:tcPr>
          <w:p w14:paraId="01EBB2DA">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516" w:type="pct"/>
            <w:tcBorders>
              <w:top w:val="single" w:color="auto" w:sz="4" w:space="0"/>
              <w:left w:val="single" w:color="auto" w:sz="4" w:space="0"/>
              <w:bottom w:val="single" w:color="auto" w:sz="4" w:space="0"/>
              <w:right w:val="single" w:color="auto" w:sz="4" w:space="0"/>
            </w:tcBorders>
            <w:vAlign w:val="center"/>
          </w:tcPr>
          <w:p w14:paraId="5B1791D4">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664" w:type="pct"/>
            <w:tcBorders>
              <w:top w:val="single" w:color="auto" w:sz="4" w:space="0"/>
              <w:left w:val="single" w:color="auto" w:sz="4" w:space="0"/>
              <w:bottom w:val="single" w:color="auto" w:sz="4" w:space="0"/>
              <w:right w:val="single" w:color="auto" w:sz="4" w:space="0"/>
            </w:tcBorders>
            <w:vAlign w:val="center"/>
          </w:tcPr>
          <w:p w14:paraId="32426149">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c>
          <w:tcPr>
            <w:tcW w:w="784" w:type="pct"/>
            <w:tcBorders>
              <w:top w:val="single" w:color="auto" w:sz="4" w:space="0"/>
              <w:left w:val="single" w:color="auto" w:sz="4" w:space="0"/>
              <w:bottom w:val="single" w:color="auto" w:sz="4" w:space="0"/>
              <w:right w:val="single" w:color="auto" w:sz="4" w:space="0"/>
            </w:tcBorders>
          </w:tcPr>
          <w:p w14:paraId="379AFD3E">
            <w:pPr>
              <w:spacing w:line="360" w:lineRule="auto"/>
              <w:jc w:val="center"/>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tc>
      </w:tr>
    </w:tbl>
    <w:p w14:paraId="157E68DF">
      <w:pPr>
        <w:pStyle w:val="12"/>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注：</w:t>
      </w:r>
    </w:p>
    <w:p w14:paraId="2D89F506">
      <w:pPr>
        <w:pStyle w:val="36"/>
        <w:spacing w:line="360" w:lineRule="auto"/>
        <w:ind w:firstLine="0"/>
        <w:rPr>
          <w:rFonts w:hint="default" w:ascii="Times New Roman Regular" w:hAnsi="Times New Roman Regular" w:eastAsia="宋体" w:cs="Times New Roman Regular"/>
          <w:bCs/>
          <w:color w:val="000000" w:themeColor="text1"/>
          <w:kern w:val="2"/>
          <w:sz w:val="21"/>
          <w:szCs w:val="21"/>
          <w:highlight w:val="none"/>
          <w14:textFill>
            <w14:solidFill>
              <w14:schemeClr w14:val="tx1"/>
            </w14:solidFill>
          </w14:textFill>
        </w:rPr>
      </w:pPr>
      <w:r>
        <w:rPr>
          <w:rFonts w:hint="default" w:ascii="Times New Roman Regular" w:hAnsi="Times New Roman Regular" w:eastAsia="宋体" w:cs="Times New Roman Regular"/>
          <w:bCs/>
          <w:color w:val="000000" w:themeColor="text1"/>
          <w:kern w:val="2"/>
          <w:sz w:val="21"/>
          <w:szCs w:val="21"/>
          <w:highlight w:val="none"/>
          <w14:textFill>
            <w14:solidFill>
              <w14:schemeClr w14:val="tx1"/>
            </w14:solidFill>
          </w14:textFill>
        </w:rPr>
        <w:t>1、投标人须根据第三章《评标办法》业绩得分要求，如实提供证明以上业绩的证明材料。</w:t>
      </w:r>
    </w:p>
    <w:p w14:paraId="2089C1FF">
      <w:pPr>
        <w:spacing w:line="360" w:lineRule="auto"/>
        <w:rPr>
          <w:rFonts w:hint="default" w:ascii="Times New Roman Regular" w:hAnsi="Times New Roman Regular" w:eastAsia="宋体" w:cs="Times New Roman Regular"/>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2、投标人</w:t>
      </w:r>
      <w:r>
        <w:rPr>
          <w:rFonts w:hint="default" w:ascii="Times New Roman Regular" w:hAnsi="Times New Roman Regular" w:eastAsia="宋体" w:cs="Times New Roman Regular"/>
          <w:bCs/>
          <w:color w:val="000000" w:themeColor="text1"/>
          <w:szCs w:val="21"/>
          <w:highlight w:val="none"/>
          <w14:textFill>
            <w14:solidFill>
              <w14:schemeClr w14:val="tx1"/>
            </w14:solidFill>
          </w14:textFill>
        </w:rPr>
        <w:t>需按照表格的顺序装订证明材料，装订顺序须与表中所列项目顺序一致。</w:t>
      </w:r>
    </w:p>
    <w:p w14:paraId="5FE40CCE">
      <w:pPr>
        <w:spacing w:line="360" w:lineRule="auto"/>
        <w:rPr>
          <w:rFonts w:hint="default" w:ascii="Times New Roman Regular" w:hAnsi="Times New Roman Regular" w:eastAsia="宋体" w:cs="Times New Roman Regular"/>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Cs/>
          <w:color w:val="000000" w:themeColor="text1"/>
          <w:szCs w:val="21"/>
          <w:highlight w:val="none"/>
          <w14:textFill>
            <w14:solidFill>
              <w14:schemeClr w14:val="tx1"/>
            </w14:solidFill>
          </w14:textFill>
        </w:rPr>
        <w:t>3、投标人需在案例证明材料中标明重点内容，例如合同签约主体、项目名称等。</w:t>
      </w:r>
    </w:p>
    <w:p w14:paraId="4ACC2B61">
      <w:pPr>
        <w:spacing w:line="360" w:lineRule="auto"/>
        <w:rPr>
          <w:rFonts w:hint="default" w:ascii="Times New Roman Regular" w:hAnsi="Times New Roman Regular" w:eastAsia="宋体" w:cs="Times New Roman Regular"/>
          <w:b/>
          <w:bCs/>
          <w:color w:val="000000" w:themeColor="text1"/>
          <w:highlight w:val="none"/>
          <w14:textFill>
            <w14:solidFill>
              <w14:schemeClr w14:val="tx1"/>
            </w14:solidFill>
          </w14:textFill>
        </w:rPr>
      </w:pPr>
      <w:r>
        <w:rPr>
          <w:rFonts w:hint="default" w:ascii="Times New Roman Regular" w:hAnsi="Times New Roman Regular" w:eastAsia="宋体" w:cs="Times New Roman Regular"/>
          <w:bCs/>
          <w:color w:val="000000" w:themeColor="text1"/>
          <w:szCs w:val="21"/>
          <w:highlight w:val="none"/>
          <w14:textFill>
            <w14:solidFill>
              <w14:schemeClr w14:val="tx1"/>
            </w14:solidFill>
          </w14:textFill>
        </w:rPr>
        <w:t>4、</w:t>
      </w:r>
      <w:r>
        <w:rPr>
          <w:rFonts w:hint="default" w:ascii="Times New Roman Regular" w:hAnsi="Times New Roman Regular" w:eastAsia="宋体" w:cs="Times New Roman Regular"/>
          <w:b/>
          <w:bCs/>
          <w:color w:val="000000" w:themeColor="text1"/>
          <w:highlight w:val="none"/>
          <w14:textFill>
            <w14:solidFill>
              <w14:schemeClr w14:val="tx1"/>
            </w14:solidFill>
          </w14:textFill>
        </w:rPr>
        <w:t>涉及商业秘密的内容，可进行遮盖复印，但必须包括以上第1条要求的内容以及合同/协议各方主体名称。因投标人原因造成评标委员会无法准确判定案例是否有效的情况，投标人自行承担责任。</w:t>
      </w:r>
    </w:p>
    <w:p w14:paraId="15A8FB56">
      <w:pPr>
        <w:spacing w:line="360" w:lineRule="auto"/>
        <w:rPr>
          <w:rFonts w:hint="default" w:ascii="Times New Roman Regular" w:hAnsi="Times New Roman Regular" w:eastAsia="宋体" w:cs="Times New Roman Regular"/>
          <w:b/>
          <w:bCs/>
          <w:color w:val="000000" w:themeColor="text1"/>
          <w:highlight w:val="none"/>
          <w14:textFill>
            <w14:solidFill>
              <w14:schemeClr w14:val="tx1"/>
            </w14:solidFill>
          </w14:textFill>
        </w:rPr>
      </w:pPr>
    </w:p>
    <w:p w14:paraId="0EBED695">
      <w:pPr>
        <w:spacing w:line="360" w:lineRule="auto"/>
        <w:rPr>
          <w:rFonts w:hint="default" w:ascii="Times New Roman Regular" w:hAnsi="Times New Roman Regular" w:eastAsia="宋体" w:cs="Times New Roman Regular"/>
          <w:color w:val="000000" w:themeColor="text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投标人名称（公章）：</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4A3AB86B">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授权代理人（签字）：</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r>
        <w:rPr>
          <w:rFonts w:hint="default" w:ascii="Times New Roman Regular" w:hAnsi="Times New Roman Regular" w:eastAsia="宋体" w:cs="Times New Roman Regular"/>
          <w:color w:val="000000" w:themeColor="text1"/>
          <w:highlight w:val="none"/>
          <w14:textFill>
            <w14:solidFill>
              <w14:schemeClr w14:val="tx1"/>
            </w14:solidFill>
          </w14:textFill>
        </w:rPr>
        <w:t xml:space="preserve"> </w:t>
      </w:r>
    </w:p>
    <w:p w14:paraId="18E4310D">
      <w:pPr>
        <w:spacing w:line="360" w:lineRule="auto"/>
        <w:jc w:val="center"/>
        <w:outlineLvl w:val="9"/>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54373E89">
      <w:pPr>
        <w:spacing w:line="360" w:lineRule="auto"/>
        <w:jc w:val="center"/>
        <w:outlineLvl w:val="9"/>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6D59222A">
      <w:pPr>
        <w:spacing w:line="360" w:lineRule="auto"/>
        <w:jc w:val="center"/>
        <w:outlineLvl w:val="9"/>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7740A1DC">
      <w:pPr>
        <w:spacing w:line="360" w:lineRule="auto"/>
        <w:jc w:val="center"/>
        <w:outlineLvl w:val="9"/>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7F559D05">
      <w:pPr>
        <w:spacing w:line="360" w:lineRule="auto"/>
        <w:jc w:val="center"/>
        <w:outlineLvl w:val="9"/>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256AABE8">
      <w:pPr>
        <w:spacing w:line="360" w:lineRule="auto"/>
        <w:jc w:val="center"/>
        <w:outlineLvl w:val="9"/>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786B603E">
      <w:pPr>
        <w:spacing w:line="360" w:lineRule="auto"/>
        <w:jc w:val="center"/>
        <w:outlineLvl w:val="9"/>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16C141CE">
      <w:pPr>
        <w:spacing w:line="360" w:lineRule="auto"/>
        <w:jc w:val="center"/>
        <w:outlineLvl w:val="0"/>
        <w:rPr>
          <w:rFonts w:hint="default" w:ascii="Times New Roman Regular" w:hAnsi="Times New Roman Regular" w:eastAsia="宋体" w:cs="Times New Roman Regular"/>
          <w:b/>
          <w:color w:val="000000" w:themeColor="text1"/>
          <w:highlight w:val="none"/>
          <w:lang w:val="en-US" w:eastAsia="zh-CN"/>
          <w14:textFill>
            <w14:solidFill>
              <w14:schemeClr w14:val="tx1"/>
            </w14:solidFill>
          </w14:textFill>
        </w:rPr>
      </w:pPr>
      <w:bookmarkStart w:id="141" w:name="_Toc498760882"/>
      <w:r>
        <w:rPr>
          <w:rFonts w:hint="default" w:ascii="Times New Roman Regular" w:hAnsi="Times New Roman Regular" w:eastAsia="宋体" w:cs="Times New Roman Regular"/>
          <w:b/>
          <w:color w:val="000000" w:themeColor="text1"/>
          <w:highlight w:val="none"/>
          <w14:textFill>
            <w14:solidFill>
              <w14:schemeClr w14:val="tx1"/>
            </w14:solidFill>
          </w14:textFill>
        </w:rPr>
        <w:t>7-</w:t>
      </w:r>
      <w:r>
        <w:rPr>
          <w:rFonts w:hint="default" w:ascii="Times New Roman Regular" w:hAnsi="Times New Roman Regular" w:eastAsia="宋体" w:cs="Times New Roman Regular"/>
          <w:b/>
          <w:color w:val="000000" w:themeColor="text1"/>
          <w:highlight w:val="none"/>
          <w:lang w:val="en-US" w:eastAsia="zh-CN"/>
          <w14:textFill>
            <w14:solidFill>
              <w14:schemeClr w14:val="tx1"/>
            </w14:solidFill>
          </w14:textFill>
        </w:rPr>
        <w:t>8</w:t>
      </w:r>
      <w:r>
        <w:rPr>
          <w:rFonts w:hint="default" w:ascii="Times New Roman Regular" w:hAnsi="Times New Roman Regular" w:eastAsia="宋体" w:cs="Times New Roman Regular"/>
          <w:b/>
          <w:color w:val="000000" w:themeColor="text1"/>
          <w:highlight w:val="none"/>
          <w14:textFill>
            <w14:solidFill>
              <w14:schemeClr w14:val="tx1"/>
            </w14:solidFill>
          </w14:textFill>
        </w:rPr>
        <w:t xml:space="preserve"> 承诺书</w:t>
      </w:r>
      <w:bookmarkEnd w:id="141"/>
      <w:r>
        <w:rPr>
          <w:rFonts w:hint="default" w:ascii="Times New Roman Regular" w:hAnsi="Times New Roman Regular" w:eastAsia="宋体" w:cs="Times New Roman Regular"/>
          <w:b/>
          <w:color w:val="000000" w:themeColor="text1"/>
          <w:highlight w:val="none"/>
          <w:lang w:eastAsia="zh-CN"/>
          <w14:textFill>
            <w14:solidFill>
              <w14:schemeClr w14:val="tx1"/>
            </w14:solidFill>
          </w14:textFill>
        </w:rPr>
        <w:t>（</w:t>
      </w:r>
      <w:r>
        <w:rPr>
          <w:rFonts w:hint="default" w:ascii="Times New Roman Regular" w:hAnsi="Times New Roman Regular" w:eastAsia="宋体" w:cs="Times New Roman Regular"/>
          <w:b/>
          <w:color w:val="000000" w:themeColor="text1"/>
          <w:highlight w:val="none"/>
          <w:lang w:val="en-US" w:eastAsia="zh-CN"/>
          <w14:textFill>
            <w14:solidFill>
              <w14:schemeClr w14:val="tx1"/>
            </w14:solidFill>
          </w14:textFill>
        </w:rPr>
        <w:t>参考格式）</w:t>
      </w:r>
    </w:p>
    <w:p w14:paraId="1BEB9091">
      <w:pPr>
        <w:spacing w:line="360" w:lineRule="auto"/>
        <w:ind w:firstLine="420" w:firstLineChars="200"/>
        <w:rPr>
          <w:rFonts w:hint="default" w:ascii="Times New Roman Regular" w:hAnsi="Times New Roman Regular" w:eastAsia="宋体" w:cs="Times New Roman Regular"/>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Cs/>
          <w:color w:val="000000" w:themeColor="text1"/>
          <w:szCs w:val="21"/>
          <w:highlight w:val="none"/>
          <w14:textFill>
            <w14:solidFill>
              <w14:schemeClr w14:val="tx1"/>
            </w14:solidFill>
          </w14:textFill>
        </w:rPr>
        <w:t>我方为参与</w:t>
      </w:r>
      <w:r>
        <w:rPr>
          <w:rFonts w:hint="eastAsia" w:ascii="Times New Roman Regular" w:hAnsi="Times New Roman Regular" w:cs="Times New Roman Regular"/>
          <w:bCs/>
          <w:color w:val="000000" w:themeColor="text1"/>
          <w:szCs w:val="21"/>
          <w:highlight w:val="none"/>
          <w:lang w:eastAsia="zh-CN"/>
          <w14:textFill>
            <w14:solidFill>
              <w14:schemeClr w14:val="tx1"/>
            </w14:solidFill>
          </w14:textFill>
        </w:rPr>
        <w:t>成方金科上海分公司数据平台系统实时监测技术服务采购项目</w:t>
      </w:r>
      <w:r>
        <w:rPr>
          <w:rFonts w:hint="default" w:ascii="Times New Roman Regular" w:hAnsi="Times New Roman Regular" w:eastAsia="宋体" w:cs="Times New Roman Regular"/>
          <w:bCs/>
          <w:color w:val="000000" w:themeColor="text1"/>
          <w:szCs w:val="21"/>
          <w:highlight w:val="none"/>
          <w14:textFill>
            <w14:solidFill>
              <w14:schemeClr w14:val="tx1"/>
            </w14:solidFill>
          </w14:textFill>
        </w:rPr>
        <w:t>国内公开招标采购的投标人。</w:t>
      </w:r>
    </w:p>
    <w:p w14:paraId="5EB4E6B9">
      <w:pPr>
        <w:spacing w:line="360" w:lineRule="auto"/>
        <w:ind w:firstLine="420" w:firstLineChars="200"/>
        <w:rPr>
          <w:rFonts w:hint="default" w:ascii="Times New Roman Regular" w:hAnsi="Times New Roman Regular" w:eastAsia="宋体" w:cs="Times New Roman Regular"/>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Cs/>
          <w:color w:val="000000" w:themeColor="text1"/>
          <w:szCs w:val="21"/>
          <w:highlight w:val="none"/>
          <w14:textFill>
            <w14:solidFill>
              <w14:schemeClr w14:val="tx1"/>
            </w14:solidFill>
          </w14:textFill>
        </w:rPr>
        <w:t>我方在此郑重承诺：</w:t>
      </w:r>
    </w:p>
    <w:p w14:paraId="2753E9DC">
      <w:pPr>
        <w:spacing w:line="360" w:lineRule="auto"/>
        <w:ind w:firstLine="422" w:firstLineChars="200"/>
        <w:rPr>
          <w:rFonts w:hint="default" w:ascii="Times New Roman Regular" w:hAnsi="Times New Roman Regular" w:eastAsia="宋体" w:cs="Times New Roman Regular"/>
          <w:b/>
          <w:bCs w:val="0"/>
          <w:color w:val="000000" w:themeColor="text1"/>
          <w:szCs w:val="21"/>
          <w:highlight w:val="none"/>
          <w:lang w:val="en-US" w:eastAsia="zh-CN"/>
          <w14:textFill>
            <w14:solidFill>
              <w14:schemeClr w14:val="tx1"/>
            </w14:solidFill>
          </w14:textFill>
        </w:rPr>
      </w:pPr>
      <w:r>
        <w:rPr>
          <w:rFonts w:hint="default" w:ascii="Times New Roman Regular" w:hAnsi="Times New Roman Regular" w:eastAsia="宋体" w:cs="Times New Roman Regular"/>
          <w:b/>
          <w:bCs w:val="0"/>
          <w:color w:val="000000" w:themeColor="text1"/>
          <w:szCs w:val="21"/>
          <w:highlight w:val="none"/>
          <w:lang w:val="en-US" w:eastAsia="zh-CN"/>
          <w14:textFill>
            <w14:solidFill>
              <w14:schemeClr w14:val="tx1"/>
            </w14:solidFill>
          </w14:textFill>
        </w:rPr>
        <w:t>1、</w:t>
      </w:r>
      <w:r>
        <w:rPr>
          <w:rFonts w:hint="eastAsia" w:ascii="Times New Roman Regular" w:hAnsi="Times New Roman Regular" w:eastAsia="宋体" w:cs="Times New Roman Regular"/>
          <w:b/>
          <w:bCs w:val="0"/>
          <w:color w:val="000000" w:themeColor="text1"/>
          <w:szCs w:val="21"/>
          <w:highlight w:val="none"/>
          <w:lang w:val="en-US" w:eastAsia="zh-CN"/>
          <w14:textFill>
            <w14:solidFill>
              <w14:schemeClr w14:val="tx1"/>
            </w14:solidFill>
          </w14:textFill>
        </w:rPr>
        <w:t>我司对本</w:t>
      </w:r>
      <w:r>
        <w:rPr>
          <w:rFonts w:hint="default" w:ascii="Times New Roman Regular" w:hAnsi="Times New Roman Regular" w:eastAsia="宋体" w:cs="Times New Roman Regular"/>
          <w:b/>
          <w:bCs w:val="0"/>
          <w:color w:val="000000" w:themeColor="text1"/>
          <w:szCs w:val="21"/>
          <w:highlight w:val="none"/>
          <w:lang w:val="en-US" w:eastAsia="zh-CN"/>
          <w14:textFill>
            <w14:solidFill>
              <w14:schemeClr w14:val="tx1"/>
            </w14:solidFill>
          </w14:textFill>
        </w:rPr>
        <w:t>项目基于系统已有技术架构进行开发，内容包含：</w:t>
      </w:r>
      <w:r>
        <w:rPr>
          <w:rFonts w:hint="eastAsia" w:ascii="Times New Roman Regular" w:hAnsi="Times New Roman Regular" w:eastAsia="宋体" w:cs="Times New Roman Regular"/>
          <w:b/>
          <w:bCs w:val="0"/>
          <w:color w:val="000000" w:themeColor="text1"/>
          <w:szCs w:val="21"/>
          <w:highlight w:val="none"/>
          <w:lang w:val="en-US" w:eastAsia="zh-CN"/>
          <w14:textFill>
            <w14:solidFill>
              <w14:schemeClr w14:val="tx1"/>
            </w14:solidFill>
          </w14:textFill>
        </w:rPr>
        <w:t>（</w:t>
      </w:r>
      <w:r>
        <w:rPr>
          <w:rFonts w:hint="default" w:ascii="Times New Roman Regular" w:hAnsi="Times New Roman Regular" w:eastAsia="宋体" w:cs="Times New Roman Regular"/>
          <w:b/>
          <w:bCs w:val="0"/>
          <w:color w:val="000000" w:themeColor="text1"/>
          <w:szCs w:val="21"/>
          <w:highlight w:val="none"/>
          <w:lang w:val="en-US" w:eastAsia="zh-CN"/>
          <w14:textFill>
            <w14:solidFill>
              <w14:schemeClr w14:val="tx1"/>
            </w14:solidFill>
          </w14:textFill>
        </w:rPr>
        <w:t>1）批处理技术：基于Maxcomputer+Dataworks、Datahub+Flink+Hologres开发，实时处理数据；</w:t>
      </w:r>
      <w:r>
        <w:rPr>
          <w:rFonts w:hint="eastAsia" w:ascii="Times New Roman Regular" w:hAnsi="Times New Roman Regular" w:eastAsia="宋体" w:cs="Times New Roman Regular"/>
          <w:b/>
          <w:bCs w:val="0"/>
          <w:color w:val="000000" w:themeColor="text1"/>
          <w:szCs w:val="21"/>
          <w:highlight w:val="none"/>
          <w:lang w:val="en-US" w:eastAsia="zh-CN"/>
          <w14:textFill>
            <w14:solidFill>
              <w14:schemeClr w14:val="tx1"/>
            </w14:solidFill>
          </w14:textFill>
        </w:rPr>
        <w:t>（</w:t>
      </w:r>
      <w:r>
        <w:rPr>
          <w:rFonts w:hint="default" w:ascii="Times New Roman Regular" w:hAnsi="Times New Roman Regular" w:eastAsia="宋体" w:cs="Times New Roman Regular"/>
          <w:b/>
          <w:bCs w:val="0"/>
          <w:color w:val="000000" w:themeColor="text1"/>
          <w:szCs w:val="21"/>
          <w:highlight w:val="none"/>
          <w:lang w:val="en-US" w:eastAsia="zh-CN"/>
          <w14:textFill>
            <w14:solidFill>
              <w14:schemeClr w14:val="tx1"/>
            </w14:solidFill>
          </w14:textFill>
        </w:rPr>
        <w:t>2）前后端框架：前端框架基于开源vue开发，后端基于java主流框架开发，采用 MyBatis框架对数据库进行操作。</w:t>
      </w:r>
    </w:p>
    <w:p w14:paraId="160A3773">
      <w:pPr>
        <w:spacing w:line="360" w:lineRule="auto"/>
        <w:ind w:firstLine="422" w:firstLineChars="200"/>
        <w:rPr>
          <w:rFonts w:hint="eastAsia" w:ascii="Times New Roman Regular" w:hAnsi="Times New Roman Regular" w:eastAsia="宋体" w:cs="Times New Roman Regular"/>
          <w:b/>
          <w:bCs w:val="0"/>
          <w:color w:val="000000" w:themeColor="text1"/>
          <w:szCs w:val="21"/>
          <w:highlight w:val="none"/>
          <w:lang w:val="en-US" w:eastAsia="zh-CN"/>
          <w14:textFill>
            <w14:solidFill>
              <w14:schemeClr w14:val="tx1"/>
            </w14:solidFill>
          </w14:textFill>
        </w:rPr>
      </w:pPr>
      <w:r>
        <w:rPr>
          <w:rFonts w:hint="eastAsia" w:ascii="Times New Roman Regular" w:hAnsi="Times New Roman Regular" w:cs="Times New Roman Regular"/>
          <w:b/>
          <w:bCs w:val="0"/>
          <w:color w:val="000000" w:themeColor="text1"/>
          <w:szCs w:val="21"/>
          <w:highlight w:val="none"/>
          <w:lang w:val="en-US" w:eastAsia="zh-CN"/>
          <w14:textFill>
            <w14:solidFill>
              <w14:schemeClr w14:val="tx1"/>
            </w14:solidFill>
          </w14:textFill>
        </w:rPr>
        <w:t>2、</w:t>
      </w:r>
      <w:r>
        <w:rPr>
          <w:rFonts w:hint="eastAsia" w:ascii="Times New Roman Regular" w:hAnsi="Times New Roman Regular" w:eastAsia="宋体" w:cs="Times New Roman Regular"/>
          <w:b/>
          <w:bCs w:val="0"/>
          <w:color w:val="000000" w:themeColor="text1"/>
          <w:szCs w:val="21"/>
          <w:highlight w:val="none"/>
          <w:lang w:val="en-US" w:eastAsia="zh-CN"/>
          <w14:textFill>
            <w14:solidFill>
              <w14:schemeClr w14:val="tx1"/>
            </w14:solidFill>
          </w14:textFill>
        </w:rPr>
        <w:t>支持现有市场上主要服务器厂商的主流服务器，芯片架构包括但不限于X86、C86、ARM等，必须支持市面上主流</w:t>
      </w:r>
      <w:r>
        <w:rPr>
          <w:rFonts w:hint="default" w:ascii="Times New Roman Regular" w:hAnsi="Times New Roman Regular" w:eastAsia="宋体" w:cs="Times New Roman Regular"/>
          <w:b/>
          <w:bCs w:val="0"/>
          <w:color w:val="000000" w:themeColor="text1"/>
          <w:szCs w:val="21"/>
          <w:highlight w:val="none"/>
          <w:lang w:val="en-US" w:eastAsia="zh-CN"/>
          <w14:textFill>
            <w14:solidFill>
              <w14:schemeClr w14:val="tx1"/>
            </w14:solidFill>
          </w14:textFill>
        </w:rPr>
        <w:t>信创</w:t>
      </w:r>
      <w:r>
        <w:rPr>
          <w:rFonts w:hint="eastAsia" w:ascii="Times New Roman Regular" w:hAnsi="Times New Roman Regular" w:eastAsia="宋体" w:cs="Times New Roman Regular"/>
          <w:b/>
          <w:bCs w:val="0"/>
          <w:color w:val="000000" w:themeColor="text1"/>
          <w:szCs w:val="21"/>
          <w:highlight w:val="none"/>
          <w:lang w:val="en-US" w:eastAsia="zh-CN"/>
          <w14:textFill>
            <w14:solidFill>
              <w14:schemeClr w14:val="tx1"/>
            </w14:solidFill>
          </w14:textFill>
        </w:rPr>
        <w:t>芯片。</w:t>
      </w:r>
    </w:p>
    <w:p w14:paraId="158A05B1">
      <w:pPr>
        <w:spacing w:line="360" w:lineRule="auto"/>
        <w:ind w:firstLine="422" w:firstLineChars="200"/>
        <w:rPr>
          <w:rFonts w:hint="eastAsia" w:ascii="Times New Roman Regular" w:hAnsi="Times New Roman Regular" w:eastAsia="宋体" w:cs="Times New Roman Regular"/>
          <w:b/>
          <w:bCs w:val="0"/>
          <w:color w:val="000000" w:themeColor="text1"/>
          <w:szCs w:val="21"/>
          <w:highlight w:val="none"/>
          <w:lang w:val="en-US" w:eastAsia="zh-CN"/>
          <w14:textFill>
            <w14:solidFill>
              <w14:schemeClr w14:val="tx1"/>
            </w14:solidFill>
          </w14:textFill>
        </w:rPr>
      </w:pPr>
      <w:r>
        <w:rPr>
          <w:rFonts w:hint="eastAsia" w:ascii="Times New Roman Regular" w:hAnsi="Times New Roman Regular" w:cs="Times New Roman Regular"/>
          <w:b/>
          <w:bCs w:val="0"/>
          <w:color w:val="000000" w:themeColor="text1"/>
          <w:szCs w:val="21"/>
          <w:highlight w:val="none"/>
          <w:lang w:val="en-US" w:eastAsia="zh-CN"/>
          <w14:textFill>
            <w14:solidFill>
              <w14:schemeClr w14:val="tx1"/>
            </w14:solidFill>
          </w14:textFill>
        </w:rPr>
        <w:t>3、</w:t>
      </w:r>
      <w:r>
        <w:rPr>
          <w:rFonts w:hint="eastAsia" w:ascii="Times New Roman Regular" w:hAnsi="Times New Roman Regular" w:eastAsia="宋体" w:cs="Times New Roman Regular"/>
          <w:b/>
          <w:bCs w:val="0"/>
          <w:color w:val="000000" w:themeColor="text1"/>
          <w:szCs w:val="21"/>
          <w:highlight w:val="none"/>
          <w:lang w:val="en-US" w:eastAsia="zh-CN"/>
          <w14:textFill>
            <w14:solidFill>
              <w14:schemeClr w14:val="tx1"/>
            </w14:solidFill>
          </w14:textFill>
        </w:rPr>
        <w:t>所投软件产品应能够直接解析Oracle数据库的redo/archive日志文件，解析过程完全不依赖于Oracle数据库实例。</w:t>
      </w:r>
    </w:p>
    <w:p w14:paraId="6F4960B1">
      <w:pPr>
        <w:spacing w:line="360" w:lineRule="auto"/>
        <w:ind w:firstLine="422" w:firstLineChars="200"/>
        <w:rPr>
          <w:rFonts w:hint="default" w:ascii="Times New Roman Regular" w:hAnsi="Times New Roman Regular" w:eastAsia="宋体" w:cs="Times New Roman Regular"/>
          <w:b/>
          <w:bCs w:val="0"/>
          <w:color w:val="000000" w:themeColor="text1"/>
          <w:szCs w:val="21"/>
          <w:highlight w:val="none"/>
          <w:lang w:val="en-US" w:eastAsia="zh-CN"/>
          <w14:textFill>
            <w14:solidFill>
              <w14:schemeClr w14:val="tx1"/>
            </w14:solidFill>
          </w14:textFill>
        </w:rPr>
      </w:pPr>
      <w:r>
        <w:rPr>
          <w:rFonts w:hint="eastAsia" w:ascii="Times New Roman Regular" w:hAnsi="Times New Roman Regular" w:cs="Times New Roman Regular"/>
          <w:b/>
          <w:bCs w:val="0"/>
          <w:color w:val="000000" w:themeColor="text1"/>
          <w:szCs w:val="21"/>
          <w:highlight w:val="none"/>
          <w:lang w:val="en-US" w:eastAsia="zh-CN"/>
          <w14:textFill>
            <w14:solidFill>
              <w14:schemeClr w14:val="tx1"/>
            </w14:solidFill>
          </w14:textFill>
        </w:rPr>
        <w:t>4、</w:t>
      </w:r>
      <w:r>
        <w:rPr>
          <w:rFonts w:hint="default" w:ascii="Times New Roman Regular" w:hAnsi="Times New Roman Regular" w:eastAsia="宋体" w:cs="Times New Roman Regular"/>
          <w:b/>
          <w:bCs w:val="0"/>
          <w:color w:val="000000" w:themeColor="text1"/>
          <w:szCs w:val="21"/>
          <w:highlight w:val="none"/>
          <w:lang w:val="en-US" w:eastAsia="zh-CN"/>
          <w14:textFill>
            <w14:solidFill>
              <w14:schemeClr w14:val="tx1"/>
            </w14:solidFill>
          </w14:textFill>
        </w:rPr>
        <w:t>所投软件产品应满足：</w:t>
      </w:r>
      <w:r>
        <w:rPr>
          <w:rFonts w:hint="eastAsia" w:ascii="Times New Roman Regular" w:hAnsi="Times New Roman Regular" w:cs="Times New Roman Regular"/>
          <w:b/>
          <w:bCs w:val="0"/>
          <w:color w:val="000000" w:themeColor="text1"/>
          <w:szCs w:val="21"/>
          <w:highlight w:val="none"/>
          <w:lang w:val="en-US" w:eastAsia="zh-CN"/>
          <w14:textFill>
            <w14:solidFill>
              <w14:schemeClr w14:val="tx1"/>
            </w14:solidFill>
          </w14:textFill>
        </w:rPr>
        <w:t>（</w:t>
      </w:r>
      <w:r>
        <w:rPr>
          <w:rFonts w:hint="default" w:ascii="Times New Roman Regular" w:hAnsi="Times New Roman Regular" w:eastAsia="宋体" w:cs="Times New Roman Regular"/>
          <w:b/>
          <w:bCs w:val="0"/>
          <w:color w:val="000000" w:themeColor="text1"/>
          <w:szCs w:val="21"/>
          <w:highlight w:val="none"/>
          <w:lang w:val="en-US" w:eastAsia="zh-CN"/>
          <w14:textFill>
            <w14:solidFill>
              <w14:schemeClr w14:val="tx1"/>
            </w14:solidFill>
          </w14:textFill>
        </w:rPr>
        <w:t>1</w:t>
      </w:r>
      <w:r>
        <w:rPr>
          <w:rFonts w:hint="eastAsia" w:ascii="Times New Roman Regular" w:hAnsi="Times New Roman Regular" w:cs="Times New Roman Regular"/>
          <w:b/>
          <w:bCs w:val="0"/>
          <w:color w:val="000000" w:themeColor="text1"/>
          <w:szCs w:val="21"/>
          <w:highlight w:val="none"/>
          <w:lang w:val="en-US" w:eastAsia="zh-CN"/>
          <w14:textFill>
            <w14:solidFill>
              <w14:schemeClr w14:val="tx1"/>
            </w14:solidFill>
          </w14:textFill>
        </w:rPr>
        <w:t>）</w:t>
      </w:r>
      <w:r>
        <w:rPr>
          <w:rFonts w:hint="default" w:ascii="Times New Roman Regular" w:hAnsi="Times New Roman Regular" w:eastAsia="宋体" w:cs="Times New Roman Regular"/>
          <w:b/>
          <w:bCs w:val="0"/>
          <w:color w:val="000000" w:themeColor="text1"/>
          <w:szCs w:val="21"/>
          <w:highlight w:val="none"/>
          <w:lang w:val="en-US" w:eastAsia="zh-CN"/>
          <w14:textFill>
            <w14:solidFill>
              <w14:schemeClr w14:val="tx1"/>
            </w14:solidFill>
          </w14:textFill>
        </w:rPr>
        <w:t>必须同时支持结构化数据实时同步与非结构化文件同步任务。</w:t>
      </w:r>
      <w:r>
        <w:rPr>
          <w:rFonts w:hint="eastAsia" w:ascii="Times New Roman Regular" w:hAnsi="Times New Roman Regular" w:cs="Times New Roman Regular"/>
          <w:b/>
          <w:bCs w:val="0"/>
          <w:color w:val="000000" w:themeColor="text1"/>
          <w:szCs w:val="21"/>
          <w:highlight w:val="none"/>
          <w:lang w:val="en-US" w:eastAsia="zh-CN"/>
          <w14:textFill>
            <w14:solidFill>
              <w14:schemeClr w14:val="tx1"/>
            </w14:solidFill>
          </w14:textFill>
        </w:rPr>
        <w:t>（2）</w:t>
      </w:r>
      <w:r>
        <w:rPr>
          <w:rFonts w:hint="default" w:ascii="Times New Roman Regular" w:hAnsi="Times New Roman Regular" w:eastAsia="宋体" w:cs="Times New Roman Regular"/>
          <w:b/>
          <w:bCs w:val="0"/>
          <w:color w:val="000000" w:themeColor="text1"/>
          <w:szCs w:val="21"/>
          <w:highlight w:val="none"/>
          <w:lang w:val="en-US" w:eastAsia="zh-CN"/>
          <w14:textFill>
            <w14:solidFill>
              <w14:schemeClr w14:val="tx1"/>
            </w14:solidFill>
          </w14:textFill>
        </w:rPr>
        <w:t>支持从数据库的主库或备库进行日志解析读取。支持Oracle、MySQL、Opengauss、OceanBase、TDSQL、TiDB的实时同步。</w:t>
      </w:r>
    </w:p>
    <w:p w14:paraId="64969084">
      <w:pPr>
        <w:spacing w:line="360" w:lineRule="auto"/>
        <w:ind w:firstLine="422" w:firstLineChars="200"/>
        <w:rPr>
          <w:rFonts w:hint="default" w:ascii="Times New Roman Regular" w:hAnsi="Times New Roman Regular" w:cs="Times New Roman Regular"/>
          <w:b/>
          <w:bCs w:val="0"/>
          <w:color w:val="000000" w:themeColor="text1"/>
          <w:szCs w:val="21"/>
          <w:highlight w:val="none"/>
          <w:lang w:val="en-US" w:eastAsia="zh-CN"/>
          <w14:textFill>
            <w14:solidFill>
              <w14:schemeClr w14:val="tx1"/>
            </w14:solidFill>
          </w14:textFill>
        </w:rPr>
      </w:pPr>
      <w:r>
        <w:rPr>
          <w:rFonts w:hint="eastAsia" w:ascii="Times New Roman Regular" w:hAnsi="Times New Roman Regular" w:cs="Times New Roman Regular"/>
          <w:b/>
          <w:bCs w:val="0"/>
          <w:color w:val="000000" w:themeColor="text1"/>
          <w:szCs w:val="21"/>
          <w:highlight w:val="none"/>
          <w:lang w:val="en-US" w:eastAsia="zh-CN"/>
          <w14:textFill>
            <w14:solidFill>
              <w14:schemeClr w14:val="tx1"/>
            </w14:solidFill>
          </w14:textFill>
        </w:rPr>
        <w:t>5、</w:t>
      </w:r>
      <w:r>
        <w:rPr>
          <w:rFonts w:hint="default" w:ascii="Times New Roman Regular" w:hAnsi="Times New Roman Regular" w:cs="Times New Roman Regular"/>
          <w:b/>
          <w:bCs w:val="0"/>
          <w:color w:val="000000" w:themeColor="text1"/>
          <w:szCs w:val="21"/>
          <w:highlight w:val="none"/>
          <w:lang w:val="en-US" w:eastAsia="zh-CN"/>
          <w14:textFill>
            <w14:solidFill>
              <w14:schemeClr w14:val="tx1"/>
            </w14:solidFill>
          </w14:textFill>
        </w:rPr>
        <w:t>投标人须承诺所投软件产品为原厂全新正版，具备合法知识产权与使用授权。投标人作为供应商，须承担产品全部售后、升级服务及因知识产权问题产生的一切法律责任。</w:t>
      </w:r>
    </w:p>
    <w:p w14:paraId="77ACE6C8">
      <w:pPr>
        <w:spacing w:line="360" w:lineRule="auto"/>
        <w:ind w:firstLine="422" w:firstLineChars="200"/>
        <w:rPr>
          <w:rFonts w:hint="eastAsia" w:ascii="Times New Roman Regular" w:hAnsi="Times New Roman Regular" w:cs="Times New Roman Regular"/>
          <w:b/>
          <w:bCs w:val="0"/>
          <w:color w:val="000000" w:themeColor="text1"/>
          <w:szCs w:val="21"/>
          <w:highlight w:val="none"/>
          <w:lang w:val="en-US" w:eastAsia="zh-CN"/>
          <w14:textFill>
            <w14:solidFill>
              <w14:schemeClr w14:val="tx1"/>
            </w14:solidFill>
          </w14:textFill>
        </w:rPr>
      </w:pPr>
      <w:r>
        <w:rPr>
          <w:rFonts w:hint="eastAsia" w:ascii="Times New Roman Regular" w:hAnsi="Times New Roman Regular" w:cs="Times New Roman Regular"/>
          <w:b/>
          <w:bCs w:val="0"/>
          <w:color w:val="000000" w:themeColor="text1"/>
          <w:szCs w:val="21"/>
          <w:highlight w:val="none"/>
          <w:lang w:val="en-US" w:eastAsia="zh-CN"/>
          <w14:textFill>
            <w14:solidFill>
              <w14:schemeClr w14:val="tx1"/>
            </w14:solidFill>
          </w14:textFill>
        </w:rPr>
        <w:t>6、投标人须承诺所投软件产品许可应为永久场地许可，不限制用户/设备数量，非订阅授权模式，不绑定IP和MAC地址、不限单套所安装主机的CPU类型核数及其他硬件。此外，须为招标人的模拟环境、测试环境等非生产环境提供免费产品许可。</w:t>
      </w:r>
    </w:p>
    <w:p w14:paraId="633C57AB">
      <w:pPr>
        <w:pStyle w:val="2"/>
        <w:rPr>
          <w:rFonts w:hint="default" w:ascii="仿宋" w:hAnsi="仿宋" w:eastAsia="仿宋" w:cs="仿宋"/>
          <w:i w:val="0"/>
          <w:iCs w:val="0"/>
          <w:caps w:val="0"/>
          <w:color w:val="000000"/>
          <w:spacing w:val="0"/>
          <w:kern w:val="0"/>
          <w:sz w:val="24"/>
          <w:szCs w:val="24"/>
          <w:highlight w:val="none"/>
          <w:u w:val="none"/>
          <w:shd w:val="clear"/>
          <w:lang w:val="en-US" w:eastAsia="zh-CN" w:bidi="ar"/>
        </w:rPr>
      </w:pPr>
    </w:p>
    <w:p w14:paraId="517C31AF">
      <w:pPr>
        <w:spacing w:line="360" w:lineRule="auto"/>
        <w:ind w:firstLine="420" w:firstLineChars="200"/>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t>特此声明。</w:t>
      </w:r>
    </w:p>
    <w:p w14:paraId="1068CC76">
      <w:pPr>
        <w:spacing w:line="360" w:lineRule="auto"/>
        <w:ind w:firstLine="420" w:firstLineChars="200"/>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t>我方对上述声明的真实性负责。如有虚假，将依法承担相应责任。</w:t>
      </w:r>
    </w:p>
    <w:p w14:paraId="602AFAF7">
      <w:pPr>
        <w:spacing w:line="360" w:lineRule="auto"/>
        <w:ind w:firstLine="420" w:firstLineChars="200"/>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t>注：以上内容如有修改，视为未实质性响应本招标项目。</w:t>
      </w:r>
    </w:p>
    <w:p w14:paraId="0FCC0916">
      <w:pPr>
        <w:spacing w:line="360" w:lineRule="auto"/>
        <w:rPr>
          <w:rFonts w:hint="default" w:ascii="Times New Roman Regular" w:hAnsi="Times New Roman Regular" w:eastAsia="宋体" w:cs="Times New Roman Regular"/>
          <w:color w:val="000000" w:themeColor="text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投标人名称（公章）：</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4D6B26AD">
      <w:pPr>
        <w:spacing w:line="360" w:lineRule="auto"/>
        <w:rPr>
          <w:rFonts w:hint="default" w:ascii="Times New Roman Regular" w:hAnsi="Times New Roman Regular" w:eastAsia="宋体" w:cs="Times New Roman Regular"/>
          <w:color w:val="000000" w:themeColor="text1"/>
          <w:highlight w:val="none"/>
          <w:u w:val="single"/>
          <w14:textFill>
            <w14:solidFill>
              <w14:schemeClr w14:val="tx1"/>
            </w14:solidFill>
          </w14:textFill>
        </w:rPr>
      </w:pPr>
      <w:r>
        <w:rPr>
          <w:rFonts w:hint="default" w:ascii="Times New Roman Regular" w:hAnsi="Times New Roman Regular" w:eastAsia="宋体" w:cs="Times New Roman Regular"/>
          <w:color w:val="000000" w:themeColor="text1"/>
          <w:highlight w:val="none"/>
          <w14:textFill>
            <w14:solidFill>
              <w14:schemeClr w14:val="tx1"/>
            </w14:solidFill>
          </w14:textFill>
        </w:rPr>
        <w:t>授权代理人（签字）：</w:t>
      </w:r>
      <w:r>
        <w:rPr>
          <w:rFonts w:hint="default" w:ascii="Times New Roman Regular" w:hAnsi="Times New Roman Regular" w:eastAsia="宋体" w:cs="Times New Roman Regular"/>
          <w:color w:val="000000" w:themeColor="text1"/>
          <w:highlight w:val="none"/>
          <w:u w:val="single"/>
          <w14:textFill>
            <w14:solidFill>
              <w14:schemeClr w14:val="tx1"/>
            </w14:solidFill>
          </w14:textFill>
        </w:rPr>
        <w:t xml:space="preserve">                      </w:t>
      </w:r>
    </w:p>
    <w:p w14:paraId="6BB46773">
      <w:pPr>
        <w:rPr>
          <w:rFonts w:hint="default" w:ascii="Times New Roman Regular" w:hAnsi="Times New Roman Regular" w:eastAsia="宋体" w:cs="Times New Roman Regular"/>
          <w:b/>
          <w:color w:val="000000" w:themeColor="text1"/>
          <w:kern w:val="2"/>
          <w:sz w:val="21"/>
          <w:highlight w:val="none"/>
          <w:lang w:val="en-US" w:eastAsia="zh-CN" w:bidi="ar-SA"/>
          <w14:textFill>
            <w14:solidFill>
              <w14:schemeClr w14:val="tx1"/>
            </w14:solidFill>
          </w14:textFill>
        </w:rPr>
      </w:pPr>
      <w:bookmarkStart w:id="142" w:name="_Toc495241377"/>
      <w:r>
        <w:rPr>
          <w:rFonts w:hint="default" w:ascii="Times New Roman Regular" w:hAnsi="Times New Roman Regular" w:eastAsia="宋体" w:cs="Times New Roman Regular"/>
          <w:b/>
          <w:color w:val="000000" w:themeColor="text1"/>
          <w:kern w:val="2"/>
          <w:sz w:val="21"/>
          <w:highlight w:val="none"/>
          <w:lang w:val="en-US" w:eastAsia="zh-CN" w:bidi="ar-SA"/>
          <w14:textFill>
            <w14:solidFill>
              <w14:schemeClr w14:val="tx1"/>
            </w14:solidFill>
          </w14:textFill>
        </w:rPr>
        <w:br w:type="page"/>
      </w:r>
    </w:p>
    <w:bookmarkEnd w:id="142"/>
    <w:p w14:paraId="271955D1">
      <w:pPr>
        <w:spacing w:line="360" w:lineRule="auto"/>
        <w:jc w:val="center"/>
        <w:outlineLvl w:val="0"/>
        <w:rPr>
          <w:rFonts w:hint="default" w:ascii="Times New Roman Regular" w:hAnsi="Times New Roman Regular" w:eastAsia="宋体" w:cs="Times New Roman Regular"/>
          <w:b/>
          <w:color w:val="000000" w:themeColor="text1"/>
          <w:highlight w:val="none"/>
          <w14:textFill>
            <w14:solidFill>
              <w14:schemeClr w14:val="tx1"/>
            </w14:solidFill>
          </w14:textFill>
        </w:rPr>
      </w:pPr>
      <w:bookmarkStart w:id="143" w:name="_Toc703420988"/>
      <w:r>
        <w:rPr>
          <w:rFonts w:hint="default" w:ascii="Times New Roman Regular" w:hAnsi="Times New Roman Regular" w:eastAsia="宋体" w:cs="Times New Roman Regular"/>
          <w:b/>
          <w:color w:val="000000" w:themeColor="text1"/>
          <w:highlight w:val="none"/>
          <w14:textFill>
            <w14:solidFill>
              <w14:schemeClr w14:val="tx1"/>
            </w14:solidFill>
          </w14:textFill>
        </w:rPr>
        <w:t>7-</w:t>
      </w:r>
      <w:r>
        <w:rPr>
          <w:rFonts w:hint="default" w:ascii="Times New Roman Regular" w:hAnsi="Times New Roman Regular" w:eastAsia="宋体" w:cs="Times New Roman Regular"/>
          <w:b/>
          <w:color w:val="000000" w:themeColor="text1"/>
          <w:highlight w:val="none"/>
          <w:lang w:val="en-US" w:eastAsia="zh-CN"/>
          <w14:textFill>
            <w14:solidFill>
              <w14:schemeClr w14:val="tx1"/>
            </w14:solidFill>
          </w14:textFill>
        </w:rPr>
        <w:t>9</w:t>
      </w:r>
      <w:r>
        <w:rPr>
          <w:rFonts w:hint="default" w:ascii="Times New Roman Regular" w:hAnsi="Times New Roman Regular" w:eastAsia="宋体" w:cs="Times New Roman Regular"/>
          <w:b/>
          <w:color w:val="000000" w:themeColor="text1"/>
          <w:highlight w:val="none"/>
          <w14:textFill>
            <w14:solidFill>
              <w14:schemeClr w14:val="tx1"/>
            </w14:solidFill>
          </w14:textFill>
        </w:rPr>
        <w:t xml:space="preserve"> </w:t>
      </w:r>
      <w:bookmarkStart w:id="144" w:name="OLE_LINK3"/>
      <w:r>
        <w:rPr>
          <w:rFonts w:hint="default" w:ascii="Times New Roman Regular" w:hAnsi="Times New Roman Regular" w:eastAsia="宋体" w:cs="Times New Roman Regular"/>
          <w:b/>
          <w:color w:val="000000" w:themeColor="text1"/>
          <w:highlight w:val="none"/>
          <w14:textFill>
            <w14:solidFill>
              <w14:schemeClr w14:val="tx1"/>
            </w14:solidFill>
          </w14:textFill>
        </w:rPr>
        <w:t>保密承诺书</w:t>
      </w:r>
      <w:bookmarkEnd w:id="143"/>
      <w:bookmarkEnd w:id="144"/>
    </w:p>
    <w:p w14:paraId="11FE0BF2">
      <w:pPr>
        <w:widowControl/>
        <w:shd w:val="clear" w:color="auto" w:fill="FFFFFF"/>
        <w:spacing w:line="360" w:lineRule="auto"/>
        <w:ind w:firstLine="480"/>
        <w:jc w:val="center"/>
        <w:rPr>
          <w:rFonts w:hint="default" w:ascii="Times New Roman Regular" w:hAnsi="Times New Roman Regular" w:eastAsia="宋体" w:cs="Times New Roman Regular"/>
          <w:b/>
          <w:color w:val="000000" w:themeColor="text1"/>
          <w:szCs w:val="21"/>
          <w:highlight w:val="none"/>
          <w14:textFill>
            <w14:solidFill>
              <w14:schemeClr w14:val="tx1"/>
            </w14:solidFill>
          </w14:textFill>
        </w:rPr>
      </w:pPr>
    </w:p>
    <w:p w14:paraId="5A1CEE4C">
      <w:pPr>
        <w:widowControl/>
        <w:shd w:val="clear" w:color="auto" w:fill="FFFFFF"/>
        <w:spacing w:line="360" w:lineRule="auto"/>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lang w:eastAsia="zh-CN"/>
          <w14:textFill>
            <w14:solidFill>
              <w14:schemeClr w14:val="tx1"/>
            </w14:solidFill>
          </w14:textFill>
        </w:rPr>
        <w:t>成方金融科技有限公司</w:t>
      </w:r>
      <w:r>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t>：</w:t>
      </w:r>
    </w:p>
    <w:p w14:paraId="22EEB9F8">
      <w:pPr>
        <w:widowControl/>
        <w:shd w:val="clear" w:color="auto" w:fill="FFFFFF"/>
        <w:spacing w:line="360" w:lineRule="auto"/>
        <w:ind w:firstLine="480"/>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pPr>
    </w:p>
    <w:p w14:paraId="3B612933">
      <w:pPr>
        <w:widowControl/>
        <w:shd w:val="clear" w:color="auto" w:fill="FFFFFF"/>
        <w:spacing w:line="360" w:lineRule="auto"/>
        <w:ind w:firstLine="480"/>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t>鉴于我方自愿参加</w:t>
      </w:r>
      <w:r>
        <w:rPr>
          <w:rFonts w:hint="default" w:ascii="Times New Roman Regular" w:hAnsi="Times New Roman Regular" w:eastAsia="宋体" w:cs="Times New Roman Regular"/>
          <w:b/>
          <w:color w:val="000000" w:themeColor="text1"/>
          <w:szCs w:val="21"/>
          <w:highlight w:val="none"/>
          <w:u w:val="single"/>
          <w14:textFill>
            <w14:solidFill>
              <w14:schemeClr w14:val="tx1"/>
            </w14:solidFill>
          </w14:textFill>
        </w:rPr>
        <w:t>（项目名称）</w:t>
      </w:r>
      <w:r>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t>招标活动，我方现就有关保密义务事项做出如下承诺：</w:t>
      </w:r>
    </w:p>
    <w:p w14:paraId="197655A8">
      <w:pPr>
        <w:widowControl/>
        <w:shd w:val="clear" w:color="auto" w:fill="FFFFFF"/>
        <w:spacing w:line="360" w:lineRule="auto"/>
        <w:ind w:firstLine="480"/>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t>1、我方保证，未经招标人书面同意,不得向社会公众或第三方通过任何途径出示、披露敏感信息以及本项目的工作成果，亦不得对敏感信息、各阶段工作成果和最终工作成果进行传播和销售，并且保证只为执行本项目之目的使用敏感信息和各阶段工作成果和最终工作成果。</w:t>
      </w:r>
    </w:p>
    <w:p w14:paraId="6BC0D67C">
      <w:pPr>
        <w:widowControl/>
        <w:shd w:val="clear" w:color="auto" w:fill="FFFFFF"/>
        <w:spacing w:line="360" w:lineRule="auto"/>
        <w:ind w:firstLine="480"/>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t>2、我方保证，如为本合同目的确实需要向第三方披露对方的敏感信息，需事先得到招标人的书面许可，并与该第三方签订保密合同。</w:t>
      </w:r>
    </w:p>
    <w:p w14:paraId="5FF145B0">
      <w:pPr>
        <w:widowControl/>
        <w:shd w:val="clear" w:color="auto" w:fill="FFFFFF"/>
        <w:spacing w:line="360" w:lineRule="auto"/>
        <w:ind w:firstLine="480"/>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t>3、我方保证，只能将招标人的相关敏感信息提供给与本合同工作直接相关的员工，提供范围及程度仅限于可使该员工完成本项工作，并应约束其员工遵守保密义务。</w:t>
      </w:r>
    </w:p>
    <w:p w14:paraId="460B477B">
      <w:pPr>
        <w:widowControl/>
        <w:shd w:val="clear" w:color="auto" w:fill="FFFFFF"/>
        <w:spacing w:line="360" w:lineRule="auto"/>
        <w:ind w:firstLine="480"/>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t>4、我方保证，在双方合作关系结束后，我方有义务按照招标人的要求将敏感信息及其载体返还给招标人或者按照招标人的要求予以销毁，不得再以任何形式使用敏感信息。</w:t>
      </w:r>
    </w:p>
    <w:p w14:paraId="39C20BA8">
      <w:pPr>
        <w:widowControl/>
        <w:shd w:val="clear" w:color="auto" w:fill="FFFFFF"/>
        <w:spacing w:line="360" w:lineRule="auto"/>
        <w:ind w:firstLine="480"/>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t>5、我方同意采取任何必要的、以及招标人要求的合理措施，保护招标人提供的敏感信息。</w:t>
      </w:r>
    </w:p>
    <w:p w14:paraId="6445FAEE">
      <w:pPr>
        <w:widowControl/>
        <w:shd w:val="clear" w:color="auto" w:fill="FFFFFF"/>
        <w:spacing w:line="360" w:lineRule="auto"/>
        <w:ind w:firstLine="480"/>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t>6、如发生任何敏感信息泄漏事件，包括但不限于因我方原因导致的泄漏事件或者因第三方非法获取和使用而造成的泄漏事件，我方均应立即通知招标人，并采取有效措施防止泄密进一步扩大。</w:t>
      </w:r>
    </w:p>
    <w:p w14:paraId="6BB86090">
      <w:pPr>
        <w:widowControl/>
        <w:shd w:val="clear" w:color="auto" w:fill="FFFFFF"/>
        <w:spacing w:line="360" w:lineRule="auto"/>
        <w:ind w:firstLine="480"/>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kern w:val="0"/>
          <w:szCs w:val="21"/>
          <w:highlight w:val="none"/>
          <w14:textFill>
            <w14:solidFill>
              <w14:schemeClr w14:val="tx1"/>
            </w14:solidFill>
          </w14:textFill>
        </w:rPr>
        <w:t>特此承诺。</w:t>
      </w:r>
    </w:p>
    <w:p w14:paraId="1B5D67EE">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6968D36D">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7583DEC0">
      <w:pPr>
        <w:spacing w:line="360" w:lineRule="auto"/>
        <w:jc w:val="right"/>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承诺人：（加盖公章）</w:t>
      </w:r>
    </w:p>
    <w:p w14:paraId="5F056A01">
      <w:pPr>
        <w:spacing w:line="360" w:lineRule="auto"/>
        <w:jc w:val="right"/>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6DC084BF">
      <w:pPr>
        <w:spacing w:line="360" w:lineRule="auto"/>
        <w:jc w:val="right"/>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 xml:space="preserve">    年    月    日</w:t>
      </w:r>
    </w:p>
    <w:p w14:paraId="0DB1922B">
      <w:pPr>
        <w:spacing w:line="360" w:lineRule="auto"/>
        <w:rPr>
          <w:rFonts w:hint="default" w:ascii="Times New Roman Regular" w:hAnsi="Times New Roman Regular" w:eastAsia="宋体" w:cs="Times New Roman Regular"/>
          <w:color w:val="000000" w:themeColor="text1"/>
          <w:highlight w:val="none"/>
          <w14:textFill>
            <w14:solidFill>
              <w14:schemeClr w14:val="tx1"/>
            </w14:solidFill>
          </w14:textFill>
        </w:rPr>
      </w:pPr>
    </w:p>
    <w:p w14:paraId="70413BFB">
      <w:pPr>
        <w:spacing w:line="360" w:lineRule="auto"/>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p>
    <w:p w14:paraId="11A70D83">
      <w:pPr>
        <w:widowControl/>
        <w:spacing w:line="360" w:lineRule="auto"/>
        <w:jc w:val="left"/>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b/>
          <w:bCs/>
          <w:color w:val="000000" w:themeColor="text1"/>
          <w:szCs w:val="21"/>
          <w:highlight w:val="none"/>
          <w14:textFill>
            <w14:solidFill>
              <w14:schemeClr w14:val="tx1"/>
            </w14:solidFill>
          </w14:textFill>
        </w:rPr>
        <w:br w:type="page"/>
      </w:r>
    </w:p>
    <w:p w14:paraId="093DE4A7">
      <w:pPr>
        <w:spacing w:line="360" w:lineRule="auto"/>
        <w:jc w:val="center"/>
        <w:rPr>
          <w:rFonts w:hint="default" w:ascii="Times New Roman Regular" w:hAnsi="Times New Roman Regular" w:eastAsia="宋体" w:cs="Times New Roman Regular"/>
          <w:b/>
          <w:color w:val="000000" w:themeColor="text1"/>
          <w:highlight w:val="none"/>
          <w14:textFill>
            <w14:solidFill>
              <w14:schemeClr w14:val="tx1"/>
            </w14:solidFill>
          </w14:textFill>
        </w:rPr>
        <w:sectPr>
          <w:pgSz w:w="11905" w:h="16838"/>
          <w:pgMar w:top="1440" w:right="1417" w:bottom="1440" w:left="1417" w:header="850" w:footer="992" w:gutter="0"/>
          <w:pgNumType w:fmt="decimal"/>
          <w:cols w:space="720" w:num="1"/>
          <w:docGrid w:type="lines" w:linePitch="317" w:charSpace="0"/>
        </w:sectPr>
      </w:pPr>
    </w:p>
    <w:p w14:paraId="2679835B">
      <w:pPr>
        <w:pStyle w:val="4"/>
        <w:spacing w:line="360" w:lineRule="auto"/>
        <w:jc w:val="cente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pPr>
      <w: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t>附件8 其他材料</w:t>
      </w:r>
    </w:p>
    <w:p w14:paraId="1EB105BD">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p>
    <w:p w14:paraId="0835E8AC">
      <w:pPr>
        <w:spacing w:line="360" w:lineRule="auto"/>
        <w:rPr>
          <w:rFonts w:hint="default" w:ascii="Times New Roman Regular" w:hAnsi="Times New Roman Regular" w:eastAsia="宋体" w:cs="Times New Roman Regular"/>
          <w:color w:val="000000" w:themeColor="text1"/>
          <w:szCs w:val="21"/>
          <w:highlight w:val="none"/>
          <w14:textFill>
            <w14:solidFill>
              <w14:schemeClr w14:val="tx1"/>
            </w14:solidFill>
          </w14:textFill>
        </w:rPr>
      </w:pPr>
      <w:r>
        <w:rPr>
          <w:rFonts w:hint="default" w:ascii="Times New Roman Regular" w:hAnsi="Times New Roman Regular" w:eastAsia="宋体" w:cs="Times New Roman Regular"/>
          <w:color w:val="000000" w:themeColor="text1"/>
          <w:szCs w:val="21"/>
          <w:highlight w:val="none"/>
          <w14:textFill>
            <w14:solidFill>
              <w14:schemeClr w14:val="tx1"/>
            </w14:solidFill>
          </w14:textFill>
        </w:rPr>
        <w:t>投标人认为需要及招标文件要求提交的其他材料。</w:t>
      </w:r>
    </w:p>
    <w:p w14:paraId="070FB71F">
      <w:pP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pPr>
      <w: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br w:type="page"/>
      </w:r>
    </w:p>
    <w:p w14:paraId="083AF559">
      <w:pPr>
        <w:pStyle w:val="4"/>
        <w:tabs>
          <w:tab w:val="center" w:pos="4535"/>
          <w:tab w:val="left" w:pos="6564"/>
        </w:tabs>
        <w:spacing w:line="360" w:lineRule="auto"/>
        <w:jc w:val="center"/>
        <w:rPr>
          <w:rStyle w:val="32"/>
          <w:rFonts w:hint="default" w:ascii="Times New Roman Regular" w:hAnsi="Times New Roman Regular" w:eastAsia="宋体" w:cs="Times New Roman Regular"/>
          <w:b w:val="0"/>
          <w:bCs w:val="0"/>
          <w:color w:val="000000" w:themeColor="text1"/>
          <w:sz w:val="36"/>
          <w:szCs w:val="36"/>
          <w:highlight w:val="none"/>
          <w14:textFill>
            <w14:solidFill>
              <w14:schemeClr w14:val="tx1"/>
            </w14:solidFill>
          </w14:textFill>
        </w:rPr>
      </w:pPr>
      <w: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t>附件</w:t>
      </w:r>
      <w:r>
        <w:rPr>
          <w:rStyle w:val="32"/>
          <w:rFonts w:hint="eastAsia" w:ascii="Times New Roman Regular" w:hAnsi="Times New Roman Regular" w:eastAsia="宋体" w:cs="Times New Roman Regular"/>
          <w:b/>
          <w:bCs/>
          <w:color w:val="000000" w:themeColor="text1"/>
          <w:sz w:val="36"/>
          <w:szCs w:val="36"/>
          <w:highlight w:val="none"/>
          <w:lang w:val="en-US"/>
          <w14:textFill>
            <w14:solidFill>
              <w14:schemeClr w14:val="tx1"/>
            </w14:solidFill>
          </w14:textFill>
        </w:rPr>
        <w:t>9</w:t>
      </w:r>
      <w:r>
        <w:rPr>
          <w:rStyle w:val="32"/>
          <w:rFonts w:hint="default" w:ascii="Times New Roman Regular" w:hAnsi="Times New Roman Regular" w:eastAsia="宋体" w:cs="Times New Roman Regular"/>
          <w:b/>
          <w:bCs/>
          <w:color w:val="000000" w:themeColor="text1"/>
          <w:sz w:val="36"/>
          <w:szCs w:val="36"/>
          <w:highlight w:val="none"/>
          <w14:textFill>
            <w14:solidFill>
              <w14:schemeClr w14:val="tx1"/>
            </w14:solidFill>
          </w14:textFill>
        </w:rPr>
        <w:t xml:space="preserve"> 评标办法的证明材料</w:t>
      </w:r>
    </w:p>
    <w:p w14:paraId="1246FCF9">
      <w:pPr>
        <w:widowControl w:val="0"/>
        <w:numPr>
          <w:ilvl w:val="0"/>
          <w:numId w:val="0"/>
        </w:numPr>
        <w:spacing w:line="360" w:lineRule="auto"/>
        <w:jc w:val="both"/>
        <w:rPr>
          <w:rFonts w:hint="default" w:ascii="Times New Roman Regular" w:hAnsi="Times New Roman Regular" w:eastAsia="宋体" w:cs="Times New Roman Regular"/>
          <w:b/>
          <w:bCs/>
          <w:color w:val="000000" w:themeColor="text1"/>
          <w:highlight w:val="none"/>
          <w:lang w:val="en-US" w:eastAsia="zh-CN"/>
          <w14:textFill>
            <w14:solidFill>
              <w14:schemeClr w14:val="tx1"/>
            </w14:solidFill>
          </w14:textFill>
        </w:rPr>
      </w:pPr>
    </w:p>
    <w:p w14:paraId="08F2DD6E">
      <w:pPr>
        <w:widowControl w:val="0"/>
        <w:numPr>
          <w:ilvl w:val="0"/>
          <w:numId w:val="0"/>
        </w:numPr>
        <w:spacing w:line="360" w:lineRule="auto"/>
        <w:jc w:val="both"/>
        <w:rPr>
          <w:rFonts w:hint="default" w:ascii="Times New Roman Regular" w:hAnsi="Times New Roman Regular" w:eastAsia="宋体" w:cs="Times New Roman Regular"/>
          <w:b/>
          <w:bCs/>
          <w:color w:val="000000" w:themeColor="text1"/>
          <w:highlight w:val="none"/>
          <w:lang w:val="en-US" w:eastAsia="zh-CN"/>
          <w14:textFill>
            <w14:solidFill>
              <w14:schemeClr w14:val="tx1"/>
            </w14:solidFill>
          </w14:textFill>
        </w:rPr>
      </w:pPr>
    </w:p>
    <w:p w14:paraId="2244A75A">
      <w:pPr>
        <w:widowControl w:val="0"/>
        <w:numPr>
          <w:ilvl w:val="0"/>
          <w:numId w:val="0"/>
        </w:numPr>
        <w:spacing w:line="360" w:lineRule="auto"/>
        <w:jc w:val="both"/>
        <w:rPr>
          <w:rFonts w:hint="default" w:ascii="Times New Roman Regular" w:hAnsi="Times New Roman Regular" w:eastAsia="宋体" w:cs="Times New Roman Regular"/>
          <w:b/>
          <w:bCs/>
          <w:color w:val="000000" w:themeColor="text1"/>
          <w:highlight w:val="none"/>
          <w:lang w:val="en-US" w:eastAsia="zh-CN"/>
          <w14:textFill>
            <w14:solidFill>
              <w14:schemeClr w14:val="tx1"/>
            </w14:solidFill>
          </w14:textFill>
        </w:rPr>
      </w:pPr>
    </w:p>
    <w:sectPr>
      <w:pgSz w:w="11905" w:h="16838"/>
      <w:pgMar w:top="1440" w:right="1417" w:bottom="1440" w:left="1417" w:header="850" w:footer="992" w:gutter="0"/>
      <w:pgNumType w:fmt="decimal"/>
      <w:cols w:space="720" w:num="1"/>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长城仿宋">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2000503000000020004"/>
    <w:charset w:val="00"/>
    <w:family w:val="auto"/>
    <w:pitch w:val="default"/>
    <w:sig w:usb0="00000000" w:usb1="00000000" w:usb2="00000010" w:usb3="00000000" w:csb0="00000000" w:csb1="00000000"/>
  </w:font>
  <w:font w:name="Arial Unicode MS">
    <w:altName w:val="宋体"/>
    <w:panose1 w:val="020B0604020202020204"/>
    <w:charset w:val="86"/>
    <w:family w:val="swiss"/>
    <w:pitch w:val="default"/>
    <w:sig w:usb0="00000000" w:usb1="00000000" w:usb2="0000003F" w:usb3="00000000" w:csb0="603F01FF" w:csb1="FFFF0000"/>
  </w:font>
  <w:font w:name="Times New Roman Regular">
    <w:altName w:val="Times New Roman"/>
    <w:panose1 w:val="02020503050405090304"/>
    <w:charset w:val="00"/>
    <w:family w:val="auto"/>
    <w:pitch w:val="default"/>
    <w:sig w:usb0="00000000" w:usb1="00000000" w:usb2="00000001" w:usb3="00000000" w:csb0="400001BF" w:csb1="DFF70000"/>
  </w:font>
  <w:font w:name="楷体">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F666B0">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E764B9">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仿宋" w:hAnsi="仿宋" w:eastAsia="仿宋"/>
        <w:sz w:val="20"/>
        <w:szCs w:val="20"/>
      </w:rPr>
      <w:id w:val="-1"/>
    </w:sdtPr>
    <w:sdtEndPr>
      <w:rPr>
        <w:rFonts w:ascii="仿宋" w:hAnsi="仿宋" w:eastAsia="仿宋"/>
        <w:sz w:val="20"/>
        <w:szCs w:val="20"/>
      </w:rPr>
    </w:sdtEndPr>
    <w:sdtContent>
      <w:p w14:paraId="56A08CCD">
        <w:pPr>
          <w:pStyle w:val="14"/>
          <w:jc w:val="center"/>
          <w:rPr>
            <w:rFonts w:ascii="仿宋" w:hAnsi="仿宋" w:eastAsia="仿宋"/>
            <w:sz w:val="20"/>
            <w:szCs w:val="20"/>
          </w:rPr>
        </w:pPr>
        <w:r>
          <w:rPr>
            <w:rFonts w:ascii="仿宋" w:hAnsi="仿宋" w:eastAsia="仿宋"/>
            <w:sz w:val="20"/>
            <w:szCs w:val="20"/>
          </w:rPr>
          <w:fldChar w:fldCharType="begin"/>
        </w:r>
        <w:r>
          <w:rPr>
            <w:rFonts w:ascii="仿宋" w:hAnsi="仿宋" w:eastAsia="仿宋"/>
            <w:sz w:val="20"/>
            <w:szCs w:val="20"/>
          </w:rPr>
          <w:instrText xml:space="preserve">PAGE   \* MERGEFORMAT</w:instrText>
        </w:r>
        <w:r>
          <w:rPr>
            <w:rFonts w:ascii="仿宋" w:hAnsi="仿宋" w:eastAsia="仿宋"/>
            <w:sz w:val="20"/>
            <w:szCs w:val="20"/>
          </w:rPr>
          <w:fldChar w:fldCharType="separate"/>
        </w:r>
        <w:r>
          <w:rPr>
            <w:rFonts w:ascii="仿宋" w:hAnsi="仿宋" w:eastAsia="仿宋"/>
            <w:sz w:val="20"/>
            <w:szCs w:val="20"/>
            <w:lang w:val="zh-CN"/>
          </w:rPr>
          <w:t>19</w:t>
        </w:r>
        <w:r>
          <w:rPr>
            <w:rFonts w:ascii="仿宋" w:hAnsi="仿宋" w:eastAsia="仿宋"/>
            <w:sz w:val="20"/>
            <w:szCs w:val="20"/>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73969D">
    <w:pPr>
      <w:pStyle w:val="14"/>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57154"/>
                          </w:sdtPr>
                          <w:sdtContent>
                            <w:p w14:paraId="6BD86AF2">
                              <w:pPr>
                                <w:pStyle w:val="14"/>
                                <w:jc w:val="center"/>
                              </w:pPr>
                              <w:r>
                                <w:fldChar w:fldCharType="begin"/>
                              </w:r>
                              <w:r>
                                <w:instrText xml:space="preserve">PAGE   \* MERGEFORMAT</w:instrText>
                              </w:r>
                              <w:r>
                                <w:fldChar w:fldCharType="separate"/>
                              </w:r>
                              <w:r>
                                <w:rPr>
                                  <w:lang w:val="zh-CN"/>
                                </w:rPr>
                                <w:t>1</w:t>
                              </w:r>
                              <w:r>
                                <w:fldChar w:fldCharType="end"/>
                              </w:r>
                            </w:p>
                          </w:sdtContent>
                        </w:sdt>
                        <w:p w14:paraId="69E06162"/>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sdt>
                    <w:sdtPr>
                      <w:id w:val="147457154"/>
                    </w:sdtPr>
                    <w:sdtContent>
                      <w:p w14:paraId="6BD86AF2">
                        <w:pPr>
                          <w:pStyle w:val="14"/>
                          <w:jc w:val="center"/>
                        </w:pPr>
                        <w:r>
                          <w:fldChar w:fldCharType="begin"/>
                        </w:r>
                        <w:r>
                          <w:instrText xml:space="preserve">PAGE   \* MERGEFORMAT</w:instrText>
                        </w:r>
                        <w:r>
                          <w:fldChar w:fldCharType="separate"/>
                        </w:r>
                        <w:r>
                          <w:rPr>
                            <w:lang w:val="zh-CN"/>
                          </w:rPr>
                          <w:t>1</w:t>
                        </w:r>
                        <w:r>
                          <w:fldChar w:fldCharType="end"/>
                        </w:r>
                      </w:p>
                    </w:sdtContent>
                  </w:sdt>
                  <w:p w14:paraId="69E06162"/>
                </w:txbxContent>
              </v:textbox>
            </v:shape>
          </w:pict>
        </mc:Fallback>
      </mc:AlternateContent>
    </w:r>
  </w:p>
  <w:p w14:paraId="28222F70">
    <w:pPr>
      <w:pStyle w:val="1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5CBE04">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7D9BE67">
                          <w:pPr>
                            <w:pStyle w:val="14"/>
                            <w:rPr>
                              <w:rStyle w:val="29"/>
                            </w:rPr>
                          </w:pPr>
                          <w:r>
                            <w:rPr>
                              <w:rStyle w:val="29"/>
                            </w:rPr>
                            <w:fldChar w:fldCharType="begin"/>
                          </w:r>
                          <w:r>
                            <w:rPr>
                              <w:rStyle w:val="29"/>
                            </w:rPr>
                            <w:instrText xml:space="preserve"> PAGE </w:instrText>
                          </w:r>
                          <w:r>
                            <w:rPr>
                              <w:rStyle w:val="29"/>
                            </w:rPr>
                            <w:fldChar w:fldCharType="separate"/>
                          </w:r>
                          <w:r>
                            <w:rPr>
                              <w:rStyle w:val="29"/>
                            </w:rPr>
                            <w:t>58</w:t>
                          </w:r>
                          <w:r>
                            <w:rPr>
                              <w:rStyle w:val="29"/>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14:paraId="47D9BE67">
                    <w:pPr>
                      <w:pStyle w:val="14"/>
                      <w:rPr>
                        <w:rStyle w:val="29"/>
                      </w:rPr>
                    </w:pPr>
                    <w:r>
                      <w:rPr>
                        <w:rStyle w:val="29"/>
                      </w:rPr>
                      <w:fldChar w:fldCharType="begin"/>
                    </w:r>
                    <w:r>
                      <w:rPr>
                        <w:rStyle w:val="29"/>
                      </w:rPr>
                      <w:instrText xml:space="preserve"> PAGE </w:instrText>
                    </w:r>
                    <w:r>
                      <w:rPr>
                        <w:rStyle w:val="29"/>
                      </w:rPr>
                      <w:fldChar w:fldCharType="separate"/>
                    </w:r>
                    <w:r>
                      <w:rPr>
                        <w:rStyle w:val="29"/>
                      </w:rPr>
                      <w:t>58</w:t>
                    </w:r>
                    <w:r>
                      <w:rPr>
                        <w:rStyle w:val="29"/>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24112">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F0EE57">
                          <w:pPr>
                            <w:pStyle w:val="14"/>
                          </w:pPr>
                          <w:r>
                            <w:fldChar w:fldCharType="begin"/>
                          </w:r>
                          <w:r>
                            <w:instrText xml:space="preserve"> PAGE  \* MERGEFORMAT </w:instrText>
                          </w:r>
                          <w:r>
                            <w:fldChar w:fldCharType="separate"/>
                          </w:r>
                          <w:r>
                            <w:t>82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14:paraId="13F0EE57">
                    <w:pPr>
                      <w:pStyle w:val="14"/>
                    </w:pPr>
                    <w:r>
                      <w:fldChar w:fldCharType="begin"/>
                    </w:r>
                    <w:r>
                      <w:instrText xml:space="preserve"> PAGE  \* MERGEFORMAT </w:instrText>
                    </w:r>
                    <w:r>
                      <w:fldChar w:fldCharType="separate"/>
                    </w:r>
                    <w:r>
                      <w:t>82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27EF80">
    <w:pPr>
      <w:pStyle w:val="16"/>
      <w:pBdr>
        <w:bottom w:val="single" w:color="auto" w:sz="4" w:space="0"/>
      </w:pBdr>
      <w:tabs>
        <w:tab w:val="clear" w:pos="4153"/>
        <w:tab w:val="clear" w:pos="8306"/>
      </w:tabs>
      <w:rPr>
        <w:rFonts w:hint="eastAsia"/>
      </w:rPr>
    </w:pPr>
    <w:r>
      <w:rPr>
        <w:rFonts w:hint="eastAsia"/>
        <w:lang w:val="en-US" w:bidi="ar-SA"/>
      </w:rPr>
      <w:drawing>
        <wp:anchor distT="0" distB="0" distL="114300" distR="114300" simplePos="0" relativeHeight="251661312" behindDoc="1" locked="0" layoutInCell="1" allowOverlap="1">
          <wp:simplePos x="0" y="0"/>
          <wp:positionH relativeFrom="column">
            <wp:posOffset>40005</wp:posOffset>
          </wp:positionH>
          <wp:positionV relativeFrom="paragraph">
            <wp:posOffset>-168910</wp:posOffset>
          </wp:positionV>
          <wp:extent cx="461645" cy="461645"/>
          <wp:effectExtent l="0" t="0" r="14605" b="14605"/>
          <wp:wrapThrough wrapText="bothSides">
            <wp:wrapPolygon>
              <wp:start x="0" y="0"/>
              <wp:lineTo x="0" y="20501"/>
              <wp:lineTo x="20501" y="20501"/>
              <wp:lineTo x="20501" y="0"/>
              <wp:lineTo x="0" y="0"/>
            </wp:wrapPolygon>
          </wp:wrapThrough>
          <wp:docPr id="1" name="图片 5" descr="印章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印章2-01"/>
                  <pic:cNvPicPr>
                    <a:picLocks noChangeAspect="1"/>
                  </pic:cNvPicPr>
                </pic:nvPicPr>
                <pic:blipFill>
                  <a:blip r:embed="rId1"/>
                  <a:stretch>
                    <a:fillRect/>
                  </a:stretch>
                </pic:blipFill>
                <pic:spPr>
                  <a:xfrm>
                    <a:off x="0" y="0"/>
                    <a:ext cx="461645" cy="461645"/>
                  </a:xfrm>
                  <a:prstGeom prst="rect">
                    <a:avLst/>
                  </a:prstGeom>
                  <a:noFill/>
                  <a:ln>
                    <a:noFill/>
                  </a:ln>
                </pic:spPr>
              </pic:pic>
            </a:graphicData>
          </a:graphic>
        </wp:anchor>
      </w:drawing>
    </w:r>
    <w:r>
      <w:rPr>
        <w:rFonts w:hint="eastAsia"/>
      </w:rPr>
      <w:t>江苏省招标中心有限公司</w:t>
    </w:r>
  </w:p>
  <w:p w14:paraId="2C134E56">
    <w:pPr>
      <w:pStyle w:val="16"/>
      <w:pBdr>
        <w:bottom w:val="single" w:color="auto" w:sz="4" w:space="0"/>
      </w:pBdr>
      <w:tabs>
        <w:tab w:val="clear" w:pos="4153"/>
        <w:tab w:val="clear" w:pos="8306"/>
      </w:tabs>
      <w:rPr>
        <w:rFonts w:hint="default"/>
        <w:lang w:val="en-US"/>
      </w:rPr>
    </w:pPr>
    <w:r>
      <w:rPr>
        <w:rFonts w:hint="eastAsia"/>
        <w:lang w:val="en-US" w:eastAsia="zh-CN"/>
      </w:rPr>
      <w:t>成方金科上海分公司数据平台系统实时监测技术服务采购项目</w:t>
    </w:r>
  </w:p>
  <w:p w14:paraId="7214E035">
    <w:pPr>
      <w:pStyle w:val="1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3E57F1">
    <w:pPr>
      <w:pStyle w:val="16"/>
      <w:pBdr>
        <w:bottom w:val="single" w:color="auto" w:sz="4" w:space="0"/>
      </w:pBdr>
      <w:tabs>
        <w:tab w:val="clear" w:pos="4153"/>
        <w:tab w:val="clear" w:pos="8306"/>
      </w:tabs>
      <w:rPr>
        <w:rFonts w:hint="eastAsia"/>
      </w:rPr>
    </w:pPr>
    <w:r>
      <w:rPr>
        <w:rFonts w:hint="eastAsia"/>
        <w:lang w:val="en-US" w:bidi="ar-SA"/>
      </w:rPr>
      <w:drawing>
        <wp:anchor distT="0" distB="0" distL="114300" distR="114300" simplePos="0" relativeHeight="251662336" behindDoc="1" locked="0" layoutInCell="1" allowOverlap="1">
          <wp:simplePos x="0" y="0"/>
          <wp:positionH relativeFrom="column">
            <wp:posOffset>40005</wp:posOffset>
          </wp:positionH>
          <wp:positionV relativeFrom="paragraph">
            <wp:posOffset>-168910</wp:posOffset>
          </wp:positionV>
          <wp:extent cx="461645" cy="461645"/>
          <wp:effectExtent l="0" t="0" r="14605" b="14605"/>
          <wp:wrapThrough wrapText="bothSides">
            <wp:wrapPolygon>
              <wp:start x="0" y="0"/>
              <wp:lineTo x="0" y="20501"/>
              <wp:lineTo x="20501" y="20501"/>
              <wp:lineTo x="20501" y="0"/>
              <wp:lineTo x="0" y="0"/>
            </wp:wrapPolygon>
          </wp:wrapThrough>
          <wp:docPr id="4" name="图片 5" descr="印章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印章2-01"/>
                  <pic:cNvPicPr>
                    <a:picLocks noChangeAspect="1"/>
                  </pic:cNvPicPr>
                </pic:nvPicPr>
                <pic:blipFill>
                  <a:blip r:embed="rId1"/>
                  <a:stretch>
                    <a:fillRect/>
                  </a:stretch>
                </pic:blipFill>
                <pic:spPr>
                  <a:xfrm>
                    <a:off x="0" y="0"/>
                    <a:ext cx="461645" cy="461645"/>
                  </a:xfrm>
                  <a:prstGeom prst="rect">
                    <a:avLst/>
                  </a:prstGeom>
                  <a:noFill/>
                  <a:ln>
                    <a:noFill/>
                  </a:ln>
                </pic:spPr>
              </pic:pic>
            </a:graphicData>
          </a:graphic>
        </wp:anchor>
      </w:drawing>
    </w:r>
    <w:r>
      <w:rPr>
        <w:rFonts w:hint="eastAsia"/>
      </w:rPr>
      <w:t>江苏省招标中心有限公司</w:t>
    </w:r>
  </w:p>
  <w:p w14:paraId="4F4ECF61">
    <w:pPr>
      <w:pStyle w:val="16"/>
      <w:pBdr>
        <w:bottom w:val="single" w:color="auto" w:sz="4" w:space="0"/>
      </w:pBdr>
      <w:tabs>
        <w:tab w:val="clear" w:pos="4153"/>
        <w:tab w:val="clear" w:pos="8306"/>
      </w:tabs>
      <w:rPr>
        <w:rFonts w:hint="eastAsia"/>
      </w:rPr>
    </w:pPr>
    <w:r>
      <w:rPr>
        <w:rFonts w:hint="eastAsia"/>
        <w:lang w:val="en-US" w:eastAsia="zh-CN"/>
      </w:rPr>
      <w:t>成方金科上海分公司数据平台系统实时监测技术服务采购项目</w:t>
    </w:r>
  </w:p>
  <w:p w14:paraId="4CB90F1D"/>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4E741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B479BD"/>
    <w:multiLevelType w:val="singleLevel"/>
    <w:tmpl w:val="87B479BD"/>
    <w:lvl w:ilvl="0" w:tentative="0">
      <w:start w:val="2"/>
      <w:numFmt w:val="decimal"/>
      <w:suff w:val="nothing"/>
      <w:lvlText w:val="（%1）"/>
      <w:lvlJc w:val="left"/>
    </w:lvl>
  </w:abstractNum>
  <w:abstractNum w:abstractNumId="1">
    <w:nsid w:val="9367BF9B"/>
    <w:multiLevelType w:val="singleLevel"/>
    <w:tmpl w:val="9367BF9B"/>
    <w:lvl w:ilvl="0" w:tentative="0">
      <w:start w:val="1"/>
      <w:numFmt w:val="decimal"/>
      <w:suff w:val="nothing"/>
      <w:lvlText w:val="%1、"/>
      <w:lvlJc w:val="left"/>
    </w:lvl>
  </w:abstractNum>
  <w:abstractNum w:abstractNumId="2">
    <w:nsid w:val="A0AE69D2"/>
    <w:multiLevelType w:val="singleLevel"/>
    <w:tmpl w:val="A0AE69D2"/>
    <w:lvl w:ilvl="0" w:tentative="0">
      <w:start w:val="8"/>
      <w:numFmt w:val="chineseCounting"/>
      <w:suff w:val="nothing"/>
      <w:lvlText w:val="%1、"/>
      <w:lvlJc w:val="left"/>
      <w:rPr>
        <w:rFonts w:hint="eastAsia"/>
      </w:rPr>
    </w:lvl>
  </w:abstractNum>
  <w:abstractNum w:abstractNumId="3">
    <w:nsid w:val="AFBA5131"/>
    <w:multiLevelType w:val="singleLevel"/>
    <w:tmpl w:val="AFBA5131"/>
    <w:lvl w:ilvl="0" w:tentative="0">
      <w:start w:val="1"/>
      <w:numFmt w:val="upperLetter"/>
      <w:suff w:val="nothing"/>
      <w:lvlText w:val="%1、"/>
      <w:lvlJc w:val="left"/>
    </w:lvl>
  </w:abstractNum>
  <w:abstractNum w:abstractNumId="4">
    <w:nsid w:val="D934F0FA"/>
    <w:multiLevelType w:val="singleLevel"/>
    <w:tmpl w:val="D934F0FA"/>
    <w:lvl w:ilvl="0" w:tentative="0">
      <w:start w:val="2"/>
      <w:numFmt w:val="decimal"/>
      <w:suff w:val="nothing"/>
      <w:lvlText w:val="（%1）"/>
      <w:lvlJc w:val="left"/>
    </w:lvl>
  </w:abstractNum>
  <w:abstractNum w:abstractNumId="5">
    <w:nsid w:val="00000018"/>
    <w:multiLevelType w:val="multilevel"/>
    <w:tmpl w:val="00000018"/>
    <w:lvl w:ilvl="0" w:tentative="0">
      <w:start w:val="1"/>
      <w:numFmt w:val="decimal"/>
      <w:lvlText w:val="(%1)"/>
      <w:lvlJc w:val="left"/>
      <w:pPr>
        <w:tabs>
          <w:tab w:val="left" w:pos="907"/>
        </w:tabs>
        <w:ind w:left="907" w:hanging="482"/>
      </w:pPr>
      <w:rPr>
        <w:rFonts w:hint="default" w:ascii="Times New Roman" w:hAnsi="Times New Roman" w:cs="Times New Roman"/>
        <w:b w:val="0"/>
        <w:i w:val="0"/>
        <w:u w:val="none"/>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6">
    <w:nsid w:val="0B4BC343"/>
    <w:multiLevelType w:val="singleLevel"/>
    <w:tmpl w:val="0B4BC343"/>
    <w:lvl w:ilvl="0" w:tentative="0">
      <w:start w:val="1"/>
      <w:numFmt w:val="decimal"/>
      <w:lvlText w:val="%1."/>
      <w:lvlJc w:val="left"/>
      <w:pPr>
        <w:tabs>
          <w:tab w:val="left" w:pos="312"/>
        </w:tabs>
      </w:pPr>
    </w:lvl>
  </w:abstractNum>
  <w:abstractNum w:abstractNumId="7">
    <w:nsid w:val="0D6E70EC"/>
    <w:multiLevelType w:val="singleLevel"/>
    <w:tmpl w:val="0D6E70EC"/>
    <w:lvl w:ilvl="0" w:tentative="0">
      <w:start w:val="1"/>
      <w:numFmt w:val="decimal"/>
      <w:lvlText w:val="%1."/>
      <w:lvlJc w:val="left"/>
      <w:pPr>
        <w:tabs>
          <w:tab w:val="left" w:pos="312"/>
        </w:tabs>
      </w:pPr>
    </w:lvl>
  </w:abstractNum>
  <w:abstractNum w:abstractNumId="8">
    <w:nsid w:val="0FFE4791"/>
    <w:multiLevelType w:val="singleLevel"/>
    <w:tmpl w:val="0FFE4791"/>
    <w:lvl w:ilvl="0" w:tentative="0">
      <w:start w:val="1"/>
      <w:numFmt w:val="decimal"/>
      <w:lvlText w:val="%1)"/>
      <w:lvlJc w:val="left"/>
      <w:pPr>
        <w:tabs>
          <w:tab w:val="left" w:pos="397"/>
        </w:tabs>
        <w:ind w:left="397" w:hanging="397"/>
      </w:pPr>
      <w:rPr>
        <w:rFonts w:hint="eastAsia"/>
      </w:rPr>
    </w:lvl>
  </w:abstractNum>
  <w:abstractNum w:abstractNumId="9">
    <w:nsid w:val="1D9EE708"/>
    <w:multiLevelType w:val="singleLevel"/>
    <w:tmpl w:val="1D9EE708"/>
    <w:lvl w:ilvl="0" w:tentative="0">
      <w:start w:val="2"/>
      <w:numFmt w:val="decimal"/>
      <w:suff w:val="nothing"/>
      <w:lvlText w:val="（%1）"/>
      <w:lvlJc w:val="left"/>
    </w:lvl>
  </w:abstractNum>
  <w:abstractNum w:abstractNumId="10">
    <w:nsid w:val="200FDD89"/>
    <w:multiLevelType w:val="singleLevel"/>
    <w:tmpl w:val="200FDD89"/>
    <w:lvl w:ilvl="0" w:tentative="0">
      <w:start w:val="2"/>
      <w:numFmt w:val="chineseCounting"/>
      <w:suff w:val="nothing"/>
      <w:lvlText w:val="%1、"/>
      <w:lvlJc w:val="left"/>
      <w:rPr>
        <w:rFonts w:hint="eastAsia"/>
      </w:rPr>
    </w:lvl>
  </w:abstractNum>
  <w:abstractNum w:abstractNumId="11">
    <w:nsid w:val="35C56CFC"/>
    <w:multiLevelType w:val="singleLevel"/>
    <w:tmpl w:val="35C56CFC"/>
    <w:lvl w:ilvl="0" w:tentative="0">
      <w:start w:val="1"/>
      <w:numFmt w:val="decimal"/>
      <w:suff w:val="nothing"/>
      <w:lvlText w:val="%1、"/>
      <w:lvlJc w:val="left"/>
    </w:lvl>
  </w:abstractNum>
  <w:abstractNum w:abstractNumId="12">
    <w:nsid w:val="57AF1549"/>
    <w:multiLevelType w:val="multilevel"/>
    <w:tmpl w:val="57AF1549"/>
    <w:lvl w:ilvl="0" w:tentative="0">
      <w:start w:val="1"/>
      <w:numFmt w:val="decimal"/>
      <w:lvlText w:val="（%1）"/>
      <w:lvlJc w:val="left"/>
      <w:pPr>
        <w:tabs>
          <w:tab w:val="left" w:pos="840"/>
        </w:tabs>
        <w:ind w:left="840" w:hanging="42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3">
    <w:nsid w:val="5912538D"/>
    <w:multiLevelType w:val="multilevel"/>
    <w:tmpl w:val="5912538D"/>
    <w:lvl w:ilvl="0" w:tentative="0">
      <w:start w:val="1"/>
      <w:numFmt w:val="decimal"/>
      <w:lvlText w:val="（%1）"/>
      <w:lvlJc w:val="left"/>
      <w:pPr>
        <w:ind w:left="1375" w:hanging="735"/>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4">
    <w:nsid w:val="774F629D"/>
    <w:multiLevelType w:val="multilevel"/>
    <w:tmpl w:val="774F629D"/>
    <w:lvl w:ilvl="0" w:tentative="0">
      <w:start w:val="1"/>
      <w:numFmt w:val="lowerLetter"/>
      <w:lvlText w:val="%1)"/>
      <w:lvlJc w:val="left"/>
      <w:pPr>
        <w:ind w:left="840" w:hanging="4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0"/>
  </w:num>
  <w:num w:numId="2">
    <w:abstractNumId w:val="14"/>
  </w:num>
  <w:num w:numId="3">
    <w:abstractNumId w:val="2"/>
  </w:num>
  <w:num w:numId="4">
    <w:abstractNumId w:val="6"/>
  </w:num>
  <w:num w:numId="5">
    <w:abstractNumId w:val="7"/>
  </w:num>
  <w:num w:numId="6">
    <w:abstractNumId w:val="4"/>
  </w:num>
  <w:num w:numId="7">
    <w:abstractNumId w:val="3"/>
  </w:num>
  <w:num w:numId="8">
    <w:abstractNumId w:val="0"/>
  </w:num>
  <w:num w:numId="9">
    <w:abstractNumId w:val="13"/>
  </w:num>
  <w:num w:numId="10">
    <w:abstractNumId w:val="9"/>
  </w:num>
  <w:num w:numId="11">
    <w:abstractNumId w:val="12"/>
  </w:num>
  <w:num w:numId="12">
    <w:abstractNumId w:val="8"/>
  </w:num>
  <w:num w:numId="13">
    <w:abstractNumId w:val="5"/>
  </w:num>
  <w:num w:numId="14">
    <w:abstractNumId w:val="1"/>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VlZWZiZTBhMmJjOTI5YmUyYTMxMzk1MGY1MDViMzkifQ=="/>
  </w:docVars>
  <w:rsids>
    <w:rsidRoot w:val="004E4B52"/>
    <w:rsid w:val="00011CBE"/>
    <w:rsid w:val="00015D8E"/>
    <w:rsid w:val="000210BC"/>
    <w:rsid w:val="000221DE"/>
    <w:rsid w:val="0005253A"/>
    <w:rsid w:val="0005754B"/>
    <w:rsid w:val="00061AC0"/>
    <w:rsid w:val="00074582"/>
    <w:rsid w:val="00076AB0"/>
    <w:rsid w:val="000919E3"/>
    <w:rsid w:val="000933C3"/>
    <w:rsid w:val="00095C21"/>
    <w:rsid w:val="000A073D"/>
    <w:rsid w:val="000A5038"/>
    <w:rsid w:val="000B2751"/>
    <w:rsid w:val="000B6207"/>
    <w:rsid w:val="000C2A53"/>
    <w:rsid w:val="000C367D"/>
    <w:rsid w:val="000F4ED0"/>
    <w:rsid w:val="000F4ED1"/>
    <w:rsid w:val="00111713"/>
    <w:rsid w:val="00113C5E"/>
    <w:rsid w:val="00136E78"/>
    <w:rsid w:val="00137540"/>
    <w:rsid w:val="001429C2"/>
    <w:rsid w:val="0015148E"/>
    <w:rsid w:val="00152E99"/>
    <w:rsid w:val="001559A6"/>
    <w:rsid w:val="001640BC"/>
    <w:rsid w:val="00165AFE"/>
    <w:rsid w:val="00177759"/>
    <w:rsid w:val="00193D94"/>
    <w:rsid w:val="001951DF"/>
    <w:rsid w:val="001A0D84"/>
    <w:rsid w:val="001B13BB"/>
    <w:rsid w:val="001B5F40"/>
    <w:rsid w:val="001D43A5"/>
    <w:rsid w:val="001D4AE7"/>
    <w:rsid w:val="001F789A"/>
    <w:rsid w:val="00211130"/>
    <w:rsid w:val="00211251"/>
    <w:rsid w:val="00212DE7"/>
    <w:rsid w:val="002163D6"/>
    <w:rsid w:val="002230BA"/>
    <w:rsid w:val="0024232B"/>
    <w:rsid w:val="00244166"/>
    <w:rsid w:val="00244259"/>
    <w:rsid w:val="002738D2"/>
    <w:rsid w:val="002754E9"/>
    <w:rsid w:val="00290A8C"/>
    <w:rsid w:val="002A2A49"/>
    <w:rsid w:val="002A5B48"/>
    <w:rsid w:val="002B3B82"/>
    <w:rsid w:val="002D505C"/>
    <w:rsid w:val="002E52DE"/>
    <w:rsid w:val="00311F0C"/>
    <w:rsid w:val="00315333"/>
    <w:rsid w:val="00320C20"/>
    <w:rsid w:val="00327A72"/>
    <w:rsid w:val="00355B62"/>
    <w:rsid w:val="003802D2"/>
    <w:rsid w:val="00382983"/>
    <w:rsid w:val="00382E8C"/>
    <w:rsid w:val="00383B71"/>
    <w:rsid w:val="00392C01"/>
    <w:rsid w:val="00393788"/>
    <w:rsid w:val="00393A68"/>
    <w:rsid w:val="003A4F8F"/>
    <w:rsid w:val="003D29D4"/>
    <w:rsid w:val="004064F8"/>
    <w:rsid w:val="004110BA"/>
    <w:rsid w:val="00414AF8"/>
    <w:rsid w:val="004628E7"/>
    <w:rsid w:val="00492632"/>
    <w:rsid w:val="004E4B52"/>
    <w:rsid w:val="005057E7"/>
    <w:rsid w:val="00520309"/>
    <w:rsid w:val="00520C24"/>
    <w:rsid w:val="0052614B"/>
    <w:rsid w:val="0053167E"/>
    <w:rsid w:val="00572D07"/>
    <w:rsid w:val="00586D93"/>
    <w:rsid w:val="0059392D"/>
    <w:rsid w:val="005A78EB"/>
    <w:rsid w:val="005B0811"/>
    <w:rsid w:val="005B7568"/>
    <w:rsid w:val="005C7582"/>
    <w:rsid w:val="005E3520"/>
    <w:rsid w:val="005F41BC"/>
    <w:rsid w:val="006009D3"/>
    <w:rsid w:val="00613EFF"/>
    <w:rsid w:val="006334BC"/>
    <w:rsid w:val="0064005A"/>
    <w:rsid w:val="006401AE"/>
    <w:rsid w:val="0064600C"/>
    <w:rsid w:val="00655683"/>
    <w:rsid w:val="00674466"/>
    <w:rsid w:val="006A5693"/>
    <w:rsid w:val="006B459F"/>
    <w:rsid w:val="006B611E"/>
    <w:rsid w:val="006D6BEE"/>
    <w:rsid w:val="00717E86"/>
    <w:rsid w:val="00720502"/>
    <w:rsid w:val="00740C61"/>
    <w:rsid w:val="007414AC"/>
    <w:rsid w:val="0074165B"/>
    <w:rsid w:val="00744E07"/>
    <w:rsid w:val="00750E92"/>
    <w:rsid w:val="00767919"/>
    <w:rsid w:val="007851B9"/>
    <w:rsid w:val="007B27E9"/>
    <w:rsid w:val="007C6C0E"/>
    <w:rsid w:val="007E7370"/>
    <w:rsid w:val="008011AD"/>
    <w:rsid w:val="00810210"/>
    <w:rsid w:val="00833A68"/>
    <w:rsid w:val="008344D4"/>
    <w:rsid w:val="008412F3"/>
    <w:rsid w:val="00877046"/>
    <w:rsid w:val="00893C2F"/>
    <w:rsid w:val="008A3C8E"/>
    <w:rsid w:val="008A45C2"/>
    <w:rsid w:val="008B0A69"/>
    <w:rsid w:val="008B7EDC"/>
    <w:rsid w:val="008C493E"/>
    <w:rsid w:val="008E4EE9"/>
    <w:rsid w:val="00916D4F"/>
    <w:rsid w:val="00930024"/>
    <w:rsid w:val="0093017D"/>
    <w:rsid w:val="00931749"/>
    <w:rsid w:val="00934AEC"/>
    <w:rsid w:val="009448D2"/>
    <w:rsid w:val="00957BFF"/>
    <w:rsid w:val="00970EA9"/>
    <w:rsid w:val="00987AE3"/>
    <w:rsid w:val="00987B1A"/>
    <w:rsid w:val="00992A51"/>
    <w:rsid w:val="00994199"/>
    <w:rsid w:val="009A3203"/>
    <w:rsid w:val="009C3FD2"/>
    <w:rsid w:val="009D49D4"/>
    <w:rsid w:val="009E6167"/>
    <w:rsid w:val="00A246B8"/>
    <w:rsid w:val="00A36EAF"/>
    <w:rsid w:val="00A37895"/>
    <w:rsid w:val="00A37EB9"/>
    <w:rsid w:val="00A421B7"/>
    <w:rsid w:val="00A45B7C"/>
    <w:rsid w:val="00A477E8"/>
    <w:rsid w:val="00A50385"/>
    <w:rsid w:val="00A522B6"/>
    <w:rsid w:val="00A620D7"/>
    <w:rsid w:val="00A73351"/>
    <w:rsid w:val="00A855CE"/>
    <w:rsid w:val="00A94F19"/>
    <w:rsid w:val="00AA15AF"/>
    <w:rsid w:val="00AA49CC"/>
    <w:rsid w:val="00AB010E"/>
    <w:rsid w:val="00AD087C"/>
    <w:rsid w:val="00AE18E9"/>
    <w:rsid w:val="00B16B9F"/>
    <w:rsid w:val="00B23F3C"/>
    <w:rsid w:val="00B25F12"/>
    <w:rsid w:val="00B35718"/>
    <w:rsid w:val="00B42AAA"/>
    <w:rsid w:val="00B46EA8"/>
    <w:rsid w:val="00B5151B"/>
    <w:rsid w:val="00B54123"/>
    <w:rsid w:val="00B55282"/>
    <w:rsid w:val="00B6473A"/>
    <w:rsid w:val="00B76527"/>
    <w:rsid w:val="00B979C9"/>
    <w:rsid w:val="00B97FE3"/>
    <w:rsid w:val="00BA51A7"/>
    <w:rsid w:val="00BB29BC"/>
    <w:rsid w:val="00BD6C73"/>
    <w:rsid w:val="00C531A6"/>
    <w:rsid w:val="00C5398B"/>
    <w:rsid w:val="00C56169"/>
    <w:rsid w:val="00C629DB"/>
    <w:rsid w:val="00C64E6F"/>
    <w:rsid w:val="00C74F04"/>
    <w:rsid w:val="00C77D3F"/>
    <w:rsid w:val="00C77DE8"/>
    <w:rsid w:val="00C83C1B"/>
    <w:rsid w:val="00CA3089"/>
    <w:rsid w:val="00CB0862"/>
    <w:rsid w:val="00CB1EB5"/>
    <w:rsid w:val="00CB4D11"/>
    <w:rsid w:val="00CC2ED7"/>
    <w:rsid w:val="00CE70BC"/>
    <w:rsid w:val="00CF2B24"/>
    <w:rsid w:val="00CF35CF"/>
    <w:rsid w:val="00CF4444"/>
    <w:rsid w:val="00CF58A2"/>
    <w:rsid w:val="00D006DA"/>
    <w:rsid w:val="00D01E84"/>
    <w:rsid w:val="00D708C2"/>
    <w:rsid w:val="00D864D9"/>
    <w:rsid w:val="00D907DE"/>
    <w:rsid w:val="00DA51E7"/>
    <w:rsid w:val="00DB6DC1"/>
    <w:rsid w:val="00DC0157"/>
    <w:rsid w:val="00DC762B"/>
    <w:rsid w:val="00DD7522"/>
    <w:rsid w:val="00DE0C24"/>
    <w:rsid w:val="00DE7C5C"/>
    <w:rsid w:val="00DF5838"/>
    <w:rsid w:val="00E057B4"/>
    <w:rsid w:val="00E169BD"/>
    <w:rsid w:val="00E334B3"/>
    <w:rsid w:val="00E41658"/>
    <w:rsid w:val="00E43B33"/>
    <w:rsid w:val="00E4728A"/>
    <w:rsid w:val="00E65A4A"/>
    <w:rsid w:val="00E7117C"/>
    <w:rsid w:val="00EB4903"/>
    <w:rsid w:val="00ED0442"/>
    <w:rsid w:val="00F130D0"/>
    <w:rsid w:val="00F20BDA"/>
    <w:rsid w:val="00F278F7"/>
    <w:rsid w:val="00F52567"/>
    <w:rsid w:val="00F55810"/>
    <w:rsid w:val="00F56A85"/>
    <w:rsid w:val="00F62AFF"/>
    <w:rsid w:val="00F63DF5"/>
    <w:rsid w:val="00F708CF"/>
    <w:rsid w:val="00F72209"/>
    <w:rsid w:val="00F728E5"/>
    <w:rsid w:val="00F75FBB"/>
    <w:rsid w:val="00F96F89"/>
    <w:rsid w:val="00FB0C94"/>
    <w:rsid w:val="00FB3DE3"/>
    <w:rsid w:val="00FB59AE"/>
    <w:rsid w:val="00FD78DA"/>
    <w:rsid w:val="012C7A0D"/>
    <w:rsid w:val="0166196C"/>
    <w:rsid w:val="016E28C5"/>
    <w:rsid w:val="01C91611"/>
    <w:rsid w:val="02B2797C"/>
    <w:rsid w:val="033D0B9B"/>
    <w:rsid w:val="03636E84"/>
    <w:rsid w:val="03830824"/>
    <w:rsid w:val="03977C7D"/>
    <w:rsid w:val="039E1A8A"/>
    <w:rsid w:val="03BF5CD2"/>
    <w:rsid w:val="04F433AE"/>
    <w:rsid w:val="04FA4B16"/>
    <w:rsid w:val="055709D3"/>
    <w:rsid w:val="05890D22"/>
    <w:rsid w:val="059E5DC5"/>
    <w:rsid w:val="06455247"/>
    <w:rsid w:val="069A095C"/>
    <w:rsid w:val="072411AB"/>
    <w:rsid w:val="07CE0EBD"/>
    <w:rsid w:val="07DF16BF"/>
    <w:rsid w:val="07F5792A"/>
    <w:rsid w:val="07FD2852"/>
    <w:rsid w:val="08457021"/>
    <w:rsid w:val="089A2898"/>
    <w:rsid w:val="08C1738A"/>
    <w:rsid w:val="08E13C0F"/>
    <w:rsid w:val="0925579A"/>
    <w:rsid w:val="092563E7"/>
    <w:rsid w:val="09705BCA"/>
    <w:rsid w:val="0A132CF9"/>
    <w:rsid w:val="0A1D4625"/>
    <w:rsid w:val="0A2E41DE"/>
    <w:rsid w:val="0A3B592F"/>
    <w:rsid w:val="0A540824"/>
    <w:rsid w:val="0A96247D"/>
    <w:rsid w:val="0AA06172"/>
    <w:rsid w:val="0AD03E4D"/>
    <w:rsid w:val="0AD727CC"/>
    <w:rsid w:val="0AF420EB"/>
    <w:rsid w:val="0AF93EBF"/>
    <w:rsid w:val="0B165B61"/>
    <w:rsid w:val="0B1C6875"/>
    <w:rsid w:val="0BA87E4E"/>
    <w:rsid w:val="0BB7047B"/>
    <w:rsid w:val="0BE4053F"/>
    <w:rsid w:val="0C7C7FF7"/>
    <w:rsid w:val="0D2061AC"/>
    <w:rsid w:val="0D3F5658"/>
    <w:rsid w:val="0D485EF5"/>
    <w:rsid w:val="0D662E08"/>
    <w:rsid w:val="0D733105"/>
    <w:rsid w:val="0D9C09ED"/>
    <w:rsid w:val="0DF742E8"/>
    <w:rsid w:val="0E7B6D85"/>
    <w:rsid w:val="0E834F70"/>
    <w:rsid w:val="0EEF6D6E"/>
    <w:rsid w:val="0FBB78BE"/>
    <w:rsid w:val="1003544B"/>
    <w:rsid w:val="101D0F8B"/>
    <w:rsid w:val="1096431C"/>
    <w:rsid w:val="10B031BC"/>
    <w:rsid w:val="10C35E8B"/>
    <w:rsid w:val="10D178BC"/>
    <w:rsid w:val="113843D5"/>
    <w:rsid w:val="11417DBB"/>
    <w:rsid w:val="11592BC4"/>
    <w:rsid w:val="11C0272D"/>
    <w:rsid w:val="11C057DE"/>
    <w:rsid w:val="12197DEB"/>
    <w:rsid w:val="12516416"/>
    <w:rsid w:val="125E4678"/>
    <w:rsid w:val="126702D4"/>
    <w:rsid w:val="129E2F84"/>
    <w:rsid w:val="12C92ADE"/>
    <w:rsid w:val="12E966E5"/>
    <w:rsid w:val="12F37627"/>
    <w:rsid w:val="13A24293"/>
    <w:rsid w:val="14496F20"/>
    <w:rsid w:val="14BA2415"/>
    <w:rsid w:val="153100E0"/>
    <w:rsid w:val="153418BD"/>
    <w:rsid w:val="15421C87"/>
    <w:rsid w:val="156F5159"/>
    <w:rsid w:val="158521DA"/>
    <w:rsid w:val="15CD34A4"/>
    <w:rsid w:val="16451866"/>
    <w:rsid w:val="165F6ECF"/>
    <w:rsid w:val="168316AA"/>
    <w:rsid w:val="16D301F3"/>
    <w:rsid w:val="16E17DD4"/>
    <w:rsid w:val="175FBCB9"/>
    <w:rsid w:val="17B40B51"/>
    <w:rsid w:val="17CC0594"/>
    <w:rsid w:val="17DF0A39"/>
    <w:rsid w:val="1817425C"/>
    <w:rsid w:val="18273794"/>
    <w:rsid w:val="18331326"/>
    <w:rsid w:val="18730FBB"/>
    <w:rsid w:val="19B737E8"/>
    <w:rsid w:val="19C05DE0"/>
    <w:rsid w:val="19C76927"/>
    <w:rsid w:val="1A0719B4"/>
    <w:rsid w:val="1A4B0B32"/>
    <w:rsid w:val="1A5D3284"/>
    <w:rsid w:val="1A971989"/>
    <w:rsid w:val="1B3874B6"/>
    <w:rsid w:val="1B497E7B"/>
    <w:rsid w:val="1BA333BA"/>
    <w:rsid w:val="1BDB3339"/>
    <w:rsid w:val="1C543A84"/>
    <w:rsid w:val="1C5A0364"/>
    <w:rsid w:val="1CD203FA"/>
    <w:rsid w:val="1CD64FCE"/>
    <w:rsid w:val="1D515A96"/>
    <w:rsid w:val="1DBD3400"/>
    <w:rsid w:val="1E4A7D3D"/>
    <w:rsid w:val="1E71779F"/>
    <w:rsid w:val="1F1C08CF"/>
    <w:rsid w:val="1F1D06CD"/>
    <w:rsid w:val="1F7EA485"/>
    <w:rsid w:val="1FA35296"/>
    <w:rsid w:val="1FB0145D"/>
    <w:rsid w:val="203D5912"/>
    <w:rsid w:val="206477CF"/>
    <w:rsid w:val="21E408A9"/>
    <w:rsid w:val="21FD32C2"/>
    <w:rsid w:val="22103E70"/>
    <w:rsid w:val="222E107F"/>
    <w:rsid w:val="22B740D9"/>
    <w:rsid w:val="232E4DDA"/>
    <w:rsid w:val="23352B00"/>
    <w:rsid w:val="234506C8"/>
    <w:rsid w:val="236D5462"/>
    <w:rsid w:val="23D12EEB"/>
    <w:rsid w:val="24217D2C"/>
    <w:rsid w:val="24385AD4"/>
    <w:rsid w:val="244016D9"/>
    <w:rsid w:val="2480698E"/>
    <w:rsid w:val="24854473"/>
    <w:rsid w:val="24BB646F"/>
    <w:rsid w:val="250F7DBC"/>
    <w:rsid w:val="255B4D05"/>
    <w:rsid w:val="25716BFB"/>
    <w:rsid w:val="259569FE"/>
    <w:rsid w:val="25A612D4"/>
    <w:rsid w:val="25BA230B"/>
    <w:rsid w:val="25EA04D9"/>
    <w:rsid w:val="26077621"/>
    <w:rsid w:val="26A45A60"/>
    <w:rsid w:val="26FE1BD3"/>
    <w:rsid w:val="273700B2"/>
    <w:rsid w:val="274A1985"/>
    <w:rsid w:val="27C375BA"/>
    <w:rsid w:val="27CF4211"/>
    <w:rsid w:val="27E40425"/>
    <w:rsid w:val="27FF54B0"/>
    <w:rsid w:val="28612D36"/>
    <w:rsid w:val="28E2004C"/>
    <w:rsid w:val="291C47AB"/>
    <w:rsid w:val="2A0C65CE"/>
    <w:rsid w:val="2A7236A6"/>
    <w:rsid w:val="2AD759AA"/>
    <w:rsid w:val="2B01299A"/>
    <w:rsid w:val="2B0C1576"/>
    <w:rsid w:val="2B0D1C03"/>
    <w:rsid w:val="2B881748"/>
    <w:rsid w:val="2B924C43"/>
    <w:rsid w:val="2C175831"/>
    <w:rsid w:val="2C3A11E0"/>
    <w:rsid w:val="2C602C15"/>
    <w:rsid w:val="2C6C65C5"/>
    <w:rsid w:val="2D6606B3"/>
    <w:rsid w:val="2DC07A9F"/>
    <w:rsid w:val="2E20054F"/>
    <w:rsid w:val="2E2E1209"/>
    <w:rsid w:val="2E535703"/>
    <w:rsid w:val="2E552C39"/>
    <w:rsid w:val="2E825DAC"/>
    <w:rsid w:val="2E9402F8"/>
    <w:rsid w:val="2F8530AA"/>
    <w:rsid w:val="30CF6BB7"/>
    <w:rsid w:val="310130F0"/>
    <w:rsid w:val="32290665"/>
    <w:rsid w:val="3286095D"/>
    <w:rsid w:val="32FFF253"/>
    <w:rsid w:val="33226377"/>
    <w:rsid w:val="33E7742E"/>
    <w:rsid w:val="34874641"/>
    <w:rsid w:val="349F7963"/>
    <w:rsid w:val="34E77538"/>
    <w:rsid w:val="353F1A6B"/>
    <w:rsid w:val="356A0255"/>
    <w:rsid w:val="358B35DA"/>
    <w:rsid w:val="362F1FC2"/>
    <w:rsid w:val="36774ACB"/>
    <w:rsid w:val="368857DA"/>
    <w:rsid w:val="36E827A8"/>
    <w:rsid w:val="375B2E98"/>
    <w:rsid w:val="379215C2"/>
    <w:rsid w:val="37CEBC06"/>
    <w:rsid w:val="37FE9268"/>
    <w:rsid w:val="37FF8A3E"/>
    <w:rsid w:val="3872263A"/>
    <w:rsid w:val="38C904AC"/>
    <w:rsid w:val="39112E4B"/>
    <w:rsid w:val="39180462"/>
    <w:rsid w:val="39B12CEE"/>
    <w:rsid w:val="3A0F4767"/>
    <w:rsid w:val="3A4362D9"/>
    <w:rsid w:val="3AA27AA6"/>
    <w:rsid w:val="3B7F3250"/>
    <w:rsid w:val="3BA743A8"/>
    <w:rsid w:val="3BD17B59"/>
    <w:rsid w:val="3BFE0549"/>
    <w:rsid w:val="3BFE7260"/>
    <w:rsid w:val="3C402C41"/>
    <w:rsid w:val="3C8B16E3"/>
    <w:rsid w:val="3CD64E87"/>
    <w:rsid w:val="3CE5131E"/>
    <w:rsid w:val="3D2DA6AB"/>
    <w:rsid w:val="3D80561C"/>
    <w:rsid w:val="3DEE3665"/>
    <w:rsid w:val="3DFC4F6C"/>
    <w:rsid w:val="3E180914"/>
    <w:rsid w:val="3E1D3EFC"/>
    <w:rsid w:val="3E6D8BF3"/>
    <w:rsid w:val="3E7B25FD"/>
    <w:rsid w:val="3E835666"/>
    <w:rsid w:val="3EB23790"/>
    <w:rsid w:val="3F57A026"/>
    <w:rsid w:val="3F731A2B"/>
    <w:rsid w:val="3F7528A1"/>
    <w:rsid w:val="3F8B6590"/>
    <w:rsid w:val="3FBF2429"/>
    <w:rsid w:val="3FF99AF8"/>
    <w:rsid w:val="4007628D"/>
    <w:rsid w:val="4157061F"/>
    <w:rsid w:val="417C22E7"/>
    <w:rsid w:val="41C00471"/>
    <w:rsid w:val="41C53626"/>
    <w:rsid w:val="41CC3211"/>
    <w:rsid w:val="41D91034"/>
    <w:rsid w:val="422B27D0"/>
    <w:rsid w:val="42751BC0"/>
    <w:rsid w:val="427C06FC"/>
    <w:rsid w:val="429E2606"/>
    <w:rsid w:val="42B94406"/>
    <w:rsid w:val="43CA77AB"/>
    <w:rsid w:val="440E537B"/>
    <w:rsid w:val="444941FA"/>
    <w:rsid w:val="44615A3C"/>
    <w:rsid w:val="448C0076"/>
    <w:rsid w:val="45043CAF"/>
    <w:rsid w:val="4513485D"/>
    <w:rsid w:val="452F054D"/>
    <w:rsid w:val="455D4EFD"/>
    <w:rsid w:val="45633A36"/>
    <w:rsid w:val="45AB70F0"/>
    <w:rsid w:val="45DF6B3D"/>
    <w:rsid w:val="45E561F9"/>
    <w:rsid w:val="465F0A94"/>
    <w:rsid w:val="469730DC"/>
    <w:rsid w:val="46A973DC"/>
    <w:rsid w:val="46C11ECD"/>
    <w:rsid w:val="4765561C"/>
    <w:rsid w:val="47741680"/>
    <w:rsid w:val="47B270AC"/>
    <w:rsid w:val="47D83A25"/>
    <w:rsid w:val="48272AF9"/>
    <w:rsid w:val="485C5852"/>
    <w:rsid w:val="48686E12"/>
    <w:rsid w:val="48D333D9"/>
    <w:rsid w:val="48DB00FB"/>
    <w:rsid w:val="48F36E7F"/>
    <w:rsid w:val="490525B3"/>
    <w:rsid w:val="49457B9B"/>
    <w:rsid w:val="497A76F7"/>
    <w:rsid w:val="4A05330E"/>
    <w:rsid w:val="4A895CED"/>
    <w:rsid w:val="4A8C4AFC"/>
    <w:rsid w:val="4B311B8B"/>
    <w:rsid w:val="4B3B68BB"/>
    <w:rsid w:val="4B8E3BA2"/>
    <w:rsid w:val="4BAD69B7"/>
    <w:rsid w:val="4BF54AF5"/>
    <w:rsid w:val="4C3D61CB"/>
    <w:rsid w:val="4C3FD89D"/>
    <w:rsid w:val="4C9D15DC"/>
    <w:rsid w:val="4CE31D74"/>
    <w:rsid w:val="4D431FC6"/>
    <w:rsid w:val="4D7C5695"/>
    <w:rsid w:val="4D933355"/>
    <w:rsid w:val="4DA92D35"/>
    <w:rsid w:val="4DB07082"/>
    <w:rsid w:val="4DB10A29"/>
    <w:rsid w:val="4E1A4EAE"/>
    <w:rsid w:val="4E274EB7"/>
    <w:rsid w:val="4EAA2B1D"/>
    <w:rsid w:val="4F057F78"/>
    <w:rsid w:val="4FD330C3"/>
    <w:rsid w:val="4FFE189D"/>
    <w:rsid w:val="50104849"/>
    <w:rsid w:val="506D7517"/>
    <w:rsid w:val="50D62D86"/>
    <w:rsid w:val="5150022C"/>
    <w:rsid w:val="519576CA"/>
    <w:rsid w:val="51C576C2"/>
    <w:rsid w:val="52335BE3"/>
    <w:rsid w:val="525C42D9"/>
    <w:rsid w:val="527E231C"/>
    <w:rsid w:val="52D4323D"/>
    <w:rsid w:val="52D81D08"/>
    <w:rsid w:val="52F0FC55"/>
    <w:rsid w:val="5322283B"/>
    <w:rsid w:val="53547C35"/>
    <w:rsid w:val="5371731E"/>
    <w:rsid w:val="53724986"/>
    <w:rsid w:val="53920CE2"/>
    <w:rsid w:val="53FFC16A"/>
    <w:rsid w:val="54085ED4"/>
    <w:rsid w:val="54881C71"/>
    <w:rsid w:val="549567C5"/>
    <w:rsid w:val="54C641E4"/>
    <w:rsid w:val="55450A62"/>
    <w:rsid w:val="55EE10FA"/>
    <w:rsid w:val="56016118"/>
    <w:rsid w:val="56332FB1"/>
    <w:rsid w:val="56531932"/>
    <w:rsid w:val="567024EE"/>
    <w:rsid w:val="568E3CA3"/>
    <w:rsid w:val="56996B81"/>
    <w:rsid w:val="56C07888"/>
    <w:rsid w:val="575C1AF1"/>
    <w:rsid w:val="57DFB5CE"/>
    <w:rsid w:val="57FF5B25"/>
    <w:rsid w:val="59DC167D"/>
    <w:rsid w:val="59FF3F85"/>
    <w:rsid w:val="5A407A4A"/>
    <w:rsid w:val="5A6C4CE3"/>
    <w:rsid w:val="5A9D5D69"/>
    <w:rsid w:val="5B501F0F"/>
    <w:rsid w:val="5B9D7598"/>
    <w:rsid w:val="5BDE9E36"/>
    <w:rsid w:val="5BFE38B6"/>
    <w:rsid w:val="5C1163F7"/>
    <w:rsid w:val="5C3B55CB"/>
    <w:rsid w:val="5C69147C"/>
    <w:rsid w:val="5C7806CE"/>
    <w:rsid w:val="5CBF61F8"/>
    <w:rsid w:val="5CD7369C"/>
    <w:rsid w:val="5CDC5254"/>
    <w:rsid w:val="5CFDD970"/>
    <w:rsid w:val="5D2353DA"/>
    <w:rsid w:val="5D79322D"/>
    <w:rsid w:val="5D7A7717"/>
    <w:rsid w:val="5D7CB00C"/>
    <w:rsid w:val="5D926BDC"/>
    <w:rsid w:val="5DBD47D0"/>
    <w:rsid w:val="5DBE36B0"/>
    <w:rsid w:val="5DF76C4C"/>
    <w:rsid w:val="5E276C77"/>
    <w:rsid w:val="5E785187"/>
    <w:rsid w:val="5E8C5954"/>
    <w:rsid w:val="5EAF8A18"/>
    <w:rsid w:val="5ECC51D7"/>
    <w:rsid w:val="5EE276D6"/>
    <w:rsid w:val="5EF32035"/>
    <w:rsid w:val="5F017E47"/>
    <w:rsid w:val="5F5C53FD"/>
    <w:rsid w:val="5F93686E"/>
    <w:rsid w:val="5FA80919"/>
    <w:rsid w:val="5FB707AE"/>
    <w:rsid w:val="5FD72DBF"/>
    <w:rsid w:val="5FE7CA5F"/>
    <w:rsid w:val="5FF4A71C"/>
    <w:rsid w:val="60AA6949"/>
    <w:rsid w:val="60AD38C4"/>
    <w:rsid w:val="60D40917"/>
    <w:rsid w:val="61D5049B"/>
    <w:rsid w:val="61E0223F"/>
    <w:rsid w:val="6229690A"/>
    <w:rsid w:val="622A495F"/>
    <w:rsid w:val="62817750"/>
    <w:rsid w:val="628F492A"/>
    <w:rsid w:val="629E620F"/>
    <w:rsid w:val="62CC7A09"/>
    <w:rsid w:val="63022AC4"/>
    <w:rsid w:val="636226EC"/>
    <w:rsid w:val="63772B6D"/>
    <w:rsid w:val="639F0828"/>
    <w:rsid w:val="63E04448"/>
    <w:rsid w:val="63F37FBF"/>
    <w:rsid w:val="640676A5"/>
    <w:rsid w:val="64137F7D"/>
    <w:rsid w:val="6416019A"/>
    <w:rsid w:val="644569B0"/>
    <w:rsid w:val="648B377A"/>
    <w:rsid w:val="649F2FD7"/>
    <w:rsid w:val="653D32B2"/>
    <w:rsid w:val="6656741B"/>
    <w:rsid w:val="66613222"/>
    <w:rsid w:val="66A14FAE"/>
    <w:rsid w:val="66D165FA"/>
    <w:rsid w:val="671B406E"/>
    <w:rsid w:val="671C4BEC"/>
    <w:rsid w:val="676F7BC1"/>
    <w:rsid w:val="67A67EF1"/>
    <w:rsid w:val="67B53825"/>
    <w:rsid w:val="67E95273"/>
    <w:rsid w:val="67FD2028"/>
    <w:rsid w:val="681C1F38"/>
    <w:rsid w:val="685F7C35"/>
    <w:rsid w:val="68D575AA"/>
    <w:rsid w:val="68E72104"/>
    <w:rsid w:val="68F27821"/>
    <w:rsid w:val="6935145D"/>
    <w:rsid w:val="69461BB7"/>
    <w:rsid w:val="696A4AE4"/>
    <w:rsid w:val="69960099"/>
    <w:rsid w:val="69B313EE"/>
    <w:rsid w:val="69DC7C0D"/>
    <w:rsid w:val="6A351C0D"/>
    <w:rsid w:val="6A5A4B58"/>
    <w:rsid w:val="6B084207"/>
    <w:rsid w:val="6B2A576D"/>
    <w:rsid w:val="6C240F7A"/>
    <w:rsid w:val="6C450AD1"/>
    <w:rsid w:val="6CB96BF9"/>
    <w:rsid w:val="6CDBAF41"/>
    <w:rsid w:val="6CF4EB93"/>
    <w:rsid w:val="6D3D9E05"/>
    <w:rsid w:val="6D4FAEA6"/>
    <w:rsid w:val="6D57ACCE"/>
    <w:rsid w:val="6DAD0538"/>
    <w:rsid w:val="6DFFB935"/>
    <w:rsid w:val="6E157CDF"/>
    <w:rsid w:val="6E8201C8"/>
    <w:rsid w:val="6F083F6E"/>
    <w:rsid w:val="6F7ABDF4"/>
    <w:rsid w:val="6FCF47C7"/>
    <w:rsid w:val="6FEFE785"/>
    <w:rsid w:val="6FF5B9C5"/>
    <w:rsid w:val="6FFB0243"/>
    <w:rsid w:val="6FFFE51A"/>
    <w:rsid w:val="70525DFD"/>
    <w:rsid w:val="70616C6C"/>
    <w:rsid w:val="709D6C50"/>
    <w:rsid w:val="70DE203F"/>
    <w:rsid w:val="711B4B30"/>
    <w:rsid w:val="71493231"/>
    <w:rsid w:val="717E2C30"/>
    <w:rsid w:val="725F7E84"/>
    <w:rsid w:val="726607AF"/>
    <w:rsid w:val="732F733A"/>
    <w:rsid w:val="733F99F4"/>
    <w:rsid w:val="73771A11"/>
    <w:rsid w:val="73AA6B80"/>
    <w:rsid w:val="73C0329B"/>
    <w:rsid w:val="73DDCDFA"/>
    <w:rsid w:val="7460673E"/>
    <w:rsid w:val="746F3F67"/>
    <w:rsid w:val="74A00479"/>
    <w:rsid w:val="74FA8E29"/>
    <w:rsid w:val="751C3136"/>
    <w:rsid w:val="757B1669"/>
    <w:rsid w:val="764F480F"/>
    <w:rsid w:val="76B670DA"/>
    <w:rsid w:val="76DD4AE6"/>
    <w:rsid w:val="77327564"/>
    <w:rsid w:val="77D8168C"/>
    <w:rsid w:val="7858381C"/>
    <w:rsid w:val="786FA463"/>
    <w:rsid w:val="78A13CF9"/>
    <w:rsid w:val="78A227B0"/>
    <w:rsid w:val="794A7131"/>
    <w:rsid w:val="795545C7"/>
    <w:rsid w:val="79B77EDC"/>
    <w:rsid w:val="79C1634F"/>
    <w:rsid w:val="79FD6003"/>
    <w:rsid w:val="7A0348C4"/>
    <w:rsid w:val="7A4E3EBC"/>
    <w:rsid w:val="7AC676A0"/>
    <w:rsid w:val="7ADB3FD7"/>
    <w:rsid w:val="7AF99A07"/>
    <w:rsid w:val="7B2C7682"/>
    <w:rsid w:val="7B4E0E98"/>
    <w:rsid w:val="7BCEAE86"/>
    <w:rsid w:val="7BF580DE"/>
    <w:rsid w:val="7BF70459"/>
    <w:rsid w:val="7BFF3D88"/>
    <w:rsid w:val="7C1E35E0"/>
    <w:rsid w:val="7C286EE2"/>
    <w:rsid w:val="7CCB71F0"/>
    <w:rsid w:val="7CCD740C"/>
    <w:rsid w:val="7CD009C2"/>
    <w:rsid w:val="7CDA1DE4"/>
    <w:rsid w:val="7CEA3C03"/>
    <w:rsid w:val="7D910598"/>
    <w:rsid w:val="7D981287"/>
    <w:rsid w:val="7D9D293A"/>
    <w:rsid w:val="7DF3C23A"/>
    <w:rsid w:val="7DF901D8"/>
    <w:rsid w:val="7ED7449A"/>
    <w:rsid w:val="7F204B4A"/>
    <w:rsid w:val="7F5EA0BA"/>
    <w:rsid w:val="7F7FAD19"/>
    <w:rsid w:val="7F8364BF"/>
    <w:rsid w:val="7FBF303C"/>
    <w:rsid w:val="7FCF3D64"/>
    <w:rsid w:val="7FE766B7"/>
    <w:rsid w:val="7FF425B8"/>
    <w:rsid w:val="7FFD4E82"/>
    <w:rsid w:val="7FFEF2B1"/>
    <w:rsid w:val="8F7FE42E"/>
    <w:rsid w:val="9F5F80F6"/>
    <w:rsid w:val="9FDFF15B"/>
    <w:rsid w:val="9FFD428E"/>
    <w:rsid w:val="9FFFAD68"/>
    <w:rsid w:val="A5ADE9FC"/>
    <w:rsid w:val="A7DFDF0C"/>
    <w:rsid w:val="ACFDC34F"/>
    <w:rsid w:val="AF6D5412"/>
    <w:rsid w:val="B575ABFA"/>
    <w:rsid w:val="B7B55A17"/>
    <w:rsid w:val="B7DF3DDD"/>
    <w:rsid w:val="B7F3D1C4"/>
    <w:rsid w:val="B7FCCBC7"/>
    <w:rsid w:val="B953280A"/>
    <w:rsid w:val="B97FBE4D"/>
    <w:rsid w:val="B9DD0267"/>
    <w:rsid w:val="BBCF8F20"/>
    <w:rsid w:val="BBEDC902"/>
    <w:rsid w:val="BBF7A638"/>
    <w:rsid w:val="BBFF2971"/>
    <w:rsid w:val="BD7FBCB7"/>
    <w:rsid w:val="BE6A5BE7"/>
    <w:rsid w:val="BF37F729"/>
    <w:rsid w:val="BF8B13C0"/>
    <w:rsid w:val="BFFFF53D"/>
    <w:rsid w:val="CBDF6186"/>
    <w:rsid w:val="D6BBC192"/>
    <w:rsid w:val="D79EE4BA"/>
    <w:rsid w:val="D7DB571F"/>
    <w:rsid w:val="D7DFA3C4"/>
    <w:rsid w:val="DDEEB31B"/>
    <w:rsid w:val="DED4F47A"/>
    <w:rsid w:val="DEDFC5B8"/>
    <w:rsid w:val="DEFD5FA7"/>
    <w:rsid w:val="DEFD9BC1"/>
    <w:rsid w:val="DF777CE4"/>
    <w:rsid w:val="DFFEA6F2"/>
    <w:rsid w:val="E2F705B5"/>
    <w:rsid w:val="E63332E1"/>
    <w:rsid w:val="E8FF76CC"/>
    <w:rsid w:val="EA9F9247"/>
    <w:rsid w:val="EBF78AB1"/>
    <w:rsid w:val="ECFD65BF"/>
    <w:rsid w:val="ED8F96D6"/>
    <w:rsid w:val="EDEB12A7"/>
    <w:rsid w:val="EEF338DA"/>
    <w:rsid w:val="EF3FB322"/>
    <w:rsid w:val="EFBBD418"/>
    <w:rsid w:val="F0F78A97"/>
    <w:rsid w:val="F1FB1C85"/>
    <w:rsid w:val="F2DBDDFB"/>
    <w:rsid w:val="F35FC2F9"/>
    <w:rsid w:val="F395FAFB"/>
    <w:rsid w:val="F3DD2DC5"/>
    <w:rsid w:val="F3DF8EF6"/>
    <w:rsid w:val="F46F6E3F"/>
    <w:rsid w:val="F54BB08B"/>
    <w:rsid w:val="F67B71FE"/>
    <w:rsid w:val="F7D7A9AD"/>
    <w:rsid w:val="F7F5D6DF"/>
    <w:rsid w:val="F7F637E0"/>
    <w:rsid w:val="F87DB21E"/>
    <w:rsid w:val="F8DD34F1"/>
    <w:rsid w:val="F97C1E1C"/>
    <w:rsid w:val="F99FC187"/>
    <w:rsid w:val="FB396398"/>
    <w:rsid w:val="FBFFB636"/>
    <w:rsid w:val="FBFFDBA7"/>
    <w:rsid w:val="FC7EF56D"/>
    <w:rsid w:val="FCB9C12E"/>
    <w:rsid w:val="FCE7A0A5"/>
    <w:rsid w:val="FCFFB184"/>
    <w:rsid w:val="FD67F80E"/>
    <w:rsid w:val="FDD76F25"/>
    <w:rsid w:val="FDDE4296"/>
    <w:rsid w:val="FEFB5234"/>
    <w:rsid w:val="FF3335F7"/>
    <w:rsid w:val="FF6F0D04"/>
    <w:rsid w:val="FF914F37"/>
    <w:rsid w:val="FFA471DF"/>
    <w:rsid w:val="FFB87FDD"/>
    <w:rsid w:val="FFC79017"/>
    <w:rsid w:val="FFD97CBD"/>
    <w:rsid w:val="FFEF9DD6"/>
    <w:rsid w:val="FFF53F9E"/>
    <w:rsid w:val="FFF71391"/>
    <w:rsid w:val="FFFF38F2"/>
    <w:rsid w:val="FFFF74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spacing w:before="340" w:after="330" w:line="578" w:lineRule="auto"/>
      <w:outlineLvl w:val="0"/>
    </w:pPr>
    <w:rPr>
      <w:b/>
      <w:kern w:val="44"/>
      <w:sz w:val="44"/>
      <w:szCs w:val="24"/>
    </w:rPr>
  </w:style>
  <w:style w:type="paragraph" w:styleId="4">
    <w:name w:val="heading 2"/>
    <w:basedOn w:val="1"/>
    <w:next w:val="1"/>
    <w:link w:val="31"/>
    <w:qFormat/>
    <w:uiPriority w:val="9"/>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semiHidden/>
    <w:unhideWhenUsed/>
    <w:qFormat/>
    <w:uiPriority w:val="0"/>
    <w:pPr>
      <w:spacing w:beforeAutospacing="1" w:afterAutospacing="1"/>
      <w:jc w:val="left"/>
      <w:outlineLvl w:val="2"/>
    </w:pPr>
    <w:rPr>
      <w:rFonts w:hint="eastAsia" w:ascii="宋体" w:hAnsi="宋体"/>
      <w:b/>
      <w:bCs/>
      <w:kern w:val="0"/>
      <w:sz w:val="27"/>
      <w:szCs w:val="27"/>
    </w:rPr>
  </w:style>
  <w:style w:type="paragraph" w:styleId="6">
    <w:name w:val="heading 4"/>
    <w:basedOn w:val="1"/>
    <w:next w:val="1"/>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ind w:firstLine="795"/>
    </w:pPr>
    <w:rPr>
      <w:sz w:val="32"/>
    </w:rPr>
  </w:style>
  <w:style w:type="paragraph" w:styleId="7">
    <w:name w:val="Normal Indent"/>
    <w:basedOn w:val="1"/>
    <w:qFormat/>
    <w:uiPriority w:val="99"/>
    <w:pPr>
      <w:ind w:firstLine="420"/>
    </w:pPr>
    <w:rPr>
      <w:rFonts w:ascii="宋体"/>
      <w:sz w:val="24"/>
    </w:rPr>
  </w:style>
  <w:style w:type="paragraph" w:styleId="8">
    <w:name w:val="annotation text"/>
    <w:basedOn w:val="1"/>
    <w:link w:val="38"/>
    <w:qFormat/>
    <w:uiPriority w:val="99"/>
    <w:pPr>
      <w:jc w:val="left"/>
    </w:pPr>
  </w:style>
  <w:style w:type="paragraph" w:styleId="9">
    <w:name w:val="Body Text"/>
    <w:basedOn w:val="1"/>
    <w:next w:val="10"/>
    <w:link w:val="41"/>
    <w:qFormat/>
    <w:uiPriority w:val="0"/>
    <w:pPr>
      <w:spacing w:after="120"/>
    </w:pPr>
  </w:style>
  <w:style w:type="paragraph" w:styleId="10">
    <w:name w:val="Title"/>
    <w:basedOn w:val="1"/>
    <w:next w:val="1"/>
    <w:qFormat/>
    <w:uiPriority w:val="10"/>
    <w:pPr>
      <w:spacing w:before="240" w:after="60"/>
      <w:jc w:val="center"/>
      <w:outlineLvl w:val="0"/>
    </w:pPr>
    <w:rPr>
      <w:rFonts w:ascii="Cambria" w:hAnsi="Cambria"/>
      <w:b/>
      <w:bCs/>
      <w:sz w:val="32"/>
      <w:szCs w:val="32"/>
    </w:rPr>
  </w:style>
  <w:style w:type="paragraph" w:styleId="11">
    <w:name w:val="toc 3"/>
    <w:basedOn w:val="1"/>
    <w:next w:val="1"/>
    <w:unhideWhenUsed/>
    <w:qFormat/>
    <w:uiPriority w:val="39"/>
    <w:pPr>
      <w:widowControl/>
      <w:spacing w:after="100" w:line="259" w:lineRule="auto"/>
      <w:ind w:left="440"/>
      <w:jc w:val="left"/>
    </w:pPr>
    <w:rPr>
      <w:rFonts w:asciiTheme="minorHAnsi" w:hAnsiTheme="minorHAnsi" w:eastAsiaTheme="minorEastAsia"/>
      <w:kern w:val="0"/>
      <w:sz w:val="22"/>
    </w:rPr>
  </w:style>
  <w:style w:type="paragraph" w:styleId="12">
    <w:name w:val="Plain Text"/>
    <w:basedOn w:val="1"/>
    <w:link w:val="56"/>
    <w:qFormat/>
    <w:uiPriority w:val="0"/>
    <w:rPr>
      <w:rFonts w:ascii="宋体" w:hAnsi="Courier New"/>
    </w:rPr>
  </w:style>
  <w:style w:type="paragraph" w:styleId="13">
    <w:name w:val="Balloon Text"/>
    <w:basedOn w:val="1"/>
    <w:link w:val="57"/>
    <w:qFormat/>
    <w:uiPriority w:val="0"/>
    <w:rPr>
      <w:sz w:val="18"/>
      <w:szCs w:val="18"/>
    </w:rPr>
  </w:style>
  <w:style w:type="paragraph" w:styleId="14">
    <w:name w:val="footer"/>
    <w:basedOn w:val="1"/>
    <w:link w:val="44"/>
    <w:qFormat/>
    <w:uiPriority w:val="99"/>
    <w:pPr>
      <w:tabs>
        <w:tab w:val="center" w:pos="4153"/>
        <w:tab w:val="right" w:pos="8306"/>
      </w:tabs>
      <w:snapToGrid w:val="0"/>
      <w:jc w:val="left"/>
    </w:pPr>
    <w:rPr>
      <w:sz w:val="18"/>
    </w:rPr>
  </w:style>
  <w:style w:type="paragraph" w:styleId="15">
    <w:name w:val="envelope return"/>
    <w:basedOn w:val="1"/>
    <w:next w:val="2"/>
    <w:qFormat/>
    <w:uiPriority w:val="0"/>
    <w:pPr>
      <w:snapToGrid w:val="0"/>
    </w:pPr>
    <w:rPr>
      <w:rFonts w:ascii="Arial" w:hAnsi="Arial"/>
    </w:rPr>
  </w:style>
  <w:style w:type="paragraph" w:styleId="16">
    <w:name w:val="header"/>
    <w:basedOn w:val="1"/>
    <w:link w:val="37"/>
    <w:qFormat/>
    <w:uiPriority w:val="99"/>
    <w:pPr>
      <w:tabs>
        <w:tab w:val="center" w:pos="4153"/>
        <w:tab w:val="right" w:pos="8306"/>
      </w:tabs>
      <w:snapToGrid w:val="0"/>
      <w:jc w:val="center"/>
    </w:pPr>
    <w:rPr>
      <w:sz w:val="18"/>
      <w:szCs w:val="18"/>
    </w:rPr>
  </w:style>
  <w:style w:type="paragraph" w:styleId="17">
    <w:name w:val="toc 1"/>
    <w:basedOn w:val="1"/>
    <w:next w:val="1"/>
    <w:qFormat/>
    <w:uiPriority w:val="39"/>
    <w:pPr>
      <w:spacing w:before="240" w:after="120"/>
      <w:jc w:val="left"/>
    </w:pPr>
    <w:rPr>
      <w:rFonts w:ascii="等线" w:eastAsia="等线"/>
      <w:b/>
      <w:bCs/>
      <w:sz w:val="20"/>
    </w:rPr>
  </w:style>
  <w:style w:type="paragraph" w:styleId="18">
    <w:name w:val="Subtitle"/>
    <w:basedOn w:val="1"/>
    <w:next w:val="1"/>
    <w:qFormat/>
    <w:uiPriority w:val="0"/>
    <w:pPr>
      <w:widowControl/>
      <w:spacing w:after="600" w:line="276" w:lineRule="auto"/>
      <w:jc w:val="left"/>
    </w:pPr>
    <w:rPr>
      <w:rFonts w:ascii="Cambria" w:hAnsi="Cambria"/>
      <w:i/>
      <w:iCs/>
      <w:spacing w:val="13"/>
      <w:kern w:val="0"/>
      <w:sz w:val="24"/>
      <w:szCs w:val="24"/>
      <w:lang w:eastAsia="en-US" w:bidi="en-US"/>
    </w:rPr>
  </w:style>
  <w:style w:type="paragraph" w:styleId="19">
    <w:name w:val="toc 2"/>
    <w:basedOn w:val="1"/>
    <w:next w:val="1"/>
    <w:unhideWhenUsed/>
    <w:qFormat/>
    <w:uiPriority w:val="39"/>
    <w:pPr>
      <w:widowControl/>
      <w:spacing w:after="100" w:line="259" w:lineRule="auto"/>
      <w:ind w:left="220"/>
      <w:jc w:val="left"/>
    </w:pPr>
    <w:rPr>
      <w:rFonts w:asciiTheme="minorHAnsi" w:hAnsiTheme="minorHAnsi" w:eastAsiaTheme="minorEastAsia"/>
      <w:kern w:val="0"/>
      <w:sz w:val="22"/>
    </w:rPr>
  </w:style>
  <w:style w:type="paragraph" w:styleId="20">
    <w:name w:val="Body Text 2"/>
    <w:basedOn w:val="1"/>
    <w:qFormat/>
    <w:uiPriority w:val="0"/>
    <w:pPr>
      <w:spacing w:after="120" w:line="480" w:lineRule="auto"/>
    </w:pPr>
  </w:style>
  <w:style w:type="paragraph" w:styleId="21">
    <w:name w:val="Normal (Web)"/>
    <w:basedOn w:val="1"/>
    <w:qFormat/>
    <w:uiPriority w:val="0"/>
    <w:pPr>
      <w:spacing w:beforeAutospacing="1" w:afterAutospacing="1"/>
      <w:jc w:val="left"/>
    </w:pPr>
    <w:rPr>
      <w:kern w:val="0"/>
      <w:sz w:val="24"/>
    </w:rPr>
  </w:style>
  <w:style w:type="paragraph" w:styleId="22">
    <w:name w:val="annotation subject"/>
    <w:basedOn w:val="8"/>
    <w:next w:val="8"/>
    <w:link w:val="39"/>
    <w:qFormat/>
    <w:uiPriority w:val="0"/>
    <w:rPr>
      <w:b/>
      <w:bCs/>
    </w:rPr>
  </w:style>
  <w:style w:type="paragraph" w:styleId="23">
    <w:name w:val="Body Text First Indent"/>
    <w:basedOn w:val="9"/>
    <w:unhideWhenUsed/>
    <w:qFormat/>
    <w:uiPriority w:val="0"/>
    <w:pPr>
      <w:spacing w:line="360" w:lineRule="auto"/>
      <w:ind w:firstLine="482"/>
    </w:pPr>
    <w:rPr>
      <w:b/>
      <w:sz w:val="24"/>
    </w:rPr>
  </w:style>
  <w:style w:type="paragraph" w:styleId="24">
    <w:name w:val="Body Text First Indent 2"/>
    <w:basedOn w:val="2"/>
    <w:next w:val="1"/>
    <w:link w:val="50"/>
    <w:unhideWhenUsed/>
    <w:qFormat/>
    <w:uiPriority w:val="0"/>
    <w:pPr>
      <w:ind w:firstLine="420" w:firstLineChars="200"/>
    </w:pPr>
  </w:style>
  <w:style w:type="table" w:styleId="26">
    <w:name w:val="Table Grid"/>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qFormat/>
    <w:uiPriority w:val="22"/>
    <w:rPr>
      <w:b/>
      <w:bCs/>
    </w:rPr>
  </w:style>
  <w:style w:type="character" w:styleId="29">
    <w:name w:val="page number"/>
    <w:qFormat/>
    <w:uiPriority w:val="0"/>
  </w:style>
  <w:style w:type="character" w:styleId="30">
    <w:name w:val="annotation reference"/>
    <w:basedOn w:val="27"/>
    <w:qFormat/>
    <w:uiPriority w:val="0"/>
    <w:rPr>
      <w:sz w:val="21"/>
      <w:szCs w:val="21"/>
    </w:rPr>
  </w:style>
  <w:style w:type="character" w:customStyle="1" w:styleId="31">
    <w:name w:val="标题 2 字符"/>
    <w:link w:val="4"/>
    <w:qFormat/>
    <w:uiPriority w:val="0"/>
    <w:rPr>
      <w:rFonts w:ascii="Arial" w:hAnsi="Arial" w:eastAsia="黑体"/>
      <w:b/>
      <w:bCs/>
      <w:sz w:val="32"/>
      <w:szCs w:val="32"/>
    </w:rPr>
  </w:style>
  <w:style w:type="character" w:customStyle="1" w:styleId="32">
    <w:name w:val="标题 2 Char Char Char"/>
    <w:qFormat/>
    <w:uiPriority w:val="0"/>
    <w:rPr>
      <w:rFonts w:ascii="Arial" w:hAnsi="Arial" w:eastAsia="黑体"/>
      <w:b/>
      <w:bCs/>
      <w:kern w:val="2"/>
      <w:sz w:val="32"/>
      <w:szCs w:val="32"/>
      <w:lang w:val="en-US" w:eastAsia="zh-CN" w:bidi="ar-SA"/>
    </w:rPr>
  </w:style>
  <w:style w:type="paragraph" w:customStyle="1" w:styleId="33">
    <w:name w:val="样式 标题 2 + 宋体 小四 行距: 1.5 倍行距"/>
    <w:basedOn w:val="4"/>
    <w:qFormat/>
    <w:uiPriority w:val="0"/>
    <w:pPr>
      <w:spacing w:line="360" w:lineRule="auto"/>
    </w:pPr>
    <w:rPr>
      <w:rFonts w:ascii="宋体" w:hAnsi="宋体" w:eastAsia="宋体"/>
      <w:sz w:val="36"/>
      <w:szCs w:val="20"/>
    </w:rPr>
  </w:style>
  <w:style w:type="paragraph" w:customStyle="1" w:styleId="34">
    <w:name w:val="列表段落1"/>
    <w:basedOn w:val="1"/>
    <w:qFormat/>
    <w:uiPriority w:val="99"/>
    <w:pPr>
      <w:ind w:firstLine="420" w:firstLineChars="200"/>
    </w:pPr>
  </w:style>
  <w:style w:type="paragraph" w:customStyle="1" w:styleId="35">
    <w:name w:val="制度正文"/>
    <w:basedOn w:val="1"/>
    <w:qFormat/>
    <w:uiPriority w:val="0"/>
    <w:pPr>
      <w:spacing w:line="500" w:lineRule="exact"/>
      <w:ind w:firstLine="200" w:firstLineChars="200"/>
    </w:pPr>
    <w:rPr>
      <w:rFonts w:ascii="宋体" w:hAnsi="宋体"/>
      <w:sz w:val="24"/>
      <w:szCs w:val="32"/>
    </w:rPr>
  </w:style>
  <w:style w:type="paragraph" w:customStyle="1" w:styleId="36">
    <w:name w:val="文档正文"/>
    <w:basedOn w:val="1"/>
    <w:qFormat/>
    <w:uiPriority w:val="0"/>
    <w:pPr>
      <w:adjustRightInd w:val="0"/>
      <w:spacing w:line="312" w:lineRule="atLeast"/>
      <w:ind w:firstLine="567"/>
      <w:textAlignment w:val="baseline"/>
    </w:pPr>
    <w:rPr>
      <w:rFonts w:ascii="长城仿宋" w:eastAsia="长城仿宋"/>
      <w:kern w:val="0"/>
      <w:sz w:val="28"/>
    </w:rPr>
  </w:style>
  <w:style w:type="character" w:customStyle="1" w:styleId="37">
    <w:name w:val="页眉 字符"/>
    <w:basedOn w:val="27"/>
    <w:link w:val="16"/>
    <w:qFormat/>
    <w:uiPriority w:val="0"/>
    <w:rPr>
      <w:rFonts w:ascii="Times New Roman" w:hAnsi="Times New Roman" w:eastAsia="宋体" w:cs="Times New Roman"/>
      <w:kern w:val="2"/>
      <w:sz w:val="18"/>
      <w:szCs w:val="18"/>
    </w:rPr>
  </w:style>
  <w:style w:type="character" w:customStyle="1" w:styleId="38">
    <w:name w:val="批注文字 字符"/>
    <w:basedOn w:val="27"/>
    <w:link w:val="8"/>
    <w:qFormat/>
    <w:uiPriority w:val="99"/>
    <w:rPr>
      <w:rFonts w:ascii="Times New Roman" w:hAnsi="Times New Roman" w:eastAsia="宋体" w:cs="Times New Roman"/>
      <w:kern w:val="2"/>
      <w:sz w:val="21"/>
    </w:rPr>
  </w:style>
  <w:style w:type="character" w:customStyle="1" w:styleId="39">
    <w:name w:val="批注主题 字符"/>
    <w:basedOn w:val="38"/>
    <w:link w:val="22"/>
    <w:qFormat/>
    <w:uiPriority w:val="0"/>
    <w:rPr>
      <w:rFonts w:ascii="Times New Roman" w:hAnsi="Times New Roman" w:eastAsia="宋体" w:cs="Times New Roman"/>
      <w:b/>
      <w:bCs/>
      <w:kern w:val="2"/>
      <w:sz w:val="21"/>
    </w:rPr>
  </w:style>
  <w:style w:type="paragraph" w:customStyle="1" w:styleId="40">
    <w:name w:val="修订1"/>
    <w:hidden/>
    <w:unhideWhenUsed/>
    <w:qFormat/>
    <w:uiPriority w:val="99"/>
    <w:rPr>
      <w:rFonts w:ascii="Times New Roman" w:hAnsi="Times New Roman" w:eastAsia="宋体" w:cs="Times New Roman"/>
      <w:kern w:val="2"/>
      <w:sz w:val="21"/>
      <w:lang w:val="en-US" w:eastAsia="zh-CN" w:bidi="ar-SA"/>
    </w:rPr>
  </w:style>
  <w:style w:type="character" w:customStyle="1" w:styleId="41">
    <w:name w:val="正文文本 字符"/>
    <w:link w:val="9"/>
    <w:qFormat/>
    <w:uiPriority w:val="0"/>
    <w:rPr>
      <w:rFonts w:ascii="Times New Roman" w:hAnsi="Times New Roman" w:eastAsia="宋体" w:cs="Times New Roman"/>
      <w:kern w:val="2"/>
      <w:sz w:val="21"/>
    </w:rPr>
  </w:style>
  <w:style w:type="character" w:customStyle="1" w:styleId="42">
    <w:name w:val="列表段落 字符"/>
    <w:link w:val="43"/>
    <w:qFormat/>
    <w:uiPriority w:val="34"/>
    <w:rPr>
      <w:kern w:val="2"/>
      <w:sz w:val="21"/>
    </w:rPr>
  </w:style>
  <w:style w:type="paragraph" w:styleId="43">
    <w:name w:val="List Paragraph"/>
    <w:basedOn w:val="1"/>
    <w:link w:val="42"/>
    <w:qFormat/>
    <w:uiPriority w:val="34"/>
    <w:pPr>
      <w:ind w:firstLine="420" w:firstLineChars="200"/>
    </w:pPr>
    <w:rPr>
      <w:rFonts w:asciiTheme="minorHAnsi" w:hAnsiTheme="minorHAnsi" w:eastAsiaTheme="minorEastAsia" w:cstheme="minorBidi"/>
    </w:rPr>
  </w:style>
  <w:style w:type="character" w:customStyle="1" w:styleId="44">
    <w:name w:val="页脚 字符"/>
    <w:basedOn w:val="27"/>
    <w:link w:val="14"/>
    <w:qFormat/>
    <w:uiPriority w:val="99"/>
    <w:rPr>
      <w:kern w:val="2"/>
      <w:sz w:val="18"/>
    </w:rPr>
  </w:style>
  <w:style w:type="paragraph" w:customStyle="1" w:styleId="45">
    <w:name w:val="正文表格"/>
    <w:basedOn w:val="1"/>
    <w:qFormat/>
    <w:uiPriority w:val="0"/>
    <w:pPr>
      <w:ind w:left="10" w:leftChars="10" w:right="10" w:rightChars="10"/>
    </w:pPr>
    <w:rPr>
      <w:bCs/>
      <w:szCs w:val="24"/>
    </w:rPr>
  </w:style>
  <w:style w:type="paragraph" w:customStyle="1" w:styleId="46">
    <w:name w:val="修订2"/>
    <w:hidden/>
    <w:unhideWhenUsed/>
    <w:qFormat/>
    <w:uiPriority w:val="99"/>
    <w:rPr>
      <w:rFonts w:ascii="Times New Roman" w:hAnsi="Times New Roman" w:eastAsia="宋体" w:cs="Times New Roman"/>
      <w:kern w:val="2"/>
      <w:sz w:val="21"/>
      <w:lang w:val="en-US" w:eastAsia="zh-CN" w:bidi="ar-SA"/>
    </w:rPr>
  </w:style>
  <w:style w:type="paragraph" w:customStyle="1" w:styleId="47">
    <w:name w:val="修订3"/>
    <w:hidden/>
    <w:unhideWhenUsed/>
    <w:qFormat/>
    <w:uiPriority w:val="99"/>
    <w:rPr>
      <w:rFonts w:ascii="Times New Roman" w:hAnsi="Times New Roman" w:eastAsia="宋体" w:cs="Times New Roman"/>
      <w:kern w:val="2"/>
      <w:sz w:val="21"/>
      <w:lang w:val="en-US" w:eastAsia="zh-CN" w:bidi="ar-SA"/>
    </w:rPr>
  </w:style>
  <w:style w:type="paragraph" w:customStyle="1" w:styleId="48">
    <w:name w:val="修订4"/>
    <w:hidden/>
    <w:unhideWhenUsed/>
    <w:qFormat/>
    <w:uiPriority w:val="99"/>
    <w:rPr>
      <w:rFonts w:ascii="Times New Roman" w:hAnsi="Times New Roman" w:eastAsia="宋体" w:cs="Times New Roman"/>
      <w:kern w:val="2"/>
      <w:sz w:val="21"/>
      <w:lang w:val="en-US" w:eastAsia="zh-CN" w:bidi="ar-SA"/>
    </w:rPr>
  </w:style>
  <w:style w:type="paragraph" w:customStyle="1" w:styleId="49">
    <w:name w:val="修订5"/>
    <w:hidden/>
    <w:unhideWhenUsed/>
    <w:qFormat/>
    <w:uiPriority w:val="99"/>
    <w:rPr>
      <w:rFonts w:ascii="Times New Roman" w:hAnsi="Times New Roman" w:eastAsia="宋体" w:cs="Times New Roman"/>
      <w:kern w:val="2"/>
      <w:sz w:val="21"/>
      <w:lang w:val="en-US" w:eastAsia="zh-CN" w:bidi="ar-SA"/>
    </w:rPr>
  </w:style>
  <w:style w:type="character" w:customStyle="1" w:styleId="50">
    <w:name w:val="正文文本首行缩进 2 字符"/>
    <w:link w:val="24"/>
    <w:qFormat/>
    <w:uiPriority w:val="0"/>
    <w:rPr>
      <w:kern w:val="2"/>
      <w:sz w:val="32"/>
    </w:rPr>
  </w:style>
  <w:style w:type="character" w:customStyle="1" w:styleId="51">
    <w:name w:val="批注文字 Char4"/>
    <w:qFormat/>
    <w:uiPriority w:val="99"/>
    <w:rPr>
      <w:kern w:val="2"/>
      <w:sz w:val="21"/>
    </w:rPr>
  </w:style>
  <w:style w:type="paragraph" w:customStyle="1" w:styleId="52">
    <w:name w:val="修订6"/>
    <w:hidden/>
    <w:unhideWhenUsed/>
    <w:qFormat/>
    <w:uiPriority w:val="99"/>
    <w:rPr>
      <w:rFonts w:ascii="Times New Roman" w:hAnsi="Times New Roman" w:eastAsia="宋体" w:cs="Times New Roman"/>
      <w:kern w:val="2"/>
      <w:sz w:val="21"/>
      <w:lang w:val="en-US" w:eastAsia="zh-CN" w:bidi="ar-SA"/>
    </w:rPr>
  </w:style>
  <w:style w:type="character" w:customStyle="1" w:styleId="53">
    <w:name w:val="页脚 Char2"/>
    <w:qFormat/>
    <w:uiPriority w:val="99"/>
    <w:rPr>
      <w:kern w:val="2"/>
      <w:sz w:val="18"/>
      <w:szCs w:val="18"/>
    </w:rPr>
  </w:style>
  <w:style w:type="character" w:customStyle="1" w:styleId="54">
    <w:name w:val="页眉 Char4"/>
    <w:qFormat/>
    <w:uiPriority w:val="99"/>
    <w:rPr>
      <w:kern w:val="2"/>
      <w:sz w:val="18"/>
      <w:szCs w:val="18"/>
    </w:rPr>
  </w:style>
  <w:style w:type="paragraph" w:customStyle="1" w:styleId="55">
    <w:name w:val="页眉与页脚"/>
    <w:qFormat/>
    <w:uiPriority w:val="0"/>
    <w:pPr>
      <w:tabs>
        <w:tab w:val="right" w:pos="9020"/>
      </w:tabs>
    </w:pPr>
    <w:rPr>
      <w:rFonts w:ascii="Helvetica Neue" w:hAnsi="Helvetica Neue" w:eastAsia="Arial Unicode MS" w:cs="Arial Unicode MS"/>
      <w:color w:val="000000"/>
      <w:sz w:val="24"/>
      <w:szCs w:val="24"/>
      <w:lang w:val="en-US" w:eastAsia="zh-CN" w:bidi="ar-SA"/>
    </w:rPr>
  </w:style>
  <w:style w:type="character" w:customStyle="1" w:styleId="56">
    <w:name w:val="纯文本 字符"/>
    <w:link w:val="12"/>
    <w:qFormat/>
    <w:uiPriority w:val="0"/>
    <w:rPr>
      <w:rFonts w:ascii="宋体" w:hAnsi="Courier New"/>
      <w:kern w:val="2"/>
      <w:sz w:val="21"/>
    </w:rPr>
  </w:style>
  <w:style w:type="character" w:customStyle="1" w:styleId="57">
    <w:name w:val="批注框文本 字符"/>
    <w:basedOn w:val="27"/>
    <w:link w:val="13"/>
    <w:qFormat/>
    <w:uiPriority w:val="0"/>
    <w:rPr>
      <w:kern w:val="2"/>
      <w:sz w:val="18"/>
      <w:szCs w:val="18"/>
    </w:rPr>
  </w:style>
  <w:style w:type="character" w:customStyle="1" w:styleId="58">
    <w:name w:val="批注文字 字符2"/>
    <w:qFormat/>
    <w:uiPriority w:val="99"/>
    <w:rPr>
      <w:kern w:val="2"/>
      <w:sz w:val="21"/>
    </w:rPr>
  </w:style>
  <w:style w:type="paragraph" w:customStyle="1" w:styleId="59">
    <w:name w:val="修订7"/>
    <w:hidden/>
    <w:unhideWhenUsed/>
    <w:qFormat/>
    <w:uiPriority w:val="99"/>
    <w:rPr>
      <w:rFonts w:ascii="Times New Roman" w:hAnsi="Times New Roman" w:eastAsia="宋体" w:cs="Times New Roman"/>
      <w:kern w:val="2"/>
      <w:sz w:val="21"/>
      <w:lang w:val="en-US" w:eastAsia="zh-CN" w:bidi="ar-SA"/>
    </w:rPr>
  </w:style>
  <w:style w:type="character" w:customStyle="1" w:styleId="60">
    <w:name w:val="标题 2 字符2"/>
    <w:qFormat/>
    <w:uiPriority w:val="9"/>
    <w:rPr>
      <w:rFonts w:ascii="Arial" w:hAnsi="Arial" w:eastAsia="黑体"/>
      <w:b/>
      <w:bCs/>
      <w:kern w:val="2"/>
      <w:sz w:val="32"/>
      <w:szCs w:val="32"/>
    </w:rPr>
  </w:style>
  <w:style w:type="paragraph" w:customStyle="1" w:styleId="61">
    <w:name w:val="修订8"/>
    <w:hidden/>
    <w:unhideWhenUsed/>
    <w:qFormat/>
    <w:uiPriority w:val="99"/>
    <w:rPr>
      <w:rFonts w:ascii="Times New Roman" w:hAnsi="Times New Roman" w:eastAsia="宋体" w:cs="Times New Roman"/>
      <w:kern w:val="2"/>
      <w:sz w:val="21"/>
      <w:lang w:val="en-US" w:eastAsia="zh-CN" w:bidi="ar-SA"/>
    </w:rPr>
  </w:style>
  <w:style w:type="paragraph" w:customStyle="1" w:styleId="62">
    <w:name w:val="修订9"/>
    <w:hidden/>
    <w:unhideWhenUsed/>
    <w:qFormat/>
    <w:uiPriority w:val="99"/>
    <w:rPr>
      <w:rFonts w:ascii="Times New Roman" w:hAnsi="Times New Roman" w:eastAsia="宋体" w:cs="Times New Roman"/>
      <w:kern w:val="2"/>
      <w:sz w:val="21"/>
      <w:lang w:val="en-US" w:eastAsia="zh-CN" w:bidi="ar-SA"/>
    </w:rPr>
  </w:style>
  <w:style w:type="paragraph" w:customStyle="1" w:styleId="63">
    <w:name w:val="修订10"/>
    <w:hidden/>
    <w:unhideWhenUsed/>
    <w:qFormat/>
    <w:uiPriority w:val="99"/>
    <w:rPr>
      <w:rFonts w:ascii="Times New Roman" w:hAnsi="Times New Roman" w:eastAsia="宋体" w:cs="Times New Roman"/>
      <w:kern w:val="2"/>
      <w:sz w:val="21"/>
      <w:lang w:val="en-US" w:eastAsia="zh-CN" w:bidi="ar-SA"/>
    </w:rPr>
  </w:style>
  <w:style w:type="paragraph" w:customStyle="1" w:styleId="64">
    <w:name w:val="Revision"/>
    <w:hidden/>
    <w:unhideWhenUsed/>
    <w:qFormat/>
    <w:uiPriority w:val="99"/>
    <w:rPr>
      <w:rFonts w:ascii="Times New Roman" w:hAnsi="Times New Roman" w:eastAsia="宋体" w:cs="Times New Roman"/>
      <w:kern w:val="2"/>
      <w:sz w:val="21"/>
      <w:lang w:val="en-US" w:eastAsia="zh-CN" w:bidi="ar-SA"/>
    </w:rPr>
  </w:style>
  <w:style w:type="paragraph" w:customStyle="1" w:styleId="65">
    <w:name w:val="SCB-小四表文字"/>
    <w:qFormat/>
    <w:uiPriority w:val="0"/>
    <w:pPr>
      <w:overflowPunct w:val="0"/>
      <w:autoSpaceDE w:val="0"/>
      <w:autoSpaceDN w:val="0"/>
      <w:adjustRightInd w:val="0"/>
      <w:spacing w:line="360" w:lineRule="auto"/>
      <w:textAlignment w:val="baseline"/>
    </w:pPr>
    <w:rPr>
      <w:rFonts w:ascii="Times New Roman" w:hAnsi="Times New Roman" w:cs="Times New Roman" w:eastAsiaTheme="minorEastAsia"/>
      <w:snapToGrid w:val="0"/>
      <w:kern w:val="28"/>
      <w:sz w:val="24"/>
      <w:lang w:val="en-US" w:eastAsia="zh-CN" w:bidi="ar-SA"/>
    </w:rPr>
  </w:style>
  <w:style w:type="paragraph" w:customStyle="1" w:styleId="66">
    <w:name w:val="主体-2-主送机关"/>
    <w:basedOn w:val="1"/>
    <w:qFormat/>
    <w:uiPriority w:val="0"/>
    <w:pPr>
      <w:textAlignment w:val="baseline"/>
    </w:pPr>
    <w:rPr>
      <w:rFonts w:ascii="仿宋_GB2312" w:hAnsi="仿宋_GB2312" w:eastAsia="仿宋_GB2312" w:cs="仿宋_GB2312"/>
      <w:sz w:val="32"/>
      <w:szCs w:val="32"/>
    </w:rPr>
  </w:style>
  <w:style w:type="paragraph" w:customStyle="1" w:styleId="67">
    <w:name w:val="列出段落11"/>
    <w:basedOn w:val="1"/>
    <w:qFormat/>
    <w:uiPriority w:val="99"/>
    <w:pPr>
      <w:ind w:left="400" w:firstLine="420"/>
    </w:pPr>
  </w:style>
  <w:style w:type="paragraph" w:styleId="68">
    <w:name w:val="No Spacing"/>
    <w:basedOn w:val="1"/>
    <w:qFormat/>
    <w:uiPriority w:val="1"/>
    <w:pPr>
      <w:widowControl/>
      <w:jc w:val="left"/>
    </w:pPr>
    <w:rPr>
      <w:kern w:val="0"/>
      <w:sz w:val="22"/>
      <w:lang w:eastAsia="en-US" w:bidi="en-US"/>
    </w:rPr>
  </w:style>
  <w:style w:type="paragraph" w:customStyle="1" w:styleId="69">
    <w:name w:val="TOC 标题1"/>
    <w:basedOn w:val="3"/>
    <w:next w:val="1"/>
    <w:unhideWhenUsed/>
    <w:qFormat/>
    <w:uiPriority w:val="39"/>
    <w:pPr>
      <w:keepNext/>
      <w:keepLines/>
      <w:spacing w:before="240" w:line="259" w:lineRule="auto"/>
      <w:contextualSpacing w:val="0"/>
      <w:outlineLvl w:val="9"/>
    </w:pPr>
    <w:rPr>
      <w:rFonts w:asciiTheme="majorHAnsi" w:hAnsiTheme="majorHAnsi" w:eastAsiaTheme="majorEastAsia" w:cstheme="majorBidi"/>
      <w:b w:val="0"/>
      <w:color w:val="2E75B6" w:themeColor="accent1" w:themeShade="BF"/>
      <w:sz w:val="32"/>
      <w:szCs w:val="32"/>
      <w:lang w:eastAsia="zh-CN" w:bidi="ar-SA"/>
    </w:rPr>
  </w:style>
  <w:style w:type="paragraph" w:customStyle="1" w:styleId="70">
    <w:name w:val="上清所正文"/>
    <w:basedOn w:val="1"/>
    <w:qFormat/>
    <w:uiPriority w:val="0"/>
    <w:pPr>
      <w:ind w:firstLine="465"/>
    </w:pPr>
    <w:rPr>
      <w:rFonts w:ascii="仿宋" w:hAnsi="仿宋" w:eastAsia="仿宋" w:cstheme="minorBidi"/>
      <w:sz w:val="30"/>
      <w:szCs w:val="30"/>
    </w:rPr>
  </w:style>
  <w:style w:type="paragraph" w:customStyle="1" w:styleId="71">
    <w:name w:val="2银清科技正文"/>
    <w:basedOn w:val="1"/>
    <w:qFormat/>
    <w:uiPriority w:val="0"/>
    <w:pPr>
      <w:spacing w:line="600" w:lineRule="exact"/>
      <w:ind w:firstLine="200" w:firstLineChars="200"/>
    </w:pPr>
    <w:rPr>
      <w:rFonts w:ascii="仿宋" w:hAnsi="仿宋" w:eastAsia="仿宋"/>
      <w:sz w:val="32"/>
      <w:szCs w:val="32"/>
    </w:rPr>
  </w:style>
  <w:style w:type="paragraph" w:customStyle="1" w:styleId="72">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73">
    <w:name w:val="正文小四宋体1.25行距"/>
    <w:basedOn w:val="1"/>
    <w:qFormat/>
    <w:uiPriority w:val="0"/>
    <w:pPr>
      <w:autoSpaceDE w:val="0"/>
      <w:autoSpaceDN w:val="0"/>
      <w:adjustRightInd w:val="0"/>
      <w:spacing w:line="360" w:lineRule="auto"/>
      <w:ind w:firstLine="200" w:firstLineChars="200"/>
      <w:jc w:val="left"/>
    </w:pPr>
    <w:rPr>
      <w:rFonts w:ascii="Times New Roman" w:hAnsi="Times New Roman"/>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png"/><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108</Pages>
  <Words>14566</Words>
  <Characters>15492</Characters>
  <Lines>1</Lines>
  <Paragraphs>1</Paragraphs>
  <TotalTime>1</TotalTime>
  <ScaleCrop>false</ScaleCrop>
  <LinksUpToDate>false</LinksUpToDate>
  <CharactersWithSpaces>15573</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2025-10-02T17:06:00Z</dcterms:created>
  <dc:creator>ytwang</dc:creator>
  <cp:lastModifiedBy>林茜濛</cp:lastModifiedBy>
  <cp:lastPrinted>2025-09-08T16:06:00Z</cp:lastPrinted>
  <dcterms:modified xsi:type="dcterms:W3CDTF">2026-04-22T08:46:06Z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937D35D727024FEABBD77E437EC41A26_13</vt:lpwstr>
  </property>
  <property fmtid="{D5CDD505-2E9C-101B-9397-08002B2CF9AE}" pid="4" name="KSOTemplateDocerSaveRecord">
    <vt:lpwstr>eyJoZGlkIjoiZDU5OTIwMDFiYmFiYmY0ZTk0ZjNjNWJiNjZhYmFjNmIiLCJ1c2VySWQiOiI0MDYxMDY2NTEifQ==</vt:lpwstr>
  </property>
</Properties>
</file>