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小标宋" w:hAnsi="宋体" w:eastAsia="彩虹小标宋"/>
          <w:bCs/>
          <w:snapToGrid w:val="0"/>
          <w:kern w:val="0"/>
          <w:sz w:val="44"/>
          <w:szCs w:val="44"/>
        </w:rPr>
      </w:pPr>
      <w:r>
        <w:rPr>
          <w:rFonts w:hint="eastAsia" w:ascii="彩虹小标宋" w:hAnsi="宋体" w:eastAsia="彩虹小标宋"/>
          <w:bCs/>
          <w:snapToGrid w:val="0"/>
          <w:kern w:val="0"/>
          <w:sz w:val="44"/>
          <w:szCs w:val="44"/>
        </w:rPr>
        <w:t>防弹背心，防刺背心、头盔、防暴钢叉、辣椒水采购需求</w:t>
      </w:r>
    </w:p>
    <w:p>
      <w:pPr>
        <w:adjustRightInd w:val="0"/>
        <w:snapToGrid w:val="0"/>
        <w:spacing w:line="560" w:lineRule="atLeast"/>
        <w:ind w:firstLine="482" w:firstLineChars="15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一、投标人资格要求</w:t>
      </w:r>
    </w:p>
    <w:p>
      <w:pPr>
        <w:pStyle w:val="7"/>
        <w:ind w:left="420" w:firstLine="64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1.投标人为中华人民共和国境内合法注册的独立法人，具有独立承担民事责任的能力，遵守国家有关法律、法规，具有良好的商业信誉和健全的财务会计制度。投标人公司营业执照的经营范围包含安防设备销售。</w:t>
      </w:r>
    </w:p>
    <w:p>
      <w:pPr>
        <w:pStyle w:val="7"/>
        <w:ind w:left="420" w:firstLine="64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2.投标人当前未处于限制开展生产经营活动、责令停产停业、责令关闭、限制从业等重大行政处罚期内。</w:t>
      </w:r>
    </w:p>
    <w:p>
      <w:pPr>
        <w:pStyle w:val="7"/>
        <w:ind w:left="420" w:firstLine="64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3.投标人当前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w:t>
      </w:r>
    </w:p>
    <w:p>
      <w:pPr>
        <w:pStyle w:val="7"/>
        <w:ind w:left="420" w:firstLine="64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4.法定代表人（负责人）为同一人或存在控股、管理关系的不同投标人，不得同时参加本项目。</w:t>
      </w:r>
    </w:p>
    <w:p>
      <w:pPr>
        <w:pStyle w:val="7"/>
        <w:ind w:left="420" w:firstLine="64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5.投标人近五年内未与建行系统任何单位合作过程中发生诉讼争议、违法或不良记录。</w:t>
      </w:r>
    </w:p>
    <w:p>
      <w:pPr>
        <w:pStyle w:val="7"/>
        <w:ind w:left="420" w:firstLine="64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6.投标人承诺，在本项目招标过程中不存在下列情形。如存在下列情形之一，招标人有权取消其投标或中标资格。情形包括但不限于：</w:t>
      </w:r>
    </w:p>
    <w:p>
      <w:pPr>
        <w:pStyle w:val="7"/>
        <w:ind w:left="420" w:firstLine="64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（1）法定代表人（负责人）在生产经营活动中受到行政或刑事处罚；</w:t>
      </w:r>
    </w:p>
    <w:p>
      <w:pPr>
        <w:pStyle w:val="7"/>
        <w:ind w:left="420" w:firstLine="64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（2）重大并购或重组，影响正常生产经营；</w:t>
      </w:r>
    </w:p>
    <w:p>
      <w:pPr>
        <w:pStyle w:val="7"/>
        <w:ind w:left="420" w:firstLine="64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（3）其他重大风险事项，影响正常采购合作。</w:t>
      </w:r>
    </w:p>
    <w:p>
      <w:pPr>
        <w:pStyle w:val="7"/>
        <w:ind w:left="420" w:firstLine="64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7.投标人提供的产品不存在任何侵犯第三方知识产权的情形。如果第三方声称投标人向建设银行提供的产品侵犯其知识产权，并已就此对建设银行或投标人提起（或有迹象表明很可能提起）法律诉讼程序或知识产权行政执法程序（简称侵权诉讼），一方自知悉上述事项起将立即书面通知另一方，建设银行有权采取相应措施，投标人将依法承担全部责任。</w:t>
      </w:r>
    </w:p>
    <w:p>
      <w:pPr>
        <w:pStyle w:val="7"/>
        <w:ind w:left="420" w:firstLine="640"/>
        <w:rPr>
          <w:rFonts w:ascii="彩虹粗仿宋" w:eastAsia="彩虹粗仿宋"/>
          <w:sz w:val="32"/>
          <w:szCs w:val="32"/>
        </w:rPr>
      </w:pPr>
      <w:r>
        <w:rPr>
          <w:rFonts w:hint="eastAsia" w:ascii="彩虹粗仿宋" w:hAnsi="宋体" w:eastAsia="彩虹粗仿宋"/>
          <w:snapToGrid w:val="0"/>
          <w:kern w:val="0"/>
          <w:sz w:val="32"/>
          <w:szCs w:val="32"/>
        </w:rPr>
        <w:t>8.</w:t>
      </w:r>
      <w:r>
        <w:rPr>
          <w:rFonts w:hint="eastAsia" w:ascii="彩虹粗仿宋" w:eastAsia="彩虹粗仿宋"/>
          <w:sz w:val="32"/>
          <w:szCs w:val="32"/>
        </w:rPr>
        <w:t>投标人</w:t>
      </w:r>
      <w:r>
        <w:rPr>
          <w:rFonts w:hint="eastAsia" w:ascii="彩虹粗仿宋" w:hAnsi="宋体" w:eastAsia="彩虹粗仿宋"/>
          <w:snapToGrid w:val="0"/>
          <w:kern w:val="0"/>
          <w:sz w:val="32"/>
          <w:szCs w:val="32"/>
        </w:rPr>
        <w:t>需提供2022年以来（有效期在2022年1月1日至今均可）与金融机构、企事业单位合作的案例（需提供合同复印件），案例金额应不小于1万元，提供的合作案例需包含我行本次采购的物品其中二项。</w:t>
      </w:r>
    </w:p>
    <w:p>
      <w:p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二、对于拟采购设备（物品）的要求</w:t>
      </w:r>
    </w:p>
    <w:p>
      <w:p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（一）基本要求</w:t>
      </w:r>
    </w:p>
    <w:p>
      <w:pPr>
        <w:adjustRightInd w:val="0"/>
        <w:snapToGrid w:val="0"/>
        <w:spacing w:line="560" w:lineRule="atLeast"/>
        <w:ind w:firstLine="640" w:firstLineChars="200"/>
        <w:rPr>
          <w:rFonts w:hint="eastAsia" w:ascii="彩虹粗仿宋" w:hAnsi="宋体" w:eastAsia="彩虹粗仿宋" w:cs="宋体"/>
          <w:sz w:val="32"/>
          <w:szCs w:val="32"/>
        </w:rPr>
      </w:pPr>
      <w:r>
        <w:rPr>
          <w:rFonts w:hint="eastAsia" w:ascii="彩虹粗仿宋" w:hAnsi="宋体" w:eastAsia="彩虹粗仿宋" w:cs="宋体"/>
          <w:sz w:val="32"/>
          <w:szCs w:val="32"/>
        </w:rPr>
        <w:t>计划采购防弹背心114件，防刺背心24件，头盔61顶，防暴钢叉56把，辣椒水22支/罐。</w:t>
      </w:r>
      <w:bookmarkStart w:id="0" w:name="_GoBack"/>
      <w:bookmarkEnd w:id="0"/>
    </w:p>
    <w:p>
      <w:pPr>
        <w:adjustRightInd w:val="0"/>
        <w:snapToGrid w:val="0"/>
        <w:spacing w:line="560" w:lineRule="atLeas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投标人为厂商指定的代理商，产品代理商需提供代理证明。</w:t>
      </w:r>
    </w:p>
    <w:p>
      <w:pPr>
        <w:adjustRightInd w:val="0"/>
        <w:snapToGrid w:val="0"/>
        <w:spacing w:line="560" w:lineRule="atLeas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投标人就所报设备需提供国家权威部门出具的检验检测报告投标人就所报设备需提供公安部门下属中国兵器装备集团兵器装备研究所测试实验中心、中国兵器装备特种产品质量监督检测中心，国家安全防范报警系统产品质量检验检测中心和公安部安全防范报警系统产品质量监督检验测试中心出具的检验检测报告。</w:t>
      </w:r>
    </w:p>
    <w:p>
      <w:p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（二）采购设备（物品）配置执行标准</w:t>
      </w:r>
    </w:p>
    <w:p>
      <w:pPr>
        <w:numPr>
          <w:ilvl w:val="0"/>
          <w:numId w:val="1"/>
        </w:numPr>
        <w:rPr>
          <w:rFonts w:ascii="彩虹粗仿宋" w:hAnsi="宋体" w:eastAsia="彩虹粗仿宋" w:cs="Times New Roman"/>
          <w:color w:val="000000"/>
          <w:sz w:val="32"/>
          <w:szCs w:val="32"/>
        </w:rPr>
      </w:pPr>
      <w:r>
        <w:rPr>
          <w:rFonts w:hint="eastAsia" w:ascii="彩虹粗仿宋" w:hAnsi="宋体" w:eastAsia="彩虹粗仿宋" w:cs="宋体"/>
          <w:sz w:val="32"/>
          <w:szCs w:val="32"/>
        </w:rPr>
        <w:t>防弹背心</w:t>
      </w:r>
      <w:r>
        <w:rPr>
          <w:rFonts w:hint="eastAsia" w:ascii="彩虹粗仿宋" w:hAnsi="宋体" w:eastAsia="彩虹粗仿宋" w:cs="Times New Roman"/>
          <w:color w:val="000000"/>
          <w:sz w:val="32"/>
          <w:szCs w:val="32"/>
        </w:rPr>
        <w:t>：执行GA141-2010《警用防弹衣》标准；</w:t>
      </w:r>
    </w:p>
    <w:p>
      <w:pPr>
        <w:numPr>
          <w:ilvl w:val="0"/>
          <w:numId w:val="1"/>
        </w:numPr>
        <w:rPr>
          <w:rFonts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防刺背心：执行《GA68-2019警用防刺服》标准；</w:t>
      </w:r>
    </w:p>
    <w:p>
      <w:pPr>
        <w:pStyle w:val="7"/>
        <w:numPr>
          <w:ilvl w:val="0"/>
          <w:numId w:val="1"/>
        </w:numPr>
        <w:ind w:firstLineChars="0"/>
        <w:rPr>
          <w:rFonts w:ascii="彩虹粗仿宋" w:eastAsia="彩虹粗仿宋"/>
          <w:color w:val="000000"/>
          <w:sz w:val="32"/>
          <w:szCs w:val="32"/>
        </w:rPr>
      </w:pPr>
      <w:r>
        <w:rPr>
          <w:rFonts w:hint="eastAsia" w:ascii="彩虹粗仿宋" w:eastAsia="彩虹粗仿宋"/>
          <w:color w:val="000000"/>
          <w:sz w:val="32"/>
          <w:szCs w:val="32"/>
        </w:rPr>
        <w:t>头盔：执行《GA296-2012警用防爆头盔》标准；</w:t>
      </w:r>
    </w:p>
    <w:p>
      <w:pPr>
        <w:numPr>
          <w:ilvl w:val="0"/>
          <w:numId w:val="1"/>
        </w:numPr>
        <w:rPr>
          <w:rFonts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 xml:space="preserve">警用钢叉：执行《GA/T1145-2014警用约束叉》标准； </w:t>
      </w:r>
    </w:p>
    <w:p>
      <w:pPr>
        <w:numPr>
          <w:ilvl w:val="0"/>
          <w:numId w:val="1"/>
        </w:numPr>
        <w:rPr>
          <w:rFonts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辣椒水：执行《GA884-2010催泪喷射器》标准。</w:t>
      </w:r>
    </w:p>
    <w:p>
      <w:pPr>
        <w:numPr>
          <w:ilvl w:val="0"/>
          <w:numId w:val="2"/>
        </w:num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技术规格与要求</w:t>
      </w:r>
    </w:p>
    <w:p>
      <w:pPr>
        <w:numPr>
          <w:ilvl w:val="0"/>
          <w:numId w:val="3"/>
        </w:numPr>
        <w:adjustRightInd w:val="0"/>
        <w:snapToGrid w:val="0"/>
        <w:spacing w:line="560" w:lineRule="atLeast"/>
        <w:ind w:firstLine="420"/>
        <w:rPr>
          <w:rFonts w:ascii="彩虹粗仿宋" w:hAnsi="Calibri" w:eastAsia="彩虹粗仿宋" w:cs="Times New Roman"/>
          <w:color w:val="000000"/>
          <w:sz w:val="32"/>
          <w:szCs w:val="32"/>
        </w:rPr>
      </w:pPr>
      <w:r>
        <w:rPr>
          <w:rFonts w:hint="eastAsia" w:ascii="彩虹粗仿宋" w:hAnsi="宋体" w:eastAsia="彩虹粗仿宋" w:cs="Times New Roman"/>
          <w:b/>
          <w:snapToGrid w:val="0"/>
          <w:kern w:val="0"/>
          <w:sz w:val="32"/>
          <w:szCs w:val="32"/>
        </w:rPr>
        <w:t>防弹背心：</w:t>
      </w:r>
      <w:r>
        <w:rPr>
          <w:rFonts w:hint="eastAsia" w:ascii="彩虹粗仿宋" w:hAnsi="Calibri" w:eastAsia="彩虹粗仿宋" w:cs="Times New Roman"/>
          <w:color w:val="000000"/>
          <w:sz w:val="32"/>
          <w:szCs w:val="32"/>
        </w:rPr>
        <w:t>（1）结构要求：防弹背心包括背心式、夹克式、战术背心式等类型，必须配置躯干防弹层部件（包括侧腰防护），防弹背心外套，防弹层（包括前后插板袋），防弹层保护套。（2）防护面积：防弹背心的实际投影防护面积应</w:t>
      </w:r>
      <w:r>
        <w:rPr>
          <w:rFonts w:hint="eastAsia" w:ascii="彩虹粗仿宋" w:eastAsia="彩虹粗仿宋"/>
          <w:sz w:val="32"/>
          <w:szCs w:val="32"/>
        </w:rPr>
        <w:t>≥</w:t>
      </w:r>
      <w:r>
        <w:rPr>
          <w:rFonts w:hint="eastAsia" w:ascii="彩虹粗仿宋" w:hAnsi="Calibri" w:eastAsia="彩虹粗仿宋" w:cs="Times New Roman"/>
          <w:color w:val="000000"/>
          <w:sz w:val="32"/>
          <w:szCs w:val="32"/>
        </w:rPr>
        <w:t>0.25平方米。（3）防护效果：防弹背心需要按照标准中规定的枪弹类型和枪弹速度进行试验，在有效命中情况下，防弹背心应阻断弹头，且背衬最大凹陷深度</w:t>
      </w:r>
      <w:r>
        <w:rPr>
          <w:rFonts w:hint="eastAsia" w:ascii="彩虹粗仿宋" w:eastAsia="彩虹粗仿宋"/>
          <w:sz w:val="32"/>
          <w:szCs w:val="32"/>
        </w:rPr>
        <w:t>≤</w:t>
      </w:r>
      <w:r>
        <w:rPr>
          <w:rFonts w:hint="eastAsia" w:ascii="彩虹粗仿宋" w:hAnsi="Calibri" w:eastAsia="彩虹粗仿宋" w:cs="Times New Roman"/>
          <w:color w:val="000000"/>
          <w:sz w:val="32"/>
          <w:szCs w:val="32"/>
        </w:rPr>
        <w:t>25mm。（4）材质要求：防弹背心应采用无毒材料，软质材料可采用芳纶、超高分子量聚乙烯等，插板袋等硬质材料可采用陶瓷复合板、PE板、钢板等。（5）尺寸与适配：按需采购合适尺寸的防弹背心（S, M, L, XL, XXL等号型，或具体胸围范围）,搭配可调节设计。（6）舒适性与功能：穿着灵活，具备快脱功能。颜色可采用黑色、藏青、迷彩、荧光色等。</w:t>
      </w:r>
    </w:p>
    <w:p>
      <w:pPr>
        <w:numPr>
          <w:ilvl w:val="0"/>
          <w:numId w:val="3"/>
        </w:numPr>
        <w:adjustRightInd w:val="0"/>
        <w:snapToGrid w:val="0"/>
        <w:spacing w:line="560" w:lineRule="atLeast"/>
        <w:ind w:firstLine="420"/>
        <w:rPr>
          <w:rFonts w:ascii="彩虹粗仿宋" w:hAnsi="Calibri" w:eastAsia="彩虹粗仿宋" w:cs="Times New Roman"/>
          <w:color w:val="000000"/>
          <w:sz w:val="32"/>
          <w:szCs w:val="32"/>
        </w:rPr>
      </w:pPr>
      <w:r>
        <w:rPr>
          <w:rFonts w:hint="eastAsia" w:ascii="彩虹粗仿宋" w:hAnsi="Calibri" w:eastAsia="彩虹粗仿宋" w:cs="Times New Roman"/>
          <w:b/>
          <w:bCs/>
          <w:color w:val="000000"/>
          <w:sz w:val="32"/>
          <w:szCs w:val="32"/>
        </w:rPr>
        <w:t>防刺背心：</w:t>
      </w:r>
      <w:r>
        <w:rPr>
          <w:rFonts w:hint="eastAsia" w:ascii="彩虹粗仿宋" w:hAnsi="Calibri" w:eastAsia="彩虹粗仿宋" w:cs="Times New Roman"/>
          <w:color w:val="000000"/>
          <w:sz w:val="32"/>
          <w:szCs w:val="32"/>
        </w:rPr>
        <w:t>（1）防护级别：防刺背心采用A类标准，用D</w:t>
      </w:r>
      <w:r>
        <w:rPr>
          <w:rFonts w:hint="eastAsia" w:ascii="彩虹粗仿宋" w:hAnsi="Calibri" w:eastAsia="彩虹粗仿宋" w:cs="Times New Roman"/>
          <w:color w:val="000000"/>
          <w:sz w:val="32"/>
          <w:szCs w:val="32"/>
          <w:vertAlign w:val="subscript"/>
        </w:rPr>
        <w:t>1</w:t>
      </w:r>
      <w:r>
        <w:rPr>
          <w:rFonts w:hint="eastAsia" w:ascii="彩虹粗仿宋" w:hAnsi="Calibri" w:eastAsia="彩虹粗仿宋" w:cs="Times New Roman"/>
          <w:color w:val="000000"/>
          <w:sz w:val="32"/>
          <w:szCs w:val="32"/>
        </w:rPr>
        <w:t>刀具、测试体以24J±0.5J撞击能量对防护背心进行穿刺，在有效穿刺情况下，防刺背心不应出现穿透。（2）防护面积：防刺层的防护面积应</w:t>
      </w:r>
      <w:r>
        <w:rPr>
          <w:rFonts w:hint="eastAsia" w:ascii="彩虹粗仿宋" w:eastAsia="彩虹粗仿宋"/>
          <w:sz w:val="32"/>
          <w:szCs w:val="32"/>
        </w:rPr>
        <w:t>≥</w:t>
      </w:r>
      <w:r>
        <w:rPr>
          <w:rFonts w:hint="eastAsia" w:ascii="彩虹粗仿宋" w:hAnsi="Calibri" w:eastAsia="彩虹粗仿宋" w:cs="Times New Roman"/>
          <w:color w:val="000000"/>
          <w:sz w:val="32"/>
          <w:szCs w:val="32"/>
        </w:rPr>
        <w:t>0.25平方米。（3）材质要求：防刺层材料表面无裂痕缺口等问题，金属材料需要进行防锈处理，非金属材料应该均匀平整。主要防刺层材料可采用金属板、高性能纤维毡、复合结构等。（4）尺寸与适配：按需采购合适尺寸的防弹背心（S, M, L, XL, XXL等号型，或具体胸围范围）；重量：背心质量</w:t>
      </w:r>
      <w:r>
        <w:rPr>
          <w:rFonts w:hint="eastAsia" w:ascii="彩虹粗仿宋" w:eastAsia="彩虹粗仿宋"/>
          <w:sz w:val="32"/>
          <w:szCs w:val="32"/>
        </w:rPr>
        <w:t>≤</w:t>
      </w:r>
      <w:r>
        <w:rPr>
          <w:rFonts w:hint="eastAsia" w:ascii="彩虹粗仿宋" w:hAnsi="Calibri" w:eastAsia="彩虹粗仿宋" w:cs="Times New Roman"/>
          <w:color w:val="000000"/>
          <w:sz w:val="32"/>
          <w:szCs w:val="32"/>
        </w:rPr>
        <w:t>2.8kg。（5）舒适性与功能：防刺背心需要易于穿脱，具备良好的耐浸水性和温度适应性。保护套不透光、不透水。颜色建议为藏蓝色，也可以根据需求采用其他颜色。</w:t>
      </w:r>
    </w:p>
    <w:p>
      <w:pPr>
        <w:numPr>
          <w:ilvl w:val="0"/>
          <w:numId w:val="3"/>
        </w:numPr>
        <w:adjustRightInd w:val="0"/>
        <w:snapToGrid w:val="0"/>
        <w:spacing w:line="560" w:lineRule="atLeast"/>
        <w:ind w:firstLine="420"/>
        <w:rPr>
          <w:rFonts w:ascii="彩虹粗仿宋" w:hAnsi="Calibri" w:eastAsia="彩虹粗仿宋" w:cs="Times New Roman"/>
          <w:color w:val="000000"/>
          <w:sz w:val="32"/>
          <w:szCs w:val="32"/>
        </w:rPr>
      </w:pPr>
      <w:r>
        <w:rPr>
          <w:rFonts w:hint="eastAsia" w:ascii="彩虹粗仿宋" w:hAnsi="Calibri" w:eastAsia="彩虹粗仿宋" w:cs="Times New Roman"/>
          <w:b/>
          <w:bCs/>
          <w:color w:val="000000"/>
          <w:sz w:val="32"/>
          <w:szCs w:val="32"/>
        </w:rPr>
        <w:t>头盔：</w:t>
      </w:r>
      <w:r>
        <w:rPr>
          <w:rFonts w:hint="eastAsia" w:ascii="彩虹粗仿宋" w:hAnsi="Calibri" w:eastAsia="彩虹粗仿宋" w:cs="Times New Roman"/>
          <w:color w:val="000000"/>
          <w:sz w:val="32"/>
          <w:szCs w:val="32"/>
        </w:rPr>
        <w:t>（1）防护级别：头盔需具备耐穿透性能，应能承受88.2J能量的穿刺，穿刺时落锤不应穿透头盔与试验头模产生接触；头盔需要有良好的吸收碰撞能量性能，能承受49J能量的冲击，冲击时传到试验头模上的力</w:t>
      </w:r>
      <w:r>
        <w:rPr>
          <w:rFonts w:hint="eastAsia" w:ascii="彩虹粗仿宋" w:eastAsia="彩虹粗仿宋"/>
          <w:sz w:val="32"/>
          <w:szCs w:val="32"/>
        </w:rPr>
        <w:t>＜</w:t>
      </w:r>
      <w:r>
        <w:rPr>
          <w:rFonts w:hint="eastAsia" w:ascii="彩虹粗仿宋" w:hAnsi="Calibri" w:eastAsia="彩虹粗仿宋" w:cs="Times New Roman"/>
          <w:color w:val="000000"/>
          <w:sz w:val="32"/>
          <w:szCs w:val="32"/>
        </w:rPr>
        <w:t>4900N，且壳体不易破裂。（2）结构要求：头盔应由外壳、缓冲层、衬垫、面罩、佩戴装置（包括系带、下颌托、佩戴扣和盔顶悬挂系统等）、护颈组成。头盔面罩需要有良好的抗撞击防护能力和抗冲击强度性能。（3）材质要求：头盔应采用对人体无毒无害的材质。外壳材料可使用ABS工程塑料、PC、芳纶复合材料、PE复合材料、碳纤维等。面罩材质可采用PC、金属网等。（4）尺寸与适配：按需采购合适尺寸的头盔（S, M, L号型）,具备可调节性；重量：头盔质量</w:t>
      </w:r>
      <w:r>
        <w:rPr>
          <w:rFonts w:hint="eastAsia" w:ascii="彩虹粗仿宋" w:eastAsia="彩虹粗仿宋"/>
          <w:sz w:val="32"/>
          <w:szCs w:val="32"/>
        </w:rPr>
        <w:t>≤</w:t>
      </w:r>
      <w:r>
        <w:rPr>
          <w:rFonts w:hint="eastAsia" w:ascii="彩虹粗仿宋" w:hAnsi="Calibri" w:eastAsia="彩虹粗仿宋" w:cs="Times New Roman"/>
          <w:color w:val="000000"/>
          <w:sz w:val="32"/>
          <w:szCs w:val="32"/>
        </w:rPr>
        <w:t>0.75kg。（5）舒适性与功能：悬挂系统具备舒适性和可调节性。衬垫材料应吸汗、透气、舒适。头盔需要预留通讯设备接口。颜色采用藏蓝色或瓷白色，也可以根据需求采用黑色等。</w:t>
      </w:r>
    </w:p>
    <w:p>
      <w:pPr>
        <w:numPr>
          <w:ilvl w:val="0"/>
          <w:numId w:val="3"/>
        </w:numPr>
        <w:adjustRightInd w:val="0"/>
        <w:snapToGrid w:val="0"/>
        <w:spacing w:line="560" w:lineRule="atLeast"/>
        <w:ind w:firstLine="420"/>
        <w:rPr>
          <w:rFonts w:ascii="彩虹粗仿宋" w:hAnsi="Calibri" w:eastAsia="彩虹粗仿宋" w:cs="Times New Roman"/>
          <w:color w:val="000000"/>
          <w:sz w:val="32"/>
          <w:szCs w:val="32"/>
        </w:rPr>
      </w:pPr>
      <w:r>
        <w:rPr>
          <w:rFonts w:hint="eastAsia" w:ascii="彩虹粗仿宋" w:hAnsi="Calibri" w:eastAsia="彩虹粗仿宋" w:cs="Times New Roman"/>
          <w:b/>
          <w:bCs/>
          <w:color w:val="000000"/>
          <w:sz w:val="32"/>
          <w:szCs w:val="32"/>
        </w:rPr>
        <w:t>警用钢叉</w:t>
      </w:r>
      <w:r>
        <w:rPr>
          <w:rFonts w:hint="eastAsia" w:ascii="彩虹粗仿宋" w:hAnsi="Calibri" w:eastAsia="彩虹粗仿宋" w:cs="Times New Roman"/>
          <w:color w:val="000000"/>
          <w:sz w:val="32"/>
          <w:szCs w:val="32"/>
        </w:rPr>
        <w:t>：（1）结构要求：警用钢叉由手柄、主杆、缩杆、叉头和锁合装置组成。由携行状态转为工作状态时具备伸缩自锁功能。（2）材质要求：警用钢叉的杆体采用高强度铝合金、碳纤维复合材料、不锈钢等制成，叉头采用高强度工程塑料、橡胶包覆金属等，需具备防伤设计。（3）结构：叉头形状为U型、V型、双U型等，具备叉头锁定和防滑设计。（4）尺寸与适配：收缩长度：</w:t>
      </w:r>
      <w:r>
        <w:rPr>
          <w:rFonts w:hint="eastAsia" w:ascii="彩虹粗仿宋" w:eastAsia="彩虹粗仿宋"/>
          <w:sz w:val="32"/>
          <w:szCs w:val="32"/>
        </w:rPr>
        <w:t>≤102cm，伸展长度：≥203cm，</w:t>
      </w:r>
      <w:r>
        <w:rPr>
          <w:rFonts w:hint="eastAsia" w:ascii="彩虹粗仿宋" w:hAnsi="Calibri" w:eastAsia="彩虹粗仿宋" w:cs="Times New Roman"/>
          <w:color w:val="000000"/>
          <w:sz w:val="32"/>
          <w:szCs w:val="32"/>
        </w:rPr>
        <w:t>钢叉重量</w:t>
      </w:r>
      <w:r>
        <w:rPr>
          <w:rFonts w:hint="eastAsia" w:ascii="彩虹粗仿宋" w:eastAsia="彩虹粗仿宋"/>
          <w:sz w:val="32"/>
          <w:szCs w:val="32"/>
        </w:rPr>
        <w:t>≤</w:t>
      </w:r>
      <w:r>
        <w:rPr>
          <w:rFonts w:hint="eastAsia" w:ascii="彩虹粗仿宋" w:hAnsi="Calibri" w:eastAsia="彩虹粗仿宋" w:cs="Times New Roman"/>
          <w:color w:val="000000"/>
          <w:sz w:val="32"/>
          <w:szCs w:val="32"/>
        </w:rPr>
        <w:t>1.5kg。（5）功能：可靠性：钢叉经过1000次开启、闭合循环后，应能正常使用；抗破坏能力：当处于工作状态时，叉头沿叉杆轴向承受1000N的静压力作用时，叉头无变形，伸缩锁合装置、连接处无脱锁、拉脱现象；抗折弯性能：工作状态下，钢叉中点承受500N的横向作用时，叉杆无裂纹、断裂或拉脱。</w:t>
      </w:r>
    </w:p>
    <w:p>
      <w:pPr>
        <w:numPr>
          <w:ilvl w:val="0"/>
          <w:numId w:val="3"/>
        </w:numPr>
        <w:adjustRightInd w:val="0"/>
        <w:snapToGrid w:val="0"/>
        <w:spacing w:line="560" w:lineRule="atLeast"/>
        <w:ind w:firstLine="420"/>
        <w:rPr>
          <w:rFonts w:ascii="彩虹粗仿宋" w:hAnsi="Calibri" w:eastAsia="彩虹粗仿宋" w:cs="Times New Roman"/>
          <w:color w:val="000000"/>
          <w:sz w:val="32"/>
          <w:szCs w:val="32"/>
        </w:rPr>
      </w:pPr>
      <w:r>
        <w:rPr>
          <w:rFonts w:hint="eastAsia" w:ascii="彩虹粗仿宋" w:hAnsi="Calibri" w:eastAsia="彩虹粗仿宋" w:cs="Times New Roman"/>
          <w:b/>
          <w:bCs/>
          <w:color w:val="000000"/>
          <w:sz w:val="32"/>
          <w:szCs w:val="32"/>
        </w:rPr>
        <w:t>辣椒水</w:t>
      </w:r>
      <w:r>
        <w:rPr>
          <w:rFonts w:hint="eastAsia" w:ascii="彩虹粗仿宋" w:hAnsi="Calibri" w:eastAsia="彩虹粗仿宋" w:cs="Times New Roman"/>
          <w:color w:val="000000"/>
          <w:sz w:val="32"/>
          <w:szCs w:val="32"/>
        </w:rPr>
        <w:t>：（1）类型：辣椒水可采用射流型 (精准喷射) / 喷雾型 (范围覆盖) / 泡沫型 / 凝胶型。（2）有效成分与浓度：合成辣椒素，浓度≥1.0%。（3）功能：辣椒水需要具备UV标记染料。（4）药剂标准：Q/74469047-02-2006。（5）灌装剂的量：50±2ml。</w:t>
      </w:r>
    </w:p>
    <w:p>
      <w:p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（四）供货要求</w:t>
      </w:r>
    </w:p>
    <w:p>
      <w:pPr>
        <w:adjustRightInd w:val="0"/>
        <w:snapToGrid w:val="0"/>
        <w:spacing w:line="560" w:lineRule="atLeast"/>
        <w:ind w:firstLine="640"/>
        <w:rPr>
          <w:rFonts w:ascii="彩虹粗仿宋" w:hAnsi="宋体" w:eastAsia="彩虹粗仿宋" w:cs="Times New Roman"/>
          <w:sz w:val="32"/>
          <w:szCs w:val="32"/>
        </w:rPr>
      </w:pPr>
      <w:r>
        <w:rPr>
          <w:rFonts w:hint="eastAsia" w:ascii="彩虹粗仿宋" w:hAnsi="宋体" w:eastAsia="彩虹粗仿宋" w:cs="黑体"/>
          <w:snapToGrid w:val="0"/>
          <w:sz w:val="32"/>
          <w:szCs w:val="32"/>
        </w:rPr>
        <w:t>供应商须在收到订单后7天内安全配送至中国建设银行宁波市分行（鄞州区宝华街255号），</w:t>
      </w:r>
      <w:r>
        <w:rPr>
          <w:rFonts w:hint="eastAsia" w:ascii="彩虹粗仿宋" w:hAnsi="宋体" w:eastAsia="彩虹粗仿宋" w:cs="Times New Roman"/>
          <w:sz w:val="32"/>
          <w:szCs w:val="32"/>
        </w:rPr>
        <w:t>交付的产品应具有适于运输方式的坚固包装，应根据产品的不同特性和要求采取防潮、防雨、防锈、防震、防磁等保护措施。同时附有技术规格、使用说明、质量合格证书等相关文件或技术资料，文件或技术资料应当清晰、准确和完整。</w:t>
      </w:r>
    </w:p>
    <w:p>
      <w:p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（五）售后服务要求</w:t>
      </w:r>
    </w:p>
    <w:p>
      <w:pPr>
        <w:spacing w:line="360" w:lineRule="auto"/>
        <w:ind w:firstLine="570"/>
        <w:rPr>
          <w:rFonts w:ascii="彩虹粗仿宋" w:hAnsi="宋体" w:eastAsia="彩虹粗仿宋" w:cs="Times New Roman"/>
          <w:sz w:val="32"/>
          <w:szCs w:val="32"/>
        </w:rPr>
      </w:pPr>
      <w:r>
        <w:rPr>
          <w:rFonts w:hint="eastAsia" w:ascii="彩虹粗仿宋" w:hAnsi="宋体" w:eastAsia="彩虹粗仿宋" w:cs="Times New Roman"/>
          <w:bCs/>
          <w:sz w:val="32"/>
          <w:szCs w:val="32"/>
        </w:rPr>
        <w:t>防弹背心，防刺背心、头盔、防暴钢叉</w:t>
      </w:r>
      <w:r>
        <w:rPr>
          <w:rFonts w:hint="eastAsia" w:ascii="彩虹粗仿宋" w:hAnsi="宋体" w:eastAsia="彩虹粗仿宋" w:cs="Times New Roman"/>
          <w:sz w:val="32"/>
          <w:szCs w:val="32"/>
        </w:rPr>
        <w:t>享有为期（36月以上）的质量保证期，</w:t>
      </w:r>
      <w:r>
        <w:rPr>
          <w:rFonts w:hint="eastAsia" w:ascii="彩虹粗仿宋" w:hAnsi="宋体" w:eastAsia="彩虹粗仿宋" w:cs="Times New Roman"/>
          <w:bCs/>
          <w:sz w:val="32"/>
          <w:szCs w:val="32"/>
        </w:rPr>
        <w:t>辣椒水享有为期（12月以上）的质量保证期，</w:t>
      </w:r>
      <w:r>
        <w:rPr>
          <w:rFonts w:hint="eastAsia" w:ascii="彩虹粗仿宋" w:hAnsi="宋体" w:eastAsia="彩虹粗仿宋" w:cs="Times New Roman"/>
          <w:sz w:val="32"/>
          <w:szCs w:val="32"/>
        </w:rPr>
        <w:t>该期限自产品验收合格之日起开始计算，质量保证期内如产品出现任何质量问题，有权要求予以无条件维修、更换或退货。因辣椒水有效期为3年，</w:t>
      </w:r>
      <w:r>
        <w:rPr>
          <w:rFonts w:hint="eastAsia" w:ascii="彩虹粗仿宋" w:hAnsi="宋体" w:eastAsia="彩虹粗仿宋" w:cs="Times New Roman"/>
          <w:bCs/>
          <w:sz w:val="32"/>
          <w:szCs w:val="32"/>
        </w:rPr>
        <w:t>辣椒水的生产日期（生产批次）应在供货日期前3个月内。</w:t>
      </w:r>
    </w:p>
    <w:p>
      <w:p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（六）报价要求</w:t>
      </w:r>
    </w:p>
    <w:p>
      <w:pPr>
        <w:adjustRightInd w:val="0"/>
        <w:snapToGrid w:val="0"/>
        <w:spacing w:line="560" w:lineRule="atLeast"/>
        <w:ind w:firstLine="640" w:firstLineChars="200"/>
        <w:rPr>
          <w:rFonts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rPr>
        <w:t>拟采购防弹背心，防刺背心、头盔、防暴钢叉、辣椒水等安防类物品的含税价格，适用国家规定的增值税税率，物品报价单要求报价。</w:t>
      </w:r>
    </w:p>
    <w:p>
      <w:p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（七）款项支付要求</w:t>
      </w:r>
    </w:p>
    <w:p>
      <w:pPr>
        <w:adjustRightInd w:val="0"/>
        <w:snapToGrid w:val="0"/>
        <w:spacing w:line="560" w:lineRule="atLeast"/>
        <w:ind w:firstLine="640" w:firstLineChars="200"/>
        <w:rPr>
          <w:rFonts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rPr>
        <w:t>按订购的数量据实结算。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FF8D99"/>
    <w:multiLevelType w:val="singleLevel"/>
    <w:tmpl w:val="BCFF8D99"/>
    <w:lvl w:ilvl="0" w:tentative="0">
      <w:start w:val="3"/>
      <w:numFmt w:val="chineseCounting"/>
      <w:suff w:val="nothing"/>
      <w:lvlText w:val="（%1）"/>
      <w:lvlJc w:val="left"/>
      <w:rPr>
        <w:rFonts w:hint="eastAsia"/>
      </w:rPr>
    </w:lvl>
  </w:abstractNum>
  <w:abstractNum w:abstractNumId="1">
    <w:nsid w:val="FCFED66D"/>
    <w:multiLevelType w:val="singleLevel"/>
    <w:tmpl w:val="FCFED66D"/>
    <w:lvl w:ilvl="0" w:tentative="0">
      <w:start w:val="1"/>
      <w:numFmt w:val="decimal"/>
      <w:lvlText w:val="%1."/>
      <w:lvlJc w:val="left"/>
      <w:pPr>
        <w:tabs>
          <w:tab w:val="left" w:pos="312"/>
        </w:tabs>
      </w:pPr>
    </w:lvl>
  </w:abstractNum>
  <w:abstractNum w:abstractNumId="2">
    <w:nsid w:val="06192E9C"/>
    <w:multiLevelType w:val="multilevel"/>
    <w:tmpl w:val="06192E9C"/>
    <w:lvl w:ilvl="0" w:tentative="0">
      <w:start w:val="1"/>
      <w:numFmt w:val="decimal"/>
      <w:lvlText w:val="%1."/>
      <w:lvlJc w:val="left"/>
      <w:pPr>
        <w:ind w:left="988" w:hanging="42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326"/>
    <w:rsid w:val="000047B4"/>
    <w:rsid w:val="00096A61"/>
    <w:rsid w:val="00127F58"/>
    <w:rsid w:val="00225909"/>
    <w:rsid w:val="002E75B5"/>
    <w:rsid w:val="0032570D"/>
    <w:rsid w:val="003B6E43"/>
    <w:rsid w:val="00453D9C"/>
    <w:rsid w:val="0046300C"/>
    <w:rsid w:val="00471A24"/>
    <w:rsid w:val="0047736A"/>
    <w:rsid w:val="00491E2F"/>
    <w:rsid w:val="00493B2F"/>
    <w:rsid w:val="004C082C"/>
    <w:rsid w:val="00505DD7"/>
    <w:rsid w:val="0057151E"/>
    <w:rsid w:val="00583F69"/>
    <w:rsid w:val="005D5C7B"/>
    <w:rsid w:val="005F3D27"/>
    <w:rsid w:val="00635326"/>
    <w:rsid w:val="006462AD"/>
    <w:rsid w:val="006D2C73"/>
    <w:rsid w:val="00822C69"/>
    <w:rsid w:val="008565D6"/>
    <w:rsid w:val="008B501F"/>
    <w:rsid w:val="008F10F2"/>
    <w:rsid w:val="00950403"/>
    <w:rsid w:val="009767C4"/>
    <w:rsid w:val="00AB2836"/>
    <w:rsid w:val="00AD435E"/>
    <w:rsid w:val="00B016C6"/>
    <w:rsid w:val="00B210AA"/>
    <w:rsid w:val="00BE0AA8"/>
    <w:rsid w:val="00C27D6A"/>
    <w:rsid w:val="00C76309"/>
    <w:rsid w:val="00C978FB"/>
    <w:rsid w:val="00CD78DA"/>
    <w:rsid w:val="00D020D1"/>
    <w:rsid w:val="00D11560"/>
    <w:rsid w:val="00D623A3"/>
    <w:rsid w:val="00E77F7D"/>
    <w:rsid w:val="00EA051C"/>
    <w:rsid w:val="00EC70E3"/>
    <w:rsid w:val="00F14CB9"/>
    <w:rsid w:val="00F20304"/>
    <w:rsid w:val="00F738EA"/>
    <w:rsid w:val="3D79F6DA"/>
    <w:rsid w:val="4FF738ED"/>
    <w:rsid w:val="5FF09900"/>
    <w:rsid w:val="6FFD3216"/>
    <w:rsid w:val="77767917"/>
    <w:rsid w:val="7DEF1B55"/>
    <w:rsid w:val="7FB36687"/>
    <w:rsid w:val="7FF51256"/>
    <w:rsid w:val="97E62639"/>
    <w:rsid w:val="9DC72CD5"/>
    <w:rsid w:val="BFFEE28E"/>
    <w:rsid w:val="DBBE926F"/>
    <w:rsid w:val="DBF579FB"/>
    <w:rsid w:val="DFBC5196"/>
    <w:rsid w:val="DFCE3118"/>
    <w:rsid w:val="DFEBB9E1"/>
    <w:rsid w:val="F33FCDDB"/>
    <w:rsid w:val="F3CA01F3"/>
    <w:rsid w:val="F4BF2C97"/>
    <w:rsid w:val="FFDC79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8"/>
    <w:semiHidden/>
    <w:unhideWhenUsed/>
    <w:qFormat/>
    <w:uiPriority w:val="99"/>
    <w:rPr>
      <w:rFonts w:ascii="Courier New" w:hAnsi="Courier New" w:cs="Courier New"/>
      <w:sz w:val="20"/>
      <w:szCs w:val="20"/>
    </w:rPr>
  </w:style>
  <w:style w:type="paragraph" w:styleId="7">
    <w:name w:val="List Paragraph"/>
    <w:basedOn w:val="1"/>
    <w:qFormat/>
    <w:uiPriority w:val="34"/>
    <w:pPr>
      <w:ind w:firstLine="420" w:firstLineChars="200"/>
    </w:pPr>
    <w:rPr>
      <w:rFonts w:ascii="Calibri" w:hAnsi="Calibri" w:eastAsia="宋体" w:cs="Times New Roman"/>
    </w:rPr>
  </w:style>
  <w:style w:type="character" w:customStyle="1" w:styleId="8">
    <w:name w:val="HTML 预设格式 Char"/>
    <w:basedOn w:val="6"/>
    <w:link w:val="4"/>
    <w:semiHidden/>
    <w:qFormat/>
    <w:uiPriority w:val="99"/>
    <w:rPr>
      <w:rFonts w:ascii="Courier New" w:hAnsi="Courier New" w:cs="Courier New"/>
      <w:sz w:val="20"/>
      <w:szCs w:val="20"/>
    </w:rPr>
  </w:style>
  <w:style w:type="character" w:customStyle="1" w:styleId="9">
    <w:name w:val="页眉 Char"/>
    <w:basedOn w:val="6"/>
    <w:link w:val="3"/>
    <w:qFormat/>
    <w:uiPriority w:val="99"/>
    <w:rPr>
      <w:sz w:val="18"/>
      <w:szCs w:val="18"/>
    </w:rPr>
  </w:style>
  <w:style w:type="character" w:customStyle="1" w:styleId="10">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506</Words>
  <Characters>2886</Characters>
  <Lines>24</Lines>
  <Paragraphs>6</Paragraphs>
  <TotalTime>17</TotalTime>
  <ScaleCrop>false</ScaleCrop>
  <LinksUpToDate>false</LinksUpToDate>
  <CharactersWithSpaces>3386</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2025-11-18T02:07:00Z</dcterms:created>
  <dc:creator>Apache POI</dc:creator>
  <cp:lastModifiedBy>ccb</cp:lastModifiedBy>
  <dcterms:modified xsi:type="dcterms:W3CDTF">2025-11-19T15:38:10Z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90548379112AE835D25E1D69F93C0914</vt:lpwstr>
  </property>
</Properties>
</file>