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彩虹小标宋" w:hAnsi="彩虹小标宋" w:eastAsia="彩虹小标宋"/>
          <w:bCs/>
          <w:color w:val="auto"/>
          <w:sz w:val="44"/>
          <w:szCs w:val="44"/>
        </w:rPr>
      </w:pPr>
      <w:r>
        <w:rPr>
          <w:rFonts w:hint="eastAsia" w:ascii="彩虹小标宋" w:hAnsi="彩虹小标宋" w:eastAsia="彩虹小标宋"/>
          <w:bCs/>
          <w:color w:val="auto"/>
          <w:sz w:val="44"/>
          <w:szCs w:val="44"/>
        </w:rPr>
        <w:t>许昌禹州支行保安、联网110报警服务采购需求</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一、对候选供应商的要求</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（一）具有独立法人资格，能独立承担民事责任。</w:t>
      </w:r>
    </w:p>
    <w:p>
      <w:pPr>
        <w:spacing w:line="560" w:lineRule="atLeast"/>
        <w:ind w:firstLine="320"/>
        <w:rPr>
          <w:rFonts w:ascii="彩虹粗仿宋" w:hAnsi="彩虹粗仿宋" w:eastAsia="彩虹粗仿宋" w:cs="宋体"/>
          <w:b/>
          <w:color w:val="auto"/>
          <w:sz w:val="32"/>
          <w:szCs w:val="32"/>
        </w:rPr>
      </w:pPr>
      <w:r>
        <w:rPr>
          <w:rFonts w:hint="eastAsia" w:ascii="彩虹粗仿宋" w:hAnsi="彩虹粗仿宋" w:eastAsia="彩虹粗仿宋"/>
          <w:color w:val="auto"/>
          <w:sz w:val="32"/>
        </w:rPr>
        <w:t>（二）取得合法有效的</w:t>
      </w:r>
      <w:r>
        <w:rPr>
          <w:rFonts w:hint="eastAsia" w:ascii="彩虹粗仿宋" w:hAnsi="彩虹粗仿宋" w:eastAsia="彩虹粗仿宋"/>
          <w:color w:val="auto"/>
          <w:sz w:val="32"/>
          <w:szCs w:val="20"/>
        </w:rPr>
        <w:t>保安服务许可证</w:t>
      </w:r>
      <w:r>
        <w:rPr>
          <w:rFonts w:hint="eastAsia" w:ascii="彩虹粗仿宋" w:hAnsi="彩虹粗仿宋" w:eastAsia="彩虹粗仿宋"/>
          <w:color w:val="auto"/>
          <w:sz w:val="32"/>
        </w:rPr>
        <w:t>。</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（三）财务状况良好，提供近三年（202</w:t>
      </w:r>
      <w:r>
        <w:rPr>
          <w:rFonts w:hint="eastAsia" w:ascii="彩虹粗仿宋" w:hAnsi="彩虹粗仿宋" w:eastAsia="彩虹粗仿宋"/>
          <w:color w:val="auto"/>
          <w:sz w:val="32"/>
          <w:lang w:val="en-US" w:eastAsia="zh-CN"/>
        </w:rPr>
        <w:t>0</w:t>
      </w:r>
      <w:r>
        <w:rPr>
          <w:rFonts w:hint="eastAsia" w:ascii="彩虹粗仿宋" w:hAnsi="彩虹粗仿宋" w:eastAsia="彩虹粗仿宋"/>
          <w:color w:val="auto"/>
          <w:sz w:val="32"/>
        </w:rPr>
        <w:t>年-202</w:t>
      </w:r>
      <w:r>
        <w:rPr>
          <w:rFonts w:hint="eastAsia" w:ascii="彩虹粗仿宋" w:hAnsi="彩虹粗仿宋" w:eastAsia="彩虹粗仿宋"/>
          <w:color w:val="auto"/>
          <w:sz w:val="32"/>
          <w:lang w:val="en-US" w:eastAsia="zh-CN"/>
        </w:rPr>
        <w:t>2</w:t>
      </w:r>
      <w:bookmarkStart w:id="0" w:name="_GoBack"/>
      <w:bookmarkEnd w:id="0"/>
      <w:r>
        <w:rPr>
          <w:rFonts w:hint="eastAsia" w:ascii="彩虹粗仿宋" w:hAnsi="彩虹粗仿宋" w:eastAsia="彩虹粗仿宋"/>
          <w:color w:val="auto"/>
          <w:sz w:val="32"/>
        </w:rPr>
        <w:t>年）的经审计的财务报告或财务报表（新成立企业从成立日计算）；</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（五）2021年1月1日以来银行保安、联网110报警服务同类项目经验。</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（六）本项目不允许联合体投标，不允许分包或转包。</w:t>
      </w:r>
    </w:p>
    <w:p>
      <w:pPr>
        <w:spacing w:line="560" w:lineRule="atLeast"/>
        <w:ind w:firstLine="320"/>
        <w:rPr>
          <w:rFonts w:ascii="彩虹粗仿宋" w:hAnsi="彩虹粗仿宋" w:eastAsia="彩虹粗仿宋"/>
          <w:color w:val="auto"/>
          <w:sz w:val="32"/>
        </w:rPr>
      </w:pPr>
      <w:r>
        <w:rPr>
          <w:rFonts w:hint="eastAsia" w:ascii="彩虹粗仿宋" w:hAnsi="彩虹粗仿宋" w:eastAsia="彩虹粗仿宋"/>
          <w:color w:val="auto"/>
          <w:sz w:val="32"/>
        </w:rPr>
        <w:t>（七）外商独资、中外合资、中外合作的保安公司不得参与（根据保安服务管理条例第二十二条规定）。</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二、服务基本内容</w:t>
      </w:r>
    </w:p>
    <w:p>
      <w:pPr>
        <w:spacing w:line="600" w:lineRule="exact"/>
        <w:ind w:firstLine="64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(一)保安值守服务</w:t>
      </w:r>
    </w:p>
    <w:p>
      <w:pPr>
        <w:spacing w:line="560" w:lineRule="exact"/>
        <w:ind w:firstLine="480"/>
        <w:rPr>
          <w:rFonts w:ascii="Times New Roman" w:hAnsi="Times New Roman" w:eastAsia="彩虹粗仿宋" w:cs="宋体"/>
          <w:color w:val="auto"/>
          <w:sz w:val="32"/>
          <w:szCs w:val="32"/>
        </w:rPr>
      </w:pPr>
      <w:r>
        <w:rPr>
          <w:rFonts w:hint="eastAsia" w:ascii="Times New Roman" w:hAnsi="Times New Roman" w:eastAsia="彩虹粗仿宋" w:cs="宋体"/>
          <w:color w:val="auto"/>
          <w:sz w:val="32"/>
          <w:szCs w:val="32"/>
        </w:rPr>
        <w:t>本次保安值守服务内容是禹州支行本部和所辖营业部等5个营业网点的保安服务。</w:t>
      </w:r>
    </w:p>
    <w:p>
      <w:pPr>
        <w:spacing w:line="560" w:lineRule="exact"/>
        <w:ind w:firstLine="640"/>
        <w:outlineLvl w:val="1"/>
        <w:rPr>
          <w:rFonts w:ascii="Times New Roman" w:hAnsi="Times New Roman" w:eastAsia="彩虹粗仿宋" w:cs="宋体"/>
          <w:color w:val="auto"/>
          <w:sz w:val="32"/>
          <w:szCs w:val="32"/>
        </w:rPr>
      </w:pPr>
      <w:r>
        <w:rPr>
          <w:rFonts w:hint="eastAsia" w:ascii="Times New Roman" w:hAnsi="Times New Roman" w:eastAsia="彩虹粗仿宋" w:cs="宋体"/>
          <w:color w:val="auto"/>
          <w:sz w:val="32"/>
          <w:szCs w:val="32"/>
        </w:rPr>
        <w:t>（二）联网110报警服务</w:t>
      </w:r>
    </w:p>
    <w:p>
      <w:pPr>
        <w:spacing w:line="560" w:lineRule="exact"/>
        <w:ind w:firstLine="640"/>
        <w:rPr>
          <w:rFonts w:ascii="彩虹粗仿宋" w:hAnsi="彩虹粗仿宋" w:eastAsia="彩虹粗仿宋" w:cs="彩虹粗仿宋"/>
          <w:color w:val="auto"/>
          <w:sz w:val="32"/>
          <w:szCs w:val="32"/>
        </w:rPr>
      </w:pPr>
      <w:r>
        <w:rPr>
          <w:rFonts w:hint="eastAsia" w:ascii="Times New Roman" w:hAnsi="Times New Roman" w:eastAsia="彩虹粗仿宋" w:cs="宋体"/>
          <w:color w:val="auto"/>
          <w:sz w:val="32"/>
          <w:szCs w:val="32"/>
        </w:rPr>
        <w:t>禹州支行</w:t>
      </w:r>
      <w:r>
        <w:rPr>
          <w:rFonts w:hint="eastAsia" w:ascii="彩虹粗仿宋" w:hAnsi="彩虹粗仿宋" w:eastAsia="彩虹粗仿宋" w:cs="彩虹粗仿宋"/>
          <w:color w:val="auto"/>
          <w:sz w:val="32"/>
          <w:szCs w:val="32"/>
        </w:rPr>
        <w:t>所辖5个营业网点、1个离行式自助银行（自助设备）的联网报警设施、设备及相关配件的安装、更换、调试、维修、巡检及迁移，对联网报警设备进行报警测试、监控、警情处置等服务项目。</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三、服务团队要求</w:t>
      </w:r>
    </w:p>
    <w:p>
      <w:pPr>
        <w:spacing w:line="560" w:lineRule="exact"/>
        <w:ind w:right="-141" w:firstLine="480"/>
        <w:rPr>
          <w:rFonts w:ascii="彩虹粗仿宋" w:hAnsi="彩虹粗仿宋" w:eastAsia="彩虹粗仿宋" w:cs="彩虹粗仿宋"/>
          <w:color w:val="auto"/>
          <w:sz w:val="32"/>
          <w:szCs w:val="32"/>
        </w:rPr>
      </w:pPr>
      <w:r>
        <w:rPr>
          <w:rFonts w:hint="eastAsia" w:ascii="彩虹粗仿宋" w:hAnsi="彩虹粗仿宋" w:eastAsia="彩虹粗仿宋" w:cs="宋体"/>
          <w:color w:val="auto"/>
          <w:sz w:val="32"/>
          <w:szCs w:val="32"/>
        </w:rPr>
        <w:t>（一）</w:t>
      </w:r>
      <w:r>
        <w:rPr>
          <w:rFonts w:hint="eastAsia" w:ascii="彩虹粗仿宋" w:hAnsi="彩虹粗仿宋" w:eastAsia="彩虹粗仿宋" w:cs="彩虹粗仿宋"/>
          <w:color w:val="auto"/>
          <w:sz w:val="32"/>
          <w:szCs w:val="32"/>
        </w:rPr>
        <w:t>符合《保安服务管理条例》的要求，有当地公安部门认可的110报警入网许可服务，开展110联网报警服务3年以上，在当地服务于大多数金融机构。</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（二）人员政治上可靠，遵守国家法律、法规，无不良行为记录、身体健康、统一着装。</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（三）具备一定的专业技能，能正确处理服务中出现的突发情况并进行有效处置。</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（四）外包人员按国家规定持证上岗，认真执行国家有关规定及要求。如由于所派人员违反规定，造成财产损失和人员伤亡的，外包服务公司负全部责任。</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（五）具有满足服务需要的器械和车辆等。</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四、服务质量要求</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（一）计划安排要求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项目推进根据工作安排，按照我行采购流程进行，积极与采购部门对接，安排专人配合采购部门及时解决采购事项所涉及到的内容、费用、问题等，圆满完成本次采购项目。</w:t>
      </w:r>
    </w:p>
    <w:p>
      <w:pPr>
        <w:spacing w:line="560" w:lineRule="exact"/>
        <w:ind w:firstLine="160"/>
        <w:outlineLvl w:val="1"/>
        <w:rPr>
          <w:rFonts w:ascii="彩虹粗仿宋" w:hAnsi="彩虹粗仿宋" w:eastAsia="彩虹粗仿宋" w:cs="Courier New"/>
          <w:color w:val="auto"/>
          <w:sz w:val="32"/>
          <w:szCs w:val="32"/>
        </w:rPr>
      </w:pPr>
      <w:r>
        <w:rPr>
          <w:rFonts w:hint="eastAsia" w:ascii="彩虹粗仿宋" w:hAnsi="彩虹粗仿宋" w:eastAsia="彩虹粗仿宋"/>
          <w:bCs/>
          <w:color w:val="auto"/>
          <w:sz w:val="32"/>
          <w:szCs w:val="32"/>
        </w:rPr>
        <w:t>（二）服务质量标准</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s="Courier New"/>
          <w:color w:val="auto"/>
          <w:sz w:val="32"/>
          <w:szCs w:val="32"/>
        </w:rPr>
        <w:t>1、</w:t>
      </w:r>
      <w:r>
        <w:rPr>
          <w:rFonts w:hint="eastAsia" w:ascii="彩虹粗仿宋" w:hAnsi="彩虹粗仿宋" w:eastAsia="彩虹粗仿宋"/>
          <w:color w:val="auto"/>
          <w:sz w:val="32"/>
          <w:szCs w:val="32"/>
        </w:rPr>
        <w:t>外包服务公司承诺按照协议约定的服务内容向我行提供合格的服务，接受我行对其工作的指导和监督。</w:t>
      </w:r>
    </w:p>
    <w:p>
      <w:pPr>
        <w:tabs>
          <w:tab w:val="left" w:pos="720"/>
        </w:tabs>
        <w:spacing w:line="560" w:lineRule="exact"/>
        <w:ind w:firstLine="32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2、严格遵守我行的制度和规定，按照我行的服务需求，配备和提供外包人员。不得泄漏因服务而取得的任何我行的业务信息。</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spacing w:line="560" w:lineRule="exact"/>
        <w:ind w:left="-178"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外包服务公司应对派驻我行的人员进行业务知识培训，并达到国家承认的上岗资格，做到持证上岗。派往我行的人员非必要，不得进入我行营业柜台等场所，不得从事本岗位职责以外的工作。执勤期间，按照合同约定着装持械上岗。定期进行应急预案演练。</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6、供应商应确保与公安局“110”报警服务平台的信息畅通，达到公安部门服务的要求。做好所辖110报警设备日常的故障排查工作，确保技术人员配备，保障设备良好运行。</w:t>
      </w:r>
    </w:p>
    <w:p>
      <w:pPr>
        <w:spacing w:line="560" w:lineRule="exact"/>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（三）风险控制要求</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1、日常管理、监督和检查。</w:t>
      </w:r>
    </w:p>
    <w:p>
      <w:pPr>
        <w:spacing w:line="560" w:lineRule="exact"/>
        <w:ind w:firstLine="16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2、明确责任，防范风险。</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（3）外包服务公司通过工作合同、规章对外包服务人员的行为做出约束，并与外包服务人员一一签订《保密协议》，防范客户信息泄露的风险，严格防范操作风险、声誉风险及其它风险。</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（四）保密要求</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1、外包服务人员只能掌握了解工作需要的相关信息，不得将我行信息资料以任何方式透露给其他任何机构或个人。</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2、外包服务人员不得利用工作之便窃取、收买或者非法提供他人信息资料进行各种非法活动。</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3、由于外包服务公司原因导致我行及客户信息泄漏的，按照双方合同约定承担相关责任。</w:t>
      </w:r>
    </w:p>
    <w:p>
      <w:pPr>
        <w:tabs>
          <w:tab w:val="left" w:pos="720"/>
        </w:tabs>
        <w:spacing w:line="560" w:lineRule="exact"/>
        <w:ind w:firstLine="480"/>
        <w:outlineLvl w:val="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4、外包服务公司应严守在履行协议约定中以口头、书面或其他任何方式知悉的我行的商业秘密、技术秘密和其他商业及业务信息，不得泄露。无论协议约定是否无效、变更或终止，本保密条款持续有效。</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（五）应急措施要求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1、外包服务公司应制定相关应急预案，设置预案场景、预案分工、预案演练、预案评估，并明确应急处置流程。</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2、因外包服务人员原因造成我行及客户信息泄露、客户投诉等风险，外包服务公司应立即向我行报告，同时启动应急预案，沟通协商解决办法，防止事态扩大。</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3、营业网点如遇挤兑、抢劫、被盗等情形，外包服务人员应及时报告我行和上级部门以及外包服务公司，启动应急预案并报警。</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4、由于外包服务公司原因（如：外包服务中断）引起突发事件的，我行应立即启动相应应急预案，妥善处置问题，积极争取恢复生产。</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6、在处理事（案）件过程中要时刻向我行报告进展情况，待风险解除后，形成书面报告报送我行，我行综合评估后确定是否继续开展外包事项。</w:t>
      </w:r>
    </w:p>
    <w:p>
      <w:pPr>
        <w:spacing w:line="560" w:lineRule="exact"/>
        <w:ind w:firstLine="16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（六）外包争端的解决</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外包协议有效期内若发生争议，应本着友好协商的态度加以妥善解决。协商不成的，向所在地人民法院起诉。诉讼期间，外包协议不涉及争议的条款，双方仍需继续履行。</w:t>
      </w:r>
    </w:p>
    <w:p>
      <w:pPr>
        <w:spacing w:line="560" w:lineRule="exact"/>
        <w:ind w:firstLine="32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（七）验收方法和标准</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1、根据《中国建设银行营业办公场所保安值勤操作规程》有关规定，依据《XX月营业网点保安服务测评表》（见附件），每月由我行按照“合格”、“基本合格”、“不合格”进行测评考核。</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每月由服务单位按“合格”、“基本合格”、“不合格”进行测评考核，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五、消保条款要求</w:t>
      </w:r>
    </w:p>
    <w:p>
      <w:pPr>
        <w:spacing w:line="560" w:lineRule="exact"/>
        <w:ind w:firstLine="636"/>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（一）个人信息保护条款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1.明确双方职责、保密义务及个人信息保护条款措施、个人信息发生泄露的违约责任；约定合作机构的保密义务不因服务的终止而终止；</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2.合作机构不得在未获得客户同意的前提下将获得的个人信息进一步提供给其他第三方；</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3.合作机构向个人信息主体征得收集个人信息的明确同意授权；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4.在双方合作关系终止时，应确保其不再存储我行相关个人信息。</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(二）信息披露条款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(三）消费者投诉条款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2.对涉及理赔给付的合作机构，应明确其承担的投诉处理义务和责任。</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（四）其他行为监督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outlineLvl w:val="1"/>
        <w:rPr>
          <w:rFonts w:ascii="彩虹粗仿宋" w:hAnsi="彩虹粗仿宋" w:eastAsia="彩虹粗仿宋"/>
          <w:color w:val="auto"/>
          <w:sz w:val="32"/>
          <w:szCs w:val="32"/>
        </w:rPr>
      </w:pPr>
      <w:r>
        <w:rPr>
          <w:rFonts w:hint="eastAsia" w:ascii="彩虹黑体" w:hAnsi="彩虹黑体" w:eastAsia="彩虹黑体"/>
          <w:color w:val="auto"/>
          <w:sz w:val="32"/>
          <w:szCs w:val="32"/>
        </w:rPr>
        <w:t>（五）黑名单退出机制</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对有下列情形之一的，应取消准入资格；已经准入的，应予以退出。</w:t>
      </w:r>
    </w:p>
    <w:p>
      <w:pPr>
        <w:spacing w:line="560" w:lineRule="exact"/>
        <w:ind w:left="210" w:firstLine="320"/>
        <w:rPr>
          <w:rFonts w:ascii="彩虹粗仿宋" w:hAnsi="彩虹粗仿宋" w:eastAsia="彩虹粗仿宋"/>
          <w:color w:val="auto"/>
          <w:sz w:val="32"/>
          <w:szCs w:val="32"/>
        </w:rPr>
      </w:pPr>
      <w:r>
        <w:rPr>
          <w:rFonts w:ascii="彩虹粗仿宋" w:hAnsi="彩虹粗仿宋" w:eastAsia="彩虹粗仿宋"/>
          <w:color w:val="auto"/>
          <w:sz w:val="32"/>
          <w:szCs w:val="32"/>
        </w:rPr>
        <w:t>1.存在消费者权益侵权行为，引发较大舆情或重大投诉在社会上造成严重不良影响的；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2.存在消费者权益侵权行为，受到监管处罚，给我行造成严重不良影响的；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3.存在消费者权益侵权行为，受到公安立案或法院判决，给我行造成严重不良影响的；</w:t>
      </w:r>
    </w:p>
    <w:p>
      <w:pPr>
        <w:spacing w:line="560" w:lineRule="exact"/>
        <w:ind w:firstLine="640"/>
        <w:rPr>
          <w:rFonts w:ascii="彩虹黑体" w:hAnsi="彩虹黑体" w:eastAsia="彩虹黑体"/>
          <w:color w:val="auto"/>
          <w:sz w:val="32"/>
          <w:szCs w:val="32"/>
        </w:rPr>
      </w:pPr>
      <w:r>
        <w:rPr>
          <w:rFonts w:ascii="彩虹粗仿宋" w:hAnsi="彩虹粗仿宋" w:eastAsia="彩虹粗仿宋"/>
          <w:color w:val="auto"/>
          <w:sz w:val="32"/>
          <w:szCs w:val="32"/>
        </w:rPr>
        <w:t>4.违反法律法规和监管机构规定的其他严重情形</w:t>
      </w:r>
      <w:r>
        <w:rPr>
          <w:rFonts w:hint="eastAsia" w:ascii="彩虹粗仿宋" w:hAnsi="彩虹粗仿宋" w:eastAsia="彩虹粗仿宋"/>
          <w:color w:val="auto"/>
          <w:sz w:val="32"/>
          <w:szCs w:val="32"/>
        </w:rPr>
        <w:t>。</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六、服务供应安排</w:t>
      </w:r>
    </w:p>
    <w:p>
      <w:pPr>
        <w:spacing w:line="560" w:lineRule="exact"/>
        <w:ind w:firstLine="48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（一）办公营业场所保安值守服务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1、负责为禹州支行本部和5个网点提供保安值守服务。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2、禹州支行本部实行24小时轮班制值守，5个网点保安人员执勤的工作时间与网点营业时间保持一致，每人每周工作时间符合国家法定工作时间。</w:t>
      </w:r>
    </w:p>
    <w:p>
      <w:pPr>
        <w:spacing w:line="560" w:lineRule="exact"/>
        <w:ind w:firstLine="480"/>
        <w:outlineLvl w:val="1"/>
        <w:rPr>
          <w:rFonts w:ascii="彩虹粗仿宋" w:hAnsi="彩虹粗仿宋" w:eastAsia="彩虹粗仿宋" w:cs="彩虹粗仿宋"/>
          <w:color w:val="auto"/>
          <w:sz w:val="32"/>
          <w:szCs w:val="32"/>
        </w:rPr>
      </w:pPr>
      <w:r>
        <w:rPr>
          <w:rFonts w:hint="eastAsia" w:ascii="彩虹粗仿宋" w:hAnsi="彩虹粗仿宋" w:eastAsia="彩虹粗仿宋"/>
          <w:color w:val="auto"/>
          <w:sz w:val="32"/>
          <w:szCs w:val="32"/>
        </w:rPr>
        <w:t>（二)联网</w:t>
      </w:r>
      <w:r>
        <w:rPr>
          <w:rFonts w:hint="eastAsia" w:ascii="彩虹粗仿宋" w:hAnsi="彩虹粗仿宋" w:eastAsia="彩虹粗仿宋" w:cs="彩虹粗仿宋"/>
          <w:color w:val="auto"/>
          <w:sz w:val="32"/>
          <w:szCs w:val="32"/>
        </w:rPr>
        <w:t>110报警服务</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1、报警监控</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供应商公司按照报警联网设备合同的约定对我行各地区辖内报警服务点（含网点、自助、金库、档案库房等）进行撤布防的监控。</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2、设备巡检</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全年为我行网点的联网报警系统每季度进行1次全面的检修。</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3、设备日常维修维护</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做好营业场所和办公楼等重点部位110联网线路设备和报警系统的的日常维护。</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4、人员培训</w:t>
      </w:r>
    </w:p>
    <w:p>
      <w:pPr>
        <w:spacing w:line="600" w:lineRule="exact"/>
        <w:ind w:firstLine="64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每年对我行人员每季度提供1次安保设施设备维护使用培训。</w:t>
      </w:r>
    </w:p>
    <w:p>
      <w:pPr>
        <w:spacing w:line="600" w:lineRule="exact"/>
        <w:ind w:firstLine="640"/>
        <w:jc w:val="left"/>
        <w:outlineLvl w:val="2"/>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5、警情处置</w:t>
      </w:r>
    </w:p>
    <w:p>
      <w:pPr>
        <w:spacing w:line="560" w:lineRule="exact"/>
        <w:ind w:firstLine="640"/>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供应商与“110”指挥中心24小时共同接收紧急报警信号，及时通知反馈处理。</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七、服务数量要求</w:t>
      </w:r>
    </w:p>
    <w:p>
      <w:pPr>
        <w:spacing w:line="560" w:lineRule="exact"/>
        <w:ind w:firstLine="320"/>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（一）服务区域</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1、保安服务：禹州支行本部办公楼及所辖营业部等5个营业机构。</w:t>
      </w:r>
    </w:p>
    <w:p>
      <w:pPr>
        <w:spacing w:line="560" w:lineRule="exact"/>
        <w:ind w:left="-227" w:right="-28"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2、联网110报警服务：禹州支行5个营业网点（含附行式自助银行）和1个离行式自助（设备）银行。</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（二）岗位数量</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1、禹州支行办公楼配备3个保安岗位；营业部、禹王大道支行、滨河大道支行、远航路支行、建设路支行各配备2个保安岗位，共需13个保安岗位。</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2、禹州支行营业部、禹王大道、滨河、远航路、建设路支行以及1个离行式自助银行共6个网点的报警服务。</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八、款项支付要求</w:t>
      </w:r>
    </w:p>
    <w:p>
      <w:pPr>
        <w:spacing w:line="600" w:lineRule="exact"/>
        <w:ind w:firstLine="640"/>
        <w:jc w:val="left"/>
        <w:rPr>
          <w:rFonts w:ascii="彩虹粗仿宋" w:hAnsi="彩虹粗仿宋" w:eastAsia="彩虹粗仿宋"/>
          <w:color w:val="auto"/>
          <w:sz w:val="32"/>
          <w:szCs w:val="32"/>
        </w:rPr>
      </w:pPr>
      <w:r>
        <w:rPr>
          <w:rFonts w:hint="eastAsia" w:ascii="彩虹粗仿宋" w:hAnsi="彩虹粗仿宋" w:eastAsia="彩虹粗仿宋" w:cs="彩虹粗仿宋"/>
          <w:color w:val="auto"/>
          <w:sz w:val="32"/>
          <w:szCs w:val="32"/>
        </w:rPr>
        <w:t>按月根据保安岗位和联网110报警设备点数实际增减情况据实支付</w:t>
      </w:r>
      <w:r>
        <w:rPr>
          <w:rFonts w:hint="eastAsia" w:ascii="彩虹粗仿宋" w:hAnsi="彩虹粗仿宋" w:eastAsia="彩虹粗仿宋"/>
          <w:color w:val="auto"/>
          <w:sz w:val="32"/>
          <w:szCs w:val="32"/>
        </w:rPr>
        <w:t>，根据月度考核情况，供应商出具相应的增值税专用发票，如遇增加或减少岗位数量,服务金额按对应岗位价格和数量进行增减。</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九、报价要求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（一许昌禹州支行本部办公楼及营业网点配备保安13个岗位，每年费用40.56万元，每月3.38万元。按单价和含税总价进行报价，超过预算为无效报价。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（二）本次采购项目为禹州支行公安110联网报警服务，</w:t>
      </w:r>
      <w:r>
        <w:rPr>
          <w:rFonts w:hint="eastAsia" w:ascii="彩虹粗仿宋" w:hAnsi="彩虹粗仿宋" w:eastAsia="彩虹粗仿宋"/>
          <w:color w:val="auto"/>
          <w:sz w:val="32"/>
          <w:szCs w:val="32"/>
          <w:lang w:eastAsia="zh-CN"/>
        </w:rPr>
        <w:t>服务点数为</w:t>
      </w:r>
      <w:r>
        <w:rPr>
          <w:rFonts w:hint="eastAsia" w:ascii="彩虹粗仿宋" w:hAnsi="彩虹粗仿宋" w:eastAsia="彩虹粗仿宋"/>
          <w:color w:val="auto"/>
          <w:sz w:val="32"/>
          <w:szCs w:val="32"/>
          <w:lang w:val="en-US" w:eastAsia="zh-CN"/>
        </w:rPr>
        <w:t>6点，</w:t>
      </w:r>
      <w:r>
        <w:rPr>
          <w:rFonts w:hint="eastAsia" w:ascii="彩虹粗仿宋" w:hAnsi="彩虹粗仿宋" w:eastAsia="彩虹粗仿宋"/>
          <w:color w:val="auto"/>
          <w:sz w:val="32"/>
          <w:szCs w:val="32"/>
        </w:rPr>
        <w:t>按“400元/点/月”报含税单价和含税总价，超过预算为无效报价。</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十、其他要求</w:t>
      </w:r>
    </w:p>
    <w:p>
      <w:pPr>
        <w:spacing w:line="560" w:lineRule="exact"/>
        <w:ind w:firstLine="480"/>
        <w:rPr>
          <w:rFonts w:ascii="彩虹粗仿宋" w:hAnsi="彩虹粗仿宋" w:eastAsia="彩虹粗仿宋"/>
          <w:b/>
          <w:color w:val="auto"/>
          <w:sz w:val="32"/>
          <w:szCs w:val="32"/>
          <w:shd w:val="clear" w:color="auto" w:fill="FFFFFF"/>
        </w:rPr>
      </w:pPr>
      <w:r>
        <w:rPr>
          <w:rFonts w:hint="eastAsia" w:ascii="彩虹粗仿宋" w:hAnsi="彩虹粗仿宋" w:eastAsia="彩虹粗仿宋"/>
          <w:color w:val="auto"/>
          <w:sz w:val="32"/>
          <w:szCs w:val="32"/>
          <w:shd w:val="clear" w:color="auto" w:fill="FFFFFF"/>
        </w:rPr>
        <w:t>未经采购方允许，供应商不得将本项目采购内容及项目以任何方式进行转包。</w:t>
      </w:r>
    </w:p>
    <w:tbl>
      <w:tblPr>
        <w:tblStyle w:val="2"/>
        <w:tblW w:w="8980" w:type="dxa"/>
        <w:tblInd w:w="-15" w:type="dxa"/>
        <w:tblLayout w:type="autofit"/>
        <w:tblCellMar>
          <w:top w:w="0" w:type="dxa"/>
          <w:left w:w="10" w:type="dxa"/>
          <w:bottom w:w="0" w:type="dxa"/>
          <w:right w:w="10" w:type="dxa"/>
        </w:tblCellMar>
      </w:tblPr>
      <w:tblGrid>
        <w:gridCol w:w="740"/>
        <w:gridCol w:w="740"/>
        <w:gridCol w:w="720"/>
        <w:gridCol w:w="1080"/>
        <w:gridCol w:w="740"/>
        <w:gridCol w:w="1120"/>
        <w:gridCol w:w="920"/>
        <w:gridCol w:w="740"/>
        <w:gridCol w:w="700"/>
        <w:gridCol w:w="720"/>
        <w:gridCol w:w="760"/>
      </w:tblGrid>
      <w:tr>
        <w:tblPrEx>
          <w:tblCellMar>
            <w:top w:w="0" w:type="dxa"/>
            <w:left w:w="10" w:type="dxa"/>
            <w:bottom w:w="0" w:type="dxa"/>
            <w:right w:w="10" w:type="dxa"/>
          </w:tblCellMar>
        </w:tblPrEx>
        <w:trPr>
          <w:trHeight w:val="456" w:hRule="atLeast"/>
        </w:trPr>
        <w:tc>
          <w:tcPr>
            <w:tcW w:w="8980" w:type="dxa"/>
            <w:gridSpan w:val="11"/>
            <w:tcBorders>
              <w:top w:val="nil"/>
              <w:left w:val="nil"/>
              <w:bottom w:val="nil"/>
              <w:right w:val="nil"/>
            </w:tcBorders>
            <w:tcMar>
              <w:top w:w="0" w:type="dxa"/>
              <w:left w:w="108" w:type="dxa"/>
              <w:bottom w:w="0" w:type="dxa"/>
              <w:right w:w="108" w:type="dxa"/>
            </w:tcMar>
            <w:vAlign w:val="center"/>
          </w:tcPr>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rFonts w:ascii="彩虹粗仿宋" w:hAnsi="彩虹粗仿宋" w:eastAsia="彩虹粗仿宋"/>
                <w:color w:val="auto"/>
                <w:sz w:val="32"/>
                <w:szCs w:val="32"/>
              </w:rPr>
            </w:pPr>
            <w:r>
              <w:rPr>
                <w:rFonts w:hint="eastAsia" w:ascii="彩虹粗仿宋" w:hAnsi="彩虹粗仿宋" w:eastAsia="彩虹粗仿宋"/>
                <w:color w:val="auto"/>
                <w:sz w:val="32"/>
                <w:szCs w:val="32"/>
              </w:rPr>
              <w:t>附件：</w:t>
            </w:r>
          </w:p>
          <w:p>
            <w:pPr>
              <w:widowControl/>
              <w:jc w:val="center"/>
              <w:rPr>
                <w:rFonts w:ascii="Times New Roman" w:hAnsi="Times New Roman"/>
                <w:b/>
                <w:bCs/>
                <w:color w:val="auto"/>
                <w:sz w:val="36"/>
                <w:szCs w:val="36"/>
              </w:rPr>
            </w:pPr>
            <w:r>
              <w:rPr>
                <w:rFonts w:hint="eastAsia" w:ascii="宋体" w:hAnsi="宋体"/>
                <w:b/>
                <w:bCs/>
                <w:color w:val="auto"/>
                <w:sz w:val="36"/>
                <w:szCs w:val="36"/>
              </w:rPr>
              <w:t>保安服务测评表</w:t>
            </w:r>
          </w:p>
        </w:tc>
      </w:tr>
      <w:tr>
        <w:tblPrEx>
          <w:tblCellMar>
            <w:top w:w="0" w:type="dxa"/>
            <w:left w:w="10" w:type="dxa"/>
            <w:bottom w:w="0" w:type="dxa"/>
            <w:right w:w="10" w:type="dxa"/>
          </w:tblCellMar>
        </w:tblPrEx>
        <w:trPr>
          <w:trHeight w:val="135"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08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9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0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r>
        <w:tblPrEx>
          <w:tblCellMar>
            <w:top w:w="0" w:type="dxa"/>
            <w:left w:w="10" w:type="dxa"/>
            <w:bottom w:w="0" w:type="dxa"/>
            <w:right w:w="10" w:type="dxa"/>
          </w:tblCellMar>
        </w:tblPrEx>
        <w:trPr>
          <w:trHeight w:val="600" w:hRule="atLeast"/>
        </w:trPr>
        <w:tc>
          <w:tcPr>
            <w:tcW w:w="1480" w:type="dxa"/>
            <w:gridSpan w:val="2"/>
            <w:tcBorders>
              <w:top w:val="nil"/>
              <w:left w:val="nil"/>
              <w:bottom w:val="single" w:color="000000" w:sz="4" w:space="0"/>
              <w:right w:val="nil"/>
            </w:tcBorders>
            <w:tcMar>
              <w:top w:w="0" w:type="dxa"/>
              <w:left w:w="108" w:type="dxa"/>
              <w:bottom w:w="0" w:type="dxa"/>
              <w:right w:w="108" w:type="dxa"/>
            </w:tcMar>
            <w:vAlign w:val="center"/>
          </w:tcPr>
          <w:p>
            <w:pPr>
              <w:widowControl/>
              <w:jc w:val="center"/>
              <w:rPr>
                <w:rFonts w:ascii="宋体" w:hAnsi="宋体" w:cs="宋体"/>
                <w:color w:val="auto"/>
                <w:szCs w:val="28"/>
              </w:rPr>
            </w:pPr>
            <w:r>
              <w:rPr>
                <w:rFonts w:hint="eastAsia" w:ascii="宋体" w:hAnsi="宋体" w:cs="宋体"/>
                <w:color w:val="auto"/>
                <w:szCs w:val="28"/>
              </w:rPr>
              <w:t>网点：</w:t>
            </w:r>
          </w:p>
        </w:tc>
        <w:tc>
          <w:tcPr>
            <w:tcW w:w="72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08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860" w:type="dxa"/>
            <w:gridSpan w:val="2"/>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r>
              <w:rPr>
                <w:rFonts w:hint="eastAsia" w:ascii="宋体" w:hAnsi="宋体" w:cs="宋体"/>
                <w:color w:val="auto"/>
                <w:szCs w:val="28"/>
              </w:rPr>
              <w:t>保安姓名：</w:t>
            </w:r>
          </w:p>
        </w:tc>
        <w:tc>
          <w:tcPr>
            <w:tcW w:w="92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740" w:type="dxa"/>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p>
        </w:tc>
        <w:tc>
          <w:tcPr>
            <w:tcW w:w="1420" w:type="dxa"/>
            <w:gridSpan w:val="2"/>
            <w:tcBorders>
              <w:top w:val="nil"/>
              <w:left w:val="nil"/>
              <w:bottom w:val="nil"/>
              <w:right w:val="nil"/>
            </w:tcBorders>
            <w:tcMar>
              <w:top w:w="0" w:type="dxa"/>
              <w:left w:w="108" w:type="dxa"/>
              <w:bottom w:w="0" w:type="dxa"/>
              <w:right w:w="108" w:type="dxa"/>
            </w:tcMar>
            <w:vAlign w:val="center"/>
          </w:tcPr>
          <w:p>
            <w:pPr>
              <w:widowControl/>
              <w:jc w:val="left"/>
              <w:rPr>
                <w:rFonts w:ascii="宋体" w:hAnsi="宋体" w:cs="宋体"/>
                <w:color w:val="auto"/>
                <w:szCs w:val="28"/>
              </w:rPr>
            </w:pPr>
            <w:r>
              <w:rPr>
                <w:rFonts w:hint="eastAsia" w:ascii="宋体" w:hAnsi="宋体" w:cs="宋体"/>
                <w:color w:val="auto"/>
                <w:szCs w:val="28"/>
              </w:rPr>
              <w:t>日期：</w:t>
            </w: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p>
        </w:tc>
      </w:tr>
      <w:tr>
        <w:tblPrEx>
          <w:tblCellMar>
            <w:top w:w="0" w:type="dxa"/>
            <w:left w:w="10" w:type="dxa"/>
            <w:bottom w:w="0" w:type="dxa"/>
            <w:right w:w="10" w:type="dxa"/>
          </w:tblCellMar>
        </w:tblPrEx>
        <w:trPr>
          <w:trHeight w:val="360" w:hRule="atLeast"/>
        </w:trPr>
        <w:tc>
          <w:tcPr>
            <w:tcW w:w="740" w:type="dxa"/>
            <w:vMerge w:val="restart"/>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日</w:t>
            </w:r>
            <w:r>
              <w:rPr>
                <w:rFonts w:ascii="Times New Roman" w:hAnsi="Times New Roman"/>
                <w:color w:val="auto"/>
                <w:sz w:val="24"/>
                <w:szCs w:val="24"/>
              </w:rPr>
              <w:t xml:space="preserve">   </w:t>
            </w:r>
            <w:r>
              <w:rPr>
                <w:rFonts w:hint="eastAsia" w:ascii="宋体" w:hAnsi="宋体" w:cs="宋体"/>
                <w:color w:val="auto"/>
                <w:sz w:val="24"/>
                <w:szCs w:val="24"/>
              </w:rPr>
              <w:t>期</w:t>
            </w:r>
          </w:p>
        </w:tc>
        <w:tc>
          <w:tcPr>
            <w:tcW w:w="7480" w:type="dxa"/>
            <w:gridSpan w:val="9"/>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b/>
                <w:bCs/>
                <w:color w:val="auto"/>
                <w:szCs w:val="28"/>
              </w:rPr>
            </w:pPr>
            <w:r>
              <w:rPr>
                <w:rFonts w:hint="eastAsia" w:ascii="宋体" w:hAnsi="宋体" w:cs="宋体"/>
                <w:b/>
                <w:bCs/>
                <w:color w:val="auto"/>
                <w:szCs w:val="28"/>
              </w:rPr>
              <w:t>违犯规定内容及次数</w:t>
            </w:r>
          </w:p>
        </w:tc>
        <w:tc>
          <w:tcPr>
            <w:tcW w:w="76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1014" w:hRule="atLeast"/>
        </w:trPr>
        <w:tc>
          <w:tcPr>
            <w:tcW w:w="74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rPr>
                <w:color w:val="auto"/>
              </w:rPr>
            </w:pP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着装</w:t>
            </w:r>
            <w:r>
              <w:rPr>
                <w:rFonts w:ascii="Times New Roman" w:hAnsi="Times New Roman"/>
                <w:color w:val="auto"/>
                <w:sz w:val="22"/>
              </w:rPr>
              <w:t xml:space="preserve">    </w:t>
            </w:r>
            <w:r>
              <w:rPr>
                <w:rFonts w:hint="eastAsia" w:ascii="宋体" w:hAnsi="宋体" w:cs="宋体"/>
                <w:color w:val="auto"/>
                <w:sz w:val="22"/>
              </w:rPr>
              <w:t>不整</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警具</w:t>
            </w:r>
            <w:r>
              <w:rPr>
                <w:rFonts w:ascii="Times New Roman" w:hAnsi="Times New Roman"/>
                <w:color w:val="auto"/>
                <w:sz w:val="22"/>
              </w:rPr>
              <w:t xml:space="preserve">      </w:t>
            </w:r>
            <w:r>
              <w:rPr>
                <w:rFonts w:hint="eastAsia" w:ascii="宋体" w:hAnsi="宋体" w:cs="宋体"/>
                <w:color w:val="auto"/>
                <w:sz w:val="22"/>
              </w:rPr>
              <w:t>乱放</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迟到、早退  脱岗、旷工</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不服从          领 导</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睡觉、看报会客、聊天</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警惕性差松懈怠工</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客户</w:t>
            </w:r>
            <w:r>
              <w:rPr>
                <w:rFonts w:ascii="Times New Roman" w:hAnsi="Times New Roman"/>
                <w:color w:val="auto"/>
                <w:sz w:val="22"/>
              </w:rPr>
              <w:t xml:space="preserve">       </w:t>
            </w:r>
            <w:r>
              <w:rPr>
                <w:rFonts w:hint="eastAsia" w:ascii="宋体" w:hAnsi="宋体" w:cs="宋体"/>
                <w:color w:val="auto"/>
                <w:sz w:val="22"/>
              </w:rPr>
              <w:t>投诉</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与客户发生纠纷</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其   他</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当日合计</w:t>
            </w:r>
          </w:p>
        </w:tc>
      </w:tr>
      <w:tr>
        <w:tblPrEx>
          <w:tblCellMar>
            <w:top w:w="0" w:type="dxa"/>
            <w:left w:w="10" w:type="dxa"/>
            <w:bottom w:w="0" w:type="dxa"/>
            <w:right w:w="10" w:type="dxa"/>
          </w:tblCellMar>
        </w:tblPrEx>
        <w:trPr>
          <w:trHeight w:val="312" w:hRule="atLeast"/>
        </w:trPr>
        <w:tc>
          <w:tcPr>
            <w:tcW w:w="740" w:type="dxa"/>
            <w:vMerge w:val="continue"/>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rPr>
                <w:color w:val="auto"/>
              </w:rPr>
            </w:pP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次数</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1</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2</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3</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4</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5</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6</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eastAsia="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318"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31</w:t>
            </w:r>
          </w:p>
        </w:tc>
        <w:tc>
          <w:tcPr>
            <w:tcW w:w="74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08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11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9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4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0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20" w:type="dxa"/>
            <w:tcBorders>
              <w:top w:val="nil"/>
              <w:left w:val="nil"/>
              <w:bottom w:val="nil"/>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c>
          <w:tcPr>
            <w:tcW w:w="760" w:type="dxa"/>
            <w:tcBorders>
              <w:top w:val="nil"/>
              <w:left w:val="nil"/>
              <w:bottom w:val="single" w:color="000000" w:sz="4" w:space="0"/>
              <w:right w:val="single" w:color="000000" w:sz="4" w:space="0"/>
            </w:tcBorders>
            <w:tcMar>
              <w:top w:w="0" w:type="dxa"/>
              <w:left w:w="108" w:type="dxa"/>
              <w:bottom w:w="0" w:type="dxa"/>
              <w:right w:w="108" w:type="dxa"/>
            </w:tcMar>
            <w:vAlign w:val="bottom"/>
          </w:tcPr>
          <w:p>
            <w:pPr>
              <w:widowControl/>
              <w:jc w:val="left"/>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600"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总评</w:t>
            </w:r>
          </w:p>
        </w:tc>
        <w:tc>
          <w:tcPr>
            <w:tcW w:w="8240" w:type="dxa"/>
            <w:gridSpan w:val="10"/>
            <w:tcBorders>
              <w:top w:val="single" w:color="000000" w:sz="4" w:space="0"/>
              <w:left w:val="nil"/>
              <w:bottom w:val="single" w:color="000000" w:sz="4" w:space="0"/>
              <w:right w:val="single" w:color="000000" w:sz="4" w:space="0"/>
            </w:tcBorders>
            <w:tcMar>
              <w:top w:w="0" w:type="dxa"/>
              <w:left w:w="108" w:type="dxa"/>
              <w:bottom w:w="0" w:type="dxa"/>
              <w:right w:w="108" w:type="dxa"/>
            </w:tcMar>
            <w:vAlign w:val="bottom"/>
          </w:tcPr>
          <w:p>
            <w:pPr>
              <w:widowControl/>
              <w:jc w:val="center"/>
              <w:rPr>
                <w:rFonts w:ascii="宋体" w:hAnsi="宋体" w:cs="宋体"/>
                <w:color w:val="auto"/>
                <w:sz w:val="24"/>
                <w:szCs w:val="24"/>
              </w:rPr>
            </w:pPr>
            <w:r>
              <w:rPr>
                <w:rFonts w:hint="eastAsia" w:ascii="宋体" w:hAnsi="宋体" w:cs="宋体"/>
                <w:color w:val="auto"/>
                <w:sz w:val="24"/>
                <w:szCs w:val="24"/>
              </w:rPr>
              <w:t>　</w:t>
            </w:r>
          </w:p>
        </w:tc>
      </w:tr>
      <w:tr>
        <w:tblPrEx>
          <w:tblCellMar>
            <w:top w:w="0" w:type="dxa"/>
            <w:left w:w="10" w:type="dxa"/>
            <w:bottom w:w="0" w:type="dxa"/>
            <w:right w:w="10" w:type="dxa"/>
          </w:tblCellMar>
        </w:tblPrEx>
        <w:trPr>
          <w:trHeight w:val="570" w:hRule="atLeast"/>
        </w:trPr>
        <w:tc>
          <w:tcPr>
            <w:tcW w:w="740"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2"/>
              </w:rPr>
            </w:pPr>
            <w:r>
              <w:rPr>
                <w:rFonts w:hint="eastAsia" w:ascii="宋体" w:hAnsi="宋体" w:cs="宋体"/>
                <w:color w:val="auto"/>
                <w:sz w:val="22"/>
              </w:rPr>
              <w:t>备注</w:t>
            </w:r>
          </w:p>
        </w:tc>
        <w:tc>
          <w:tcPr>
            <w:tcW w:w="8240" w:type="dxa"/>
            <w:gridSpan w:val="10"/>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color w:val="auto"/>
                <w:sz w:val="24"/>
                <w:szCs w:val="24"/>
              </w:rPr>
            </w:pPr>
            <w:r>
              <w:rPr>
                <w:rFonts w:hint="eastAsia" w:ascii="宋体" w:hAnsi="宋体" w:cs="宋体"/>
                <w:color w:val="auto"/>
                <w:sz w:val="24"/>
                <w:szCs w:val="24"/>
              </w:rPr>
              <w:t>违犯规定10次以下为合格；10次（不含）以上20次以下为基本合格；20次（不含）以上为不合格。</w:t>
            </w:r>
          </w:p>
        </w:tc>
      </w:tr>
      <w:tr>
        <w:tblPrEx>
          <w:tblCellMar>
            <w:top w:w="0" w:type="dxa"/>
            <w:left w:w="10" w:type="dxa"/>
            <w:bottom w:w="0" w:type="dxa"/>
            <w:right w:w="10" w:type="dxa"/>
          </w:tblCellMar>
        </w:tblPrEx>
        <w:trPr>
          <w:trHeight w:val="312"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08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9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0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r>
        <w:tblPrEx>
          <w:tblCellMar>
            <w:top w:w="0" w:type="dxa"/>
            <w:left w:w="10" w:type="dxa"/>
            <w:bottom w:w="0" w:type="dxa"/>
            <w:right w:w="10" w:type="dxa"/>
          </w:tblCellMar>
        </w:tblPrEx>
        <w:trPr>
          <w:trHeight w:val="348" w:hRule="atLeast"/>
        </w:trPr>
        <w:tc>
          <w:tcPr>
            <w:tcW w:w="740" w:type="dxa"/>
            <w:tcBorders>
              <w:top w:val="nil"/>
              <w:left w:val="nil"/>
              <w:bottom w:val="nil"/>
              <w:right w:val="nil"/>
            </w:tcBorders>
            <w:tcMar>
              <w:top w:w="0" w:type="dxa"/>
              <w:left w:w="108" w:type="dxa"/>
              <w:bottom w:w="0" w:type="dxa"/>
              <w:right w:w="108" w:type="dxa"/>
            </w:tcMar>
            <w:vAlign w:val="center"/>
          </w:tcPr>
          <w:p>
            <w:pPr>
              <w:widowControl/>
              <w:jc w:val="center"/>
              <w:rPr>
                <w:rFonts w:ascii="宋体" w:hAnsi="宋体" w:cs="宋体"/>
                <w:color w:val="auto"/>
                <w:sz w:val="24"/>
                <w:szCs w:val="24"/>
              </w:rPr>
            </w:pPr>
          </w:p>
        </w:tc>
        <w:tc>
          <w:tcPr>
            <w:tcW w:w="2540" w:type="dxa"/>
            <w:gridSpan w:val="3"/>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r>
              <w:rPr>
                <w:rFonts w:hint="eastAsia" w:ascii="宋体" w:hAnsi="宋体" w:cs="宋体"/>
                <w:color w:val="auto"/>
                <w:szCs w:val="28"/>
              </w:rPr>
              <w:t>网点负责人：</w:t>
            </w:r>
          </w:p>
        </w:tc>
        <w:tc>
          <w:tcPr>
            <w:tcW w:w="74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11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2360" w:type="dxa"/>
            <w:gridSpan w:val="3"/>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Cs w:val="28"/>
              </w:rPr>
            </w:pPr>
            <w:r>
              <w:rPr>
                <w:rFonts w:hint="eastAsia" w:ascii="宋体" w:hAnsi="宋体" w:cs="宋体"/>
                <w:color w:val="auto"/>
                <w:szCs w:val="28"/>
              </w:rPr>
              <w:t>被考评人签字：</w:t>
            </w:r>
          </w:p>
        </w:tc>
        <w:tc>
          <w:tcPr>
            <w:tcW w:w="72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c>
          <w:tcPr>
            <w:tcW w:w="760" w:type="dxa"/>
            <w:tcBorders>
              <w:top w:val="nil"/>
              <w:left w:val="nil"/>
              <w:bottom w:val="nil"/>
              <w:right w:val="nil"/>
            </w:tcBorders>
            <w:tcMar>
              <w:top w:w="0" w:type="dxa"/>
              <w:left w:w="108" w:type="dxa"/>
              <w:bottom w:w="0" w:type="dxa"/>
              <w:right w:w="108" w:type="dxa"/>
            </w:tcMar>
            <w:vAlign w:val="bottom"/>
          </w:tcPr>
          <w:p>
            <w:pPr>
              <w:widowControl/>
              <w:jc w:val="left"/>
              <w:rPr>
                <w:rFonts w:ascii="宋体" w:hAnsi="宋体" w:cs="宋体"/>
                <w:color w:val="auto"/>
                <w:sz w:val="24"/>
                <w:szCs w:val="24"/>
              </w:rPr>
            </w:pPr>
          </w:p>
        </w:tc>
      </w:tr>
    </w:tbl>
    <w:p>
      <w:pPr>
        <w:rPr>
          <w:color w:val="auto"/>
        </w:rPr>
      </w:pPr>
      <w:r>
        <w:rPr>
          <w:color w:val="auto"/>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842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Calibri" w:cs="Times New Roman"/>
      <w:kern w:val="1"/>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2024-05-22T01:44:19Z</dcterms:created>
  <dc:creator>haccb</dc:creator>
  <cp:lastModifiedBy>haccb</cp:lastModifiedBy>
  <dcterms:modified xsi:type="dcterms:W3CDTF">2024-05-22T01:45:21Z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6F67D6A055564AAAAA58E200C04184AE_12</vt:lpwstr>
  </property>
</Properties>
</file>