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sz w:val="36"/>
          <w:szCs w:val="36"/>
          <w:lang w:eastAsia="zh-CN"/>
        </w:rPr>
      </w:pPr>
      <w:r>
        <w:rPr>
          <w:rFonts w:hint="eastAsia" w:ascii="方正小标宋简体" w:hAnsi="方正小标宋简体" w:eastAsia="方正小标宋简体" w:cs="方正小标宋简体"/>
          <w:b/>
          <w:sz w:val="36"/>
          <w:szCs w:val="36"/>
          <w:lang w:val="en-US" w:eastAsia="zh-CN"/>
        </w:rPr>
        <w:t xml:space="preserve"> </w:t>
      </w:r>
      <w:r>
        <w:rPr>
          <w:rFonts w:hint="eastAsia" w:ascii="方正小标宋简体" w:hAnsi="方正小标宋简体" w:eastAsia="方正小标宋简体" w:cs="方正小标宋简体"/>
          <w:b/>
          <w:sz w:val="36"/>
          <w:szCs w:val="36"/>
          <w:lang w:eastAsia="zh-CN"/>
        </w:rPr>
        <w:t>人保财险西藏阿里分公司公务、农险、理赔用车车辆定点维修保养服务采购项目</w:t>
      </w:r>
    </w:p>
    <w:p>
      <w:pPr>
        <w:jc w:val="center"/>
        <w:rPr>
          <w:rFonts w:ascii="仿宋_GB2312" w:eastAsia="仿宋_GB2312"/>
          <w:sz w:val="72"/>
          <w:szCs w:val="72"/>
        </w:rPr>
      </w:pPr>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竞</w:t>
      </w:r>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争</w:t>
      </w:r>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性</w:t>
      </w:r>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磋</w:t>
      </w:r>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商</w:t>
      </w:r>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文</w:t>
      </w:r>
    </w:p>
    <w:p>
      <w:pPr>
        <w:jc w:val="center"/>
        <w:rPr>
          <w:rFonts w:hint="eastAsia" w:ascii="方正小标宋简体" w:hAnsi="方正小标宋简体" w:eastAsia="方正小标宋简体" w:cs="方正小标宋简体"/>
          <w:sz w:val="72"/>
          <w:szCs w:val="72"/>
        </w:rPr>
      </w:pPr>
      <w:r>
        <w:rPr>
          <w:rFonts w:hint="eastAsia" w:ascii="方正小标宋简体" w:hAnsi="方正小标宋简体" w:eastAsia="方正小标宋简体" w:cs="方正小标宋简体"/>
          <w:sz w:val="72"/>
          <w:szCs w:val="72"/>
        </w:rPr>
        <w:t>件</w:t>
      </w:r>
    </w:p>
    <w:p>
      <w:pPr>
        <w:pStyle w:val="7"/>
      </w:pPr>
    </w:p>
    <w:p>
      <w:pPr>
        <w:jc w:val="center"/>
        <w:rPr>
          <w:rFonts w:ascii="仿宋_GB2312" w:hAnsi="宋体" w:eastAsia="仿宋_GB2312"/>
          <w:sz w:val="28"/>
          <w:szCs w:val="28"/>
        </w:rPr>
      </w:pPr>
    </w:p>
    <w:p>
      <w:pPr>
        <w:jc w:val="center"/>
        <w:rPr>
          <w:rFonts w:ascii="仿宋_GB2312" w:hAnsi="宋体" w:eastAsia="仿宋_GB2312"/>
          <w:sz w:val="28"/>
          <w:szCs w:val="28"/>
        </w:rPr>
      </w:pPr>
    </w:p>
    <w:p>
      <w:pPr>
        <w:pStyle w:val="8"/>
        <w:ind w:left="99" w:leftChars="47"/>
        <w:jc w:val="center"/>
        <w:rPr>
          <w:rFonts w:ascii="仿宋_GB2312" w:hAnsi="宋体" w:eastAsia="仿宋_GB2312"/>
          <w:b/>
          <w:sz w:val="28"/>
          <w:szCs w:val="28"/>
        </w:rPr>
      </w:pPr>
    </w:p>
    <w:p>
      <w:pPr>
        <w:pStyle w:val="8"/>
        <w:ind w:left="99" w:leftChars="47"/>
        <w:jc w:val="center"/>
        <w:rPr>
          <w:rFonts w:ascii="仿宋_GB2312" w:hAnsi="宋体" w:eastAsia="仿宋_GB2312"/>
          <w:b/>
          <w:sz w:val="28"/>
          <w:szCs w:val="28"/>
        </w:rPr>
      </w:pPr>
    </w:p>
    <w:p>
      <w:pPr>
        <w:pStyle w:val="8"/>
        <w:ind w:left="99" w:leftChars="47"/>
        <w:jc w:val="center"/>
        <w:rPr>
          <w:rFonts w:ascii="仿宋_GB2312" w:hAnsi="宋体" w:eastAsia="仿宋_GB2312"/>
          <w:b/>
          <w:sz w:val="28"/>
          <w:szCs w:val="28"/>
        </w:rPr>
      </w:pPr>
    </w:p>
    <w:p>
      <w:pPr>
        <w:pStyle w:val="8"/>
        <w:ind w:left="99" w:leftChars="47"/>
        <w:jc w:val="center"/>
        <w:rPr>
          <w:rFonts w:ascii="仿宋_GB2312" w:hAnsi="宋体" w:eastAsia="仿宋_GB2312"/>
          <w:b/>
          <w:sz w:val="28"/>
          <w:szCs w:val="28"/>
        </w:rPr>
      </w:pPr>
      <w:r>
        <w:rPr>
          <w:rFonts w:hint="eastAsia" w:ascii="仿宋_GB2312" w:hAnsi="宋体" w:eastAsia="仿宋_GB2312"/>
          <w:b/>
          <w:sz w:val="28"/>
          <w:szCs w:val="28"/>
          <w:lang w:val="en-US" w:eastAsia="zh-CN"/>
        </w:rPr>
        <w:t>2025</w:t>
      </w:r>
      <w:r>
        <w:rPr>
          <w:rFonts w:hint="eastAsia" w:ascii="仿宋_GB2312" w:hAnsi="宋体" w:eastAsia="仿宋_GB2312"/>
          <w:b/>
          <w:sz w:val="28"/>
          <w:szCs w:val="28"/>
        </w:rPr>
        <w:t>年</w:t>
      </w:r>
      <w:r>
        <w:rPr>
          <w:rFonts w:hint="eastAsia" w:ascii="仿宋_GB2312" w:hAnsi="宋体" w:eastAsia="仿宋_GB2312"/>
          <w:b/>
          <w:sz w:val="28"/>
          <w:szCs w:val="28"/>
          <w:lang w:val="en-US" w:eastAsia="zh-CN"/>
        </w:rPr>
        <w:t>12</w:t>
      </w:r>
      <w:r>
        <w:rPr>
          <w:rFonts w:hint="eastAsia" w:ascii="仿宋_GB2312" w:hAnsi="宋体" w:eastAsia="仿宋_GB2312"/>
          <w:b/>
          <w:sz w:val="28"/>
          <w:szCs w:val="28"/>
        </w:rPr>
        <w:t>月</w:t>
      </w:r>
    </w:p>
    <w:p>
      <w:pPr>
        <w:spacing w:line="360" w:lineRule="auto"/>
        <w:jc w:val="center"/>
        <w:rPr>
          <w:rFonts w:ascii="仿宋_GB2312" w:hAnsi="宋体" w:eastAsia="仿宋_GB2312"/>
          <w:b/>
          <w:sz w:val="36"/>
          <w:szCs w:val="28"/>
        </w:rPr>
        <w:sectPr>
          <w:footerReference r:id="rId4" w:type="first"/>
          <w:footerReference r:id="rId3" w:type="even"/>
          <w:pgSz w:w="11906" w:h="16838"/>
          <w:pgMar w:top="1440" w:right="1134" w:bottom="1440" w:left="1134" w:header="851" w:footer="992" w:gutter="0"/>
          <w:cols w:space="720" w:num="1"/>
          <w:docGrid w:linePitch="326" w:charSpace="0"/>
        </w:sectPr>
      </w:pPr>
    </w:p>
    <w:p>
      <w:pPr>
        <w:spacing w:line="360" w:lineRule="auto"/>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目     录</w:t>
      </w:r>
    </w:p>
    <w:p>
      <w:pPr>
        <w:pStyle w:val="12"/>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 w:val="0"/>
          <w:bCs w:val="0"/>
          <w:sz w:val="24"/>
          <w:szCs w:val="24"/>
        </w:rPr>
        <w:fldChar w:fldCharType="begin"/>
      </w:r>
      <w:r>
        <w:rPr>
          <w:rFonts w:hint="eastAsia" w:ascii="仿宋_GB2312" w:hAnsi="仿宋_GB2312" w:eastAsia="仿宋_GB2312" w:cs="仿宋_GB2312"/>
          <w:b w:val="0"/>
          <w:bCs w:val="0"/>
          <w:sz w:val="24"/>
          <w:szCs w:val="24"/>
        </w:rPr>
        <w:instrText xml:space="preserve">TOC \o "1-3" \h \u </w:instrText>
      </w:r>
      <w:r>
        <w:rPr>
          <w:rFonts w:hint="eastAsia" w:ascii="仿宋_GB2312" w:hAnsi="仿宋_GB2312" w:eastAsia="仿宋_GB2312" w:cs="仿宋_GB2312"/>
          <w:b w:val="0"/>
          <w:bCs w:val="0"/>
          <w:sz w:val="24"/>
          <w:szCs w:val="24"/>
        </w:rPr>
        <w:fldChar w:fldCharType="separate"/>
      </w:r>
      <w:r>
        <w:rPr>
          <w:rFonts w:hint="eastAsia" w:ascii="仿宋_GB2312" w:hAnsi="仿宋_GB2312" w:eastAsia="仿宋_GB2312" w:cs="仿宋_GB2312"/>
          <w:bCs w:val="0"/>
          <w:sz w:val="24"/>
          <w:szCs w:val="24"/>
        </w:rPr>
        <w:fldChar w:fldCharType="begin"/>
      </w:r>
      <w:r>
        <w:rPr>
          <w:rFonts w:hint="eastAsia" w:ascii="仿宋_GB2312" w:hAnsi="仿宋_GB2312" w:eastAsia="仿宋_GB2312" w:cs="仿宋_GB2312"/>
          <w:bCs w:val="0"/>
          <w:sz w:val="24"/>
          <w:szCs w:val="24"/>
        </w:rPr>
        <w:instrText xml:space="preserve"> HYPERLINK \l _Toc11979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第一章 竞争性磋商</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_Toc11979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sz w:val="24"/>
          <w:szCs w:val="24"/>
        </w:rPr>
        <w:fldChar w:fldCharType="end"/>
      </w:r>
    </w:p>
    <w:p>
      <w:pPr>
        <w:pStyle w:val="12"/>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_Toc18972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第二章 供应商须知</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_Toc18972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_Toc32251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附件2.1 须知前附表</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_Toc32251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5</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_Toc14365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附件2.2 总则</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_Toc14365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6</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_Toc4840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附件2.3 磋商文件</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_Toc4840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6</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_Toc1958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附件2.4 响应文件</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_Toc1958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7</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_Toc30719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附件2.5 磋商与最终报价</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_Toc30719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8</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_Toc24935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附件2.6 合同的授予</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_Toc24935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2"/>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_Toc17217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第三</w:t>
      </w:r>
      <w:r>
        <w:rPr>
          <w:rFonts w:hint="eastAsia" w:ascii="仿宋_GB2312" w:hAnsi="仿宋_GB2312" w:eastAsia="仿宋_GB2312" w:cs="仿宋_GB2312"/>
          <w:bCs w:val="0"/>
          <w:sz w:val="24"/>
          <w:szCs w:val="24"/>
        </w:rPr>
        <w:t>章  确定参加采购活动供应商的方式</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_Toc17217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12</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2"/>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_Toc6957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第四章  资格证明材料</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_Toc6957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13</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_Toc21484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附件4.1书面承诺函</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_Toc21484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15</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2"/>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_Toc32086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第五章 采购项目要求</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_Toc32086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16</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2"/>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_Toc1689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第六章 供应商响应文件相关文书格式</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_Toc1689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19</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_Toc6400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附件6.1 承诺与声明格式</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_Toc6400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20</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_Toc23337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附件6.2 法人代表授权书格式</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_Toc23337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21</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_Toc23744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附件6.3 应答函格式</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_Toc23744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22</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_Toc9014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附件6.</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 xml:space="preserve"> 商务偏离表格式</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_Toc9014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26</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_Toc17365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附件6.</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 xml:space="preserve"> 技术偏离表格式</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_Toc17365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27</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_Toc17632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附件6.</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已完成类似项目一览表</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_Toc17632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28</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3"/>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_Toc7225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附件6.</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服务或技术响应方案</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_Toc7225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29</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2"/>
        <w:tabs>
          <w:tab w:val="right" w:leader="dot" w:pos="9638"/>
        </w:tabs>
        <w:rPr>
          <w:rFonts w:hint="eastAsia" w:ascii="仿宋_GB2312" w:hAnsi="仿宋_GB2312" w:eastAsia="仿宋_GB2312" w:cs="仿宋_GB2312"/>
          <w:sz w:val="24"/>
          <w:szCs w:val="24"/>
        </w:rPr>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_Toc15662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第七章 评审办法</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_Toc15662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37</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12"/>
        <w:tabs>
          <w:tab w:val="right" w:leader="dot" w:pos="9638"/>
        </w:tabs>
      </w:pPr>
      <w:r>
        <w:rPr>
          <w:rFonts w:hint="eastAsia" w:ascii="仿宋_GB2312" w:hAnsi="仿宋_GB2312" w:eastAsia="仿宋_GB2312" w:cs="仿宋_GB2312"/>
          <w:bCs w:val="0"/>
          <w:color w:val="auto"/>
          <w:sz w:val="24"/>
          <w:szCs w:val="24"/>
        </w:rPr>
        <w:fldChar w:fldCharType="begin"/>
      </w:r>
      <w:r>
        <w:rPr>
          <w:rFonts w:hint="eastAsia" w:ascii="仿宋_GB2312" w:hAnsi="仿宋_GB2312" w:eastAsia="仿宋_GB2312" w:cs="仿宋_GB2312"/>
          <w:bCs w:val="0"/>
          <w:sz w:val="24"/>
          <w:szCs w:val="24"/>
        </w:rPr>
        <w:instrText xml:space="preserve"> HYPERLINK \l _Toc514 </w:instrText>
      </w:r>
      <w:r>
        <w:rPr>
          <w:rFonts w:hint="eastAsia" w:ascii="仿宋_GB2312" w:hAnsi="仿宋_GB2312" w:eastAsia="仿宋_GB2312" w:cs="仿宋_GB2312"/>
          <w:bCs w:val="0"/>
          <w:sz w:val="24"/>
          <w:szCs w:val="24"/>
        </w:rPr>
        <w:fldChar w:fldCharType="separate"/>
      </w:r>
      <w:r>
        <w:rPr>
          <w:rFonts w:hint="eastAsia" w:ascii="仿宋_GB2312" w:hAnsi="仿宋_GB2312" w:eastAsia="仿宋_GB2312" w:cs="仿宋_GB2312"/>
          <w:sz w:val="24"/>
          <w:szCs w:val="24"/>
        </w:rPr>
        <w:t>第八章 合同主要条款</w:t>
      </w:r>
      <w:r>
        <w:rPr>
          <w:rFonts w:hint="eastAsia" w:ascii="仿宋_GB2312" w:hAnsi="仿宋_GB2312" w:eastAsia="仿宋_GB2312" w:cs="仿宋_GB2312"/>
          <w:sz w:val="24"/>
          <w:szCs w:val="24"/>
        </w:rPr>
        <w:tab/>
      </w:r>
      <w:r>
        <w:rPr>
          <w:rFonts w:hint="eastAsia" w:ascii="仿宋_GB2312" w:hAnsi="仿宋_GB2312" w:eastAsia="仿宋_GB2312" w:cs="仿宋_GB2312"/>
          <w:sz w:val="24"/>
          <w:szCs w:val="24"/>
        </w:rPr>
        <w:fldChar w:fldCharType="begin"/>
      </w:r>
      <w:r>
        <w:rPr>
          <w:rFonts w:hint="eastAsia" w:ascii="仿宋_GB2312" w:hAnsi="仿宋_GB2312" w:eastAsia="仿宋_GB2312" w:cs="仿宋_GB2312"/>
          <w:sz w:val="24"/>
          <w:szCs w:val="24"/>
        </w:rPr>
        <w:instrText xml:space="preserve"> PAGEREF _Toc514 \h </w:instrText>
      </w:r>
      <w:r>
        <w:rPr>
          <w:rFonts w:hint="eastAsia" w:ascii="仿宋_GB2312" w:hAnsi="仿宋_GB2312" w:eastAsia="仿宋_GB2312" w:cs="仿宋_GB2312"/>
          <w:sz w:val="24"/>
          <w:szCs w:val="24"/>
        </w:rPr>
        <w:fldChar w:fldCharType="separate"/>
      </w:r>
      <w:r>
        <w:rPr>
          <w:rFonts w:hint="eastAsia" w:ascii="仿宋_GB2312" w:hAnsi="仿宋_GB2312" w:eastAsia="仿宋_GB2312" w:cs="仿宋_GB2312"/>
          <w:sz w:val="24"/>
          <w:szCs w:val="24"/>
        </w:rPr>
        <w:t>40</w:t>
      </w:r>
      <w:r>
        <w:rPr>
          <w:rFonts w:hint="eastAsia" w:ascii="仿宋_GB2312" w:hAnsi="仿宋_GB2312" w:eastAsia="仿宋_GB2312" w:cs="仿宋_GB2312"/>
          <w:sz w:val="24"/>
          <w:szCs w:val="24"/>
        </w:rPr>
        <w:fldChar w:fldCharType="end"/>
      </w:r>
      <w:r>
        <w:rPr>
          <w:rFonts w:hint="eastAsia" w:ascii="仿宋_GB2312" w:hAnsi="仿宋_GB2312" w:eastAsia="仿宋_GB2312" w:cs="仿宋_GB2312"/>
          <w:bCs w:val="0"/>
          <w:color w:val="auto"/>
          <w:sz w:val="24"/>
          <w:szCs w:val="24"/>
        </w:rPr>
        <w:fldChar w:fldCharType="end"/>
      </w:r>
    </w:p>
    <w:p>
      <w:pPr>
        <w:pStyle w:val="2"/>
        <w:pageBreakBefore w:val="0"/>
        <w:widowControl w:val="0"/>
        <w:tabs>
          <w:tab w:val="left" w:pos="425"/>
          <w:tab w:val="left" w:pos="4265"/>
        </w:tabs>
        <w:kinsoku/>
        <w:wordWrap/>
        <w:overflowPunct/>
        <w:topLinePunct w:val="0"/>
        <w:autoSpaceDE/>
        <w:autoSpaceDN/>
        <w:bidi w:val="0"/>
        <w:adjustRightInd/>
        <w:snapToGrid/>
        <w:spacing w:before="0" w:after="0"/>
        <w:ind w:left="0" w:leftChars="0" w:firstLine="0" w:firstLineChars="0"/>
        <w:textAlignment w:val="auto"/>
        <w:rPr>
          <w:rFonts w:hint="eastAsia" w:ascii="仿宋_GB2312" w:hAnsi="仿宋_GB2312" w:eastAsia="仿宋_GB2312" w:cs="仿宋_GB2312"/>
          <w:b w:val="0"/>
          <w:bCs w:val="0"/>
          <w:color w:val="auto"/>
          <w:sz w:val="24"/>
          <w:szCs w:val="24"/>
        </w:rPr>
        <w:sectPr>
          <w:footerReference r:id="rId5" w:type="default"/>
          <w:pgSz w:w="11906" w:h="16838"/>
          <w:pgMar w:top="1440" w:right="1134" w:bottom="1440" w:left="1134" w:header="851" w:footer="992" w:gutter="0"/>
          <w:pgNumType w:fmt="decimal" w:start="1"/>
          <w:cols w:space="720" w:num="1"/>
          <w:docGrid w:linePitch="326" w:charSpace="0"/>
        </w:sectPr>
      </w:pPr>
      <w:r>
        <w:rPr>
          <w:rFonts w:hint="eastAsia" w:ascii="仿宋_GB2312" w:hAnsi="仿宋_GB2312" w:eastAsia="仿宋_GB2312" w:cs="仿宋_GB2312"/>
          <w:bCs w:val="0"/>
          <w:color w:val="auto"/>
          <w:szCs w:val="24"/>
        </w:rPr>
        <w:fldChar w:fldCharType="end"/>
      </w:r>
    </w:p>
    <w:p>
      <w:pPr>
        <w:pStyle w:val="2"/>
        <w:tabs>
          <w:tab w:val="left" w:pos="425"/>
          <w:tab w:val="left" w:pos="4265"/>
        </w:tabs>
        <w:ind w:left="0" w:firstLine="0"/>
        <w:rPr>
          <w:rFonts w:hint="eastAsia" w:ascii="仿宋_GB2312" w:hAnsi="仿宋_GB2312" w:eastAsia="仿宋_GB2312" w:cs="仿宋_GB2312"/>
          <w:color w:val="auto"/>
          <w:sz w:val="24"/>
          <w:szCs w:val="24"/>
        </w:rPr>
        <w:sectPr>
          <w:headerReference r:id="rId6" w:type="default"/>
          <w:footerReference r:id="rId7" w:type="default"/>
          <w:type w:val="continuous"/>
          <w:pgSz w:w="11906" w:h="16838"/>
          <w:pgMar w:top="1440" w:right="1134" w:bottom="1440" w:left="1134" w:header="851" w:footer="992" w:gutter="0"/>
          <w:pgNumType w:fmt="decimal"/>
          <w:cols w:space="720" w:num="1"/>
          <w:docGrid w:linePitch="326" w:charSpace="0"/>
        </w:sectPr>
      </w:pPr>
    </w:p>
    <w:p>
      <w:pPr>
        <w:pStyle w:val="2"/>
        <w:pageBreakBefore w:val="0"/>
        <w:widowControl w:val="0"/>
        <w:tabs>
          <w:tab w:val="left" w:pos="425"/>
          <w:tab w:val="left" w:pos="4265"/>
        </w:tabs>
        <w:kinsoku/>
        <w:wordWrap/>
        <w:overflowPunct/>
        <w:topLinePunct w:val="0"/>
        <w:autoSpaceDE/>
        <w:autoSpaceDN/>
        <w:bidi w:val="0"/>
        <w:adjustRightInd/>
        <w:snapToGrid/>
        <w:spacing w:before="0" w:after="0" w:line="600" w:lineRule="exact"/>
        <w:ind w:left="0" w:firstLine="0"/>
        <w:textAlignment w:val="auto"/>
        <w:rPr>
          <w:rFonts w:hint="eastAsia" w:ascii="仿宋_GB2312" w:hAnsi="仿宋_GB2312" w:eastAsia="仿宋_GB2312" w:cs="仿宋_GB2312"/>
          <w:color w:val="000000" w:themeColor="text1"/>
          <w:sz w:val="24"/>
          <w:szCs w:val="24"/>
          <w14:textFill>
            <w14:solidFill>
              <w14:schemeClr w14:val="tx1"/>
            </w14:solidFill>
          </w14:textFill>
        </w:rPr>
      </w:pPr>
      <w:bookmarkStart w:id="0" w:name="_Toc11979"/>
      <w:bookmarkStart w:id="1" w:name="_Toc21360"/>
      <w:r>
        <w:rPr>
          <w:rFonts w:hint="eastAsia" w:ascii="仿宋_GB2312" w:hAnsi="仿宋_GB2312" w:eastAsia="仿宋_GB2312" w:cs="仿宋_GB2312"/>
          <w:color w:val="000000" w:themeColor="text1"/>
          <w:sz w:val="24"/>
          <w:szCs w:val="24"/>
          <w14:textFill>
            <w14:solidFill>
              <w14:schemeClr w14:val="tx1"/>
            </w14:solidFill>
          </w14:textFill>
        </w:rPr>
        <w:t>第一章 竞争性磋商</w:t>
      </w:r>
      <w:bookmarkEnd w:id="0"/>
      <w:bookmarkEnd w:id="1"/>
    </w:p>
    <w:p>
      <w:pPr>
        <w:keepNext w:val="0"/>
        <w:keepLines w:val="0"/>
        <w:pageBreakBefore w:val="0"/>
        <w:widowControl w:val="0"/>
        <w:kinsoku/>
        <w:wordWrap/>
        <w:overflowPunct/>
        <w:topLinePunct w:val="0"/>
        <w:autoSpaceDE/>
        <w:autoSpaceDN/>
        <w:bidi w:val="0"/>
        <w:adjustRightInd/>
        <w:snapToGrid/>
        <w:spacing w:line="600" w:lineRule="exact"/>
        <w:ind w:firstLine="482" w:firstLineChars="200"/>
        <w:textAlignment w:val="auto"/>
        <w:rPr>
          <w:rFonts w:hint="eastAsia" w:ascii="仿宋_GB2312" w:hAnsi="仿宋_GB2312" w:eastAsia="仿宋_GB2312" w:cs="仿宋_GB2312"/>
          <w:b/>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u w:val="single"/>
          <w14:textFill>
            <w14:solidFill>
              <w14:schemeClr w14:val="tx1"/>
            </w14:solidFill>
          </w14:textFill>
        </w:rPr>
        <w:t>中国人民财产保险股份有限公司</w:t>
      </w:r>
      <w:r>
        <w:rPr>
          <w:rFonts w:hint="eastAsia" w:ascii="仿宋_GB2312" w:hAnsi="仿宋_GB2312" w:eastAsia="仿宋_GB2312" w:cs="仿宋_GB2312"/>
          <w:b/>
          <w:bCs/>
          <w:color w:val="000000" w:themeColor="text1"/>
          <w:sz w:val="24"/>
          <w:szCs w:val="24"/>
          <w:u w:val="single"/>
          <w:lang w:val="en-US" w:eastAsia="zh-CN"/>
          <w14:textFill>
            <w14:solidFill>
              <w14:schemeClr w14:val="tx1"/>
            </w14:solidFill>
          </w14:textFill>
        </w:rPr>
        <w:t>阿里</w:t>
      </w:r>
      <w:r>
        <w:rPr>
          <w:rFonts w:hint="eastAsia" w:ascii="仿宋_GB2312" w:hAnsi="仿宋_GB2312" w:eastAsia="仿宋_GB2312" w:cs="仿宋_GB2312"/>
          <w:b/>
          <w:bCs/>
          <w:color w:val="000000" w:themeColor="text1"/>
          <w:sz w:val="24"/>
          <w:szCs w:val="24"/>
          <w14:textFill>
            <w14:solidFill>
              <w14:schemeClr w14:val="tx1"/>
            </w14:solidFill>
          </w14:textFill>
        </w:rPr>
        <w:t>分公司拟对</w:t>
      </w:r>
      <w:r>
        <w:rPr>
          <w:rFonts w:hint="eastAsia" w:ascii="仿宋_GB2312" w:hAnsi="仿宋_GB2312" w:eastAsia="仿宋_GB2312" w:cs="仿宋_GB2312"/>
          <w:b/>
          <w:bCs/>
          <w:color w:val="000000" w:themeColor="text1"/>
          <w:sz w:val="24"/>
          <w:szCs w:val="24"/>
          <w:u w:val="single"/>
          <w14:textFill>
            <w14:solidFill>
              <w14:schemeClr w14:val="tx1"/>
            </w14:solidFill>
          </w14:textFill>
        </w:rPr>
        <w:t>公务用车及农险、理赔车辆维修和保养服务采购项目</w:t>
      </w:r>
      <w:r>
        <w:rPr>
          <w:rFonts w:hint="eastAsia" w:ascii="仿宋_GB2312" w:hAnsi="仿宋_GB2312" w:eastAsia="仿宋_GB2312" w:cs="仿宋_GB2312"/>
          <w:b/>
          <w:bCs/>
          <w:color w:val="000000" w:themeColor="text1"/>
          <w:sz w:val="24"/>
          <w:szCs w:val="24"/>
          <w14:textFill>
            <w14:solidFill>
              <w14:schemeClr w14:val="tx1"/>
            </w14:solidFill>
          </w14:textFill>
        </w:rPr>
        <w:t>采用</w:t>
      </w:r>
      <w:r>
        <w:rPr>
          <w:rFonts w:hint="eastAsia" w:ascii="仿宋_GB2312" w:hAnsi="仿宋_GB2312" w:eastAsia="仿宋_GB2312" w:cs="仿宋_GB2312"/>
          <w:b/>
          <w:bCs/>
          <w:color w:val="000000" w:themeColor="text1"/>
          <w:sz w:val="24"/>
          <w:szCs w:val="24"/>
          <w:u w:val="single"/>
          <w14:textFill>
            <w14:solidFill>
              <w14:schemeClr w14:val="tx1"/>
            </w14:solidFill>
          </w14:textFill>
        </w:rPr>
        <w:t xml:space="preserve"> 竞争性磋商 </w:t>
      </w:r>
      <w:r>
        <w:rPr>
          <w:rFonts w:hint="eastAsia" w:ascii="仿宋_GB2312" w:hAnsi="仿宋_GB2312" w:eastAsia="仿宋_GB2312" w:cs="仿宋_GB2312"/>
          <w:b/>
          <w:bCs/>
          <w:color w:val="000000" w:themeColor="text1"/>
          <w:sz w:val="24"/>
          <w:szCs w:val="24"/>
          <w14:textFill>
            <w14:solidFill>
              <w14:schemeClr w14:val="tx1"/>
            </w14:solidFill>
          </w14:textFill>
        </w:rPr>
        <w:t>方式进行采购。</w:t>
      </w:r>
    </w:p>
    <w:p>
      <w:pPr>
        <w:pageBreakBefore w:val="0"/>
        <w:widowControl w:val="0"/>
        <w:kinsoku/>
        <w:wordWrap/>
        <w:overflowPunct/>
        <w:topLinePunct w:val="0"/>
        <w:autoSpaceDE/>
        <w:autoSpaceDN/>
        <w:bidi w:val="0"/>
        <w:adjustRightInd/>
        <w:snapToGrid/>
        <w:spacing w:line="600" w:lineRule="exact"/>
        <w:ind w:firstLine="482" w:firstLineChars="200"/>
        <w:jc w:val="both"/>
        <w:textAlignment w:val="auto"/>
        <w:rPr>
          <w:rFonts w:hint="eastAsia" w:ascii="仿宋_GB2312" w:hAnsi="仿宋_GB2312" w:eastAsia="仿宋_GB2312" w:cs="仿宋_GB2312"/>
          <w:b/>
          <w:bCs w:val="0"/>
          <w:i w:val="0"/>
          <w:iCs w:val="0"/>
          <w:color w:val="000000" w:themeColor="text1"/>
          <w:sz w:val="24"/>
          <w:szCs w:val="24"/>
          <w:lang w:eastAsia="zh-CN"/>
          <w14:textFill>
            <w14:solidFill>
              <w14:schemeClr w14:val="tx1"/>
            </w14:solidFill>
          </w14:textFill>
        </w:rPr>
      </w:pPr>
      <w:r>
        <w:rPr>
          <w:rFonts w:hint="eastAsia" w:ascii="仿宋_GB2312" w:hAnsi="仿宋_GB2312" w:eastAsia="仿宋_GB2312" w:cs="仿宋_GB2312"/>
          <w:b/>
          <w:i w:val="0"/>
          <w:iCs w:val="0"/>
          <w:color w:val="000000" w:themeColor="text1"/>
          <w:sz w:val="24"/>
          <w:szCs w:val="24"/>
          <w14:textFill>
            <w14:solidFill>
              <w14:schemeClr w14:val="tx1"/>
            </w14:solidFill>
          </w14:textFill>
        </w:rPr>
        <w:t>一、项目名称：</w:t>
      </w:r>
      <w:r>
        <w:rPr>
          <w:rFonts w:hint="eastAsia" w:ascii="仿宋_GB2312" w:hAnsi="仿宋_GB2312" w:eastAsia="仿宋_GB2312" w:cs="仿宋_GB2312"/>
          <w:b/>
          <w:bCs w:val="0"/>
          <w:i w:val="0"/>
          <w:iCs w:val="0"/>
          <w:color w:val="000000" w:themeColor="text1"/>
          <w:sz w:val="24"/>
          <w:szCs w:val="24"/>
          <w:lang w:eastAsia="zh-CN"/>
          <w14:textFill>
            <w14:solidFill>
              <w14:schemeClr w14:val="tx1"/>
            </w14:solidFill>
          </w14:textFill>
        </w:rPr>
        <w:t>人保财险西藏阿里分公司公务、农险、理赔用车车辆定点维修保养服务采购项目</w:t>
      </w:r>
    </w:p>
    <w:p>
      <w:pPr>
        <w:pageBreakBefore w:val="0"/>
        <w:widowControl w:val="0"/>
        <w:kinsoku/>
        <w:wordWrap/>
        <w:overflowPunct/>
        <w:topLinePunct w:val="0"/>
        <w:autoSpaceDE/>
        <w:autoSpaceDN/>
        <w:bidi w:val="0"/>
        <w:adjustRightInd/>
        <w:snapToGrid/>
        <w:spacing w:line="600" w:lineRule="exact"/>
        <w:ind w:firstLine="482" w:firstLineChars="200"/>
        <w:jc w:val="both"/>
        <w:textAlignment w:val="auto"/>
        <w:rPr>
          <w:rFonts w:hint="eastAsia" w:ascii="仿宋_GB2312" w:hAnsi="仿宋_GB2312" w:eastAsia="仿宋_GB2312" w:cs="仿宋_GB2312"/>
          <w:i w:val="0"/>
          <w:iCs w:val="0"/>
          <w:color w:val="000000" w:themeColor="text1"/>
          <w:sz w:val="24"/>
          <w:szCs w:val="24"/>
          <w14:textFill>
            <w14:solidFill>
              <w14:schemeClr w14:val="tx1"/>
            </w14:solidFill>
          </w14:textFill>
        </w:rPr>
      </w:pPr>
      <w:r>
        <w:rPr>
          <w:rFonts w:hint="eastAsia" w:ascii="仿宋_GB2312" w:hAnsi="仿宋_GB2312" w:eastAsia="仿宋_GB2312" w:cs="仿宋_GB2312"/>
          <w:b/>
          <w:i w:val="0"/>
          <w:iCs w:val="0"/>
          <w:color w:val="000000" w:themeColor="text1"/>
          <w:sz w:val="24"/>
          <w:szCs w:val="24"/>
          <w14:textFill>
            <w14:solidFill>
              <w14:schemeClr w14:val="tx1"/>
            </w14:solidFill>
          </w14:textFill>
        </w:rPr>
        <w:t>二、项目预算：</w:t>
      </w:r>
      <w:r>
        <w:rPr>
          <w:rFonts w:hint="eastAsia" w:ascii="仿宋_GB2312" w:hAnsi="仿宋_GB2312" w:eastAsia="仿宋_GB2312" w:cs="仿宋_GB2312"/>
          <w:i w:val="0"/>
          <w:iCs w:val="0"/>
          <w:color w:val="000000" w:themeColor="text1"/>
          <w:kern w:val="2"/>
          <w:sz w:val="24"/>
          <w:szCs w:val="24"/>
          <w:lang w:val="en-US" w:eastAsia="zh-CN" w:bidi="ar-SA"/>
          <w14:textFill>
            <w14:solidFill>
              <w14:schemeClr w14:val="tx1"/>
            </w14:solidFill>
          </w14:textFill>
        </w:rPr>
        <w:t>本项目3年预算为</w:t>
      </w:r>
      <w:r>
        <w:rPr>
          <w:rFonts w:hint="eastAsia" w:ascii="仿宋_GB2312" w:hAnsi="仿宋_GB2312" w:eastAsia="仿宋_GB2312" w:cs="仿宋_GB2312"/>
          <w:b/>
          <w:bCs/>
          <w:i w:val="0"/>
          <w:iCs w:val="0"/>
          <w:color w:val="000000" w:themeColor="text1"/>
          <w:kern w:val="2"/>
          <w:sz w:val="24"/>
          <w:szCs w:val="24"/>
          <w:lang w:val="en-US" w:eastAsia="zh-CN" w:bidi="ar-SA"/>
          <w14:textFill>
            <w14:solidFill>
              <w14:schemeClr w14:val="tx1"/>
            </w14:solidFill>
          </w14:textFill>
        </w:rPr>
        <w:t>720000.00</w:t>
      </w:r>
      <w:r>
        <w:rPr>
          <w:rFonts w:hint="eastAsia" w:ascii="仿宋_GB2312" w:hAnsi="仿宋_GB2312" w:eastAsia="仿宋_GB2312" w:cs="仿宋_GB2312"/>
          <w:i w:val="0"/>
          <w:iCs w:val="0"/>
          <w:color w:val="000000" w:themeColor="text1"/>
          <w:kern w:val="2"/>
          <w:sz w:val="24"/>
          <w:szCs w:val="24"/>
          <w:lang w:val="en-US" w:eastAsia="zh-CN" w:bidi="ar-SA"/>
          <w14:textFill>
            <w14:solidFill>
              <w14:schemeClr w14:val="tx1"/>
            </w14:solidFill>
          </w14:textFill>
        </w:rPr>
        <w:t>元。</w:t>
      </w:r>
    </w:p>
    <w:p>
      <w:pPr>
        <w:pageBreakBefore w:val="0"/>
        <w:widowControl w:val="0"/>
        <w:kinsoku/>
        <w:wordWrap/>
        <w:overflowPunct/>
        <w:topLinePunct w:val="0"/>
        <w:autoSpaceDE/>
        <w:autoSpaceDN/>
        <w:bidi w:val="0"/>
        <w:adjustRightInd/>
        <w:snapToGrid/>
        <w:spacing w:line="600" w:lineRule="exact"/>
        <w:ind w:firstLine="470" w:firstLineChars="195"/>
        <w:jc w:val="both"/>
        <w:textAlignment w:val="auto"/>
        <w:rPr>
          <w:rFonts w:hint="eastAsia" w:ascii="仿宋_GB2312" w:hAnsi="仿宋_GB2312" w:eastAsia="仿宋_GB2312" w:cs="仿宋_GB2312"/>
          <w:b/>
          <w:i w:val="0"/>
          <w:iCs w:val="0"/>
          <w:color w:val="000000" w:themeColor="text1"/>
          <w:sz w:val="24"/>
          <w:szCs w:val="24"/>
          <w:lang w:val="en-US"/>
          <w14:textFill>
            <w14:solidFill>
              <w14:schemeClr w14:val="tx1"/>
            </w14:solidFill>
          </w14:textFill>
        </w:rPr>
      </w:pPr>
      <w:r>
        <w:rPr>
          <w:rFonts w:hint="eastAsia" w:ascii="仿宋_GB2312" w:hAnsi="仿宋_GB2312" w:eastAsia="仿宋_GB2312" w:cs="仿宋_GB2312"/>
          <w:b/>
          <w:i w:val="0"/>
          <w:iCs w:val="0"/>
          <w:color w:val="000000" w:themeColor="text1"/>
          <w:sz w:val="24"/>
          <w:szCs w:val="24"/>
          <w14:textFill>
            <w14:solidFill>
              <w14:schemeClr w14:val="tx1"/>
            </w14:solidFill>
          </w14:textFill>
        </w:rPr>
        <w:t>三、项目编号：</w:t>
      </w:r>
      <w:r>
        <w:rPr>
          <w:rFonts w:hint="eastAsia" w:ascii="仿宋_GB2312" w:hAnsi="仿宋_GB2312" w:eastAsia="仿宋_GB2312" w:cs="仿宋_GB2312"/>
          <w:i w:val="0"/>
          <w:iCs w:val="0"/>
          <w:color w:val="000000" w:themeColor="text1"/>
          <w:kern w:val="2"/>
          <w:sz w:val="24"/>
          <w:szCs w:val="24"/>
          <w:lang w:val="en-US" w:eastAsia="zh-CN" w:bidi="ar-SA"/>
          <w14:textFill>
            <w14:solidFill>
              <w14:schemeClr w14:val="tx1"/>
            </w14:solidFill>
          </w14:textFill>
        </w:rPr>
        <w:t>/</w:t>
      </w:r>
    </w:p>
    <w:p>
      <w:pPr>
        <w:pStyle w:val="7"/>
        <w:keepNext w:val="0"/>
        <w:keepLines w:val="0"/>
        <w:pageBreakBefore w:val="0"/>
        <w:widowControl w:val="0"/>
        <w:kinsoku/>
        <w:wordWrap/>
        <w:overflowPunct/>
        <w:topLinePunct w:val="0"/>
        <w:autoSpaceDE/>
        <w:autoSpaceDN/>
        <w:bidi w:val="0"/>
        <w:adjustRightInd/>
        <w:snapToGrid/>
        <w:spacing w:after="0" w:line="600" w:lineRule="exact"/>
        <w:ind w:firstLine="482"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b/>
          <w:i w:val="0"/>
          <w:iCs w:val="0"/>
          <w:color w:val="000000" w:themeColor="text1"/>
          <w:sz w:val="24"/>
          <w:szCs w:val="24"/>
          <w14:textFill>
            <w14:solidFill>
              <w14:schemeClr w14:val="tx1"/>
            </w14:solidFill>
          </w14:textFill>
        </w:rPr>
        <w:t>四、采购内容：</w:t>
      </w:r>
      <w:r>
        <w:rPr>
          <w:rFonts w:hint="eastAsia" w:ascii="仿宋_GB2312" w:hAnsi="仿宋_GB2312" w:eastAsia="仿宋_GB2312" w:cs="仿宋_GB2312"/>
          <w:sz w:val="24"/>
          <w:szCs w:val="24"/>
          <w:lang w:val="en-US" w:eastAsia="zh-CN"/>
        </w:rPr>
        <w:t>对</w:t>
      </w:r>
      <w:r>
        <w:rPr>
          <w:rFonts w:hint="eastAsia" w:ascii="仿宋_GB2312" w:hAnsi="仿宋_GB2312" w:eastAsia="仿宋_GB2312" w:cs="仿宋_GB2312"/>
          <w:sz w:val="24"/>
          <w:szCs w:val="24"/>
          <w:lang w:eastAsia="zh-CN"/>
        </w:rPr>
        <w:t>阿里</w:t>
      </w:r>
      <w:r>
        <w:rPr>
          <w:rFonts w:hint="eastAsia" w:ascii="仿宋_GB2312" w:hAnsi="仿宋_GB2312" w:eastAsia="仿宋_GB2312" w:cs="仿宋_GB2312"/>
          <w:sz w:val="24"/>
          <w:szCs w:val="24"/>
        </w:rPr>
        <w:t>分公司公务</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农险、理赔</w:t>
      </w:r>
      <w:r>
        <w:rPr>
          <w:rFonts w:hint="eastAsia" w:ascii="仿宋_GB2312" w:hAnsi="仿宋_GB2312" w:eastAsia="仿宋_GB2312" w:cs="仿宋_GB2312"/>
          <w:sz w:val="24"/>
          <w:szCs w:val="24"/>
          <w:lang w:val="en-US" w:eastAsia="zh-CN"/>
        </w:rPr>
        <w:t>用车</w:t>
      </w:r>
      <w:r>
        <w:rPr>
          <w:rFonts w:hint="eastAsia" w:ascii="仿宋_GB2312" w:hAnsi="仿宋_GB2312" w:eastAsia="仿宋_GB2312" w:cs="仿宋_GB2312"/>
          <w:sz w:val="24"/>
          <w:szCs w:val="24"/>
        </w:rPr>
        <w:t>共</w:t>
      </w:r>
      <w:r>
        <w:rPr>
          <w:rFonts w:hint="eastAsia" w:ascii="仿宋_GB2312" w:hAnsi="仿宋_GB2312" w:eastAsia="仿宋_GB2312" w:cs="仿宋_GB2312"/>
          <w:sz w:val="24"/>
          <w:szCs w:val="24"/>
          <w:lang w:val="en-US" w:eastAsia="zh-CN"/>
        </w:rPr>
        <w:t>19</w:t>
      </w:r>
      <w:r>
        <w:rPr>
          <w:rFonts w:hint="eastAsia" w:ascii="仿宋_GB2312" w:hAnsi="仿宋_GB2312" w:eastAsia="仿宋_GB2312" w:cs="仿宋_GB2312"/>
          <w:sz w:val="24"/>
          <w:szCs w:val="24"/>
        </w:rPr>
        <w:t>台车</w:t>
      </w:r>
      <w:r>
        <w:rPr>
          <w:rFonts w:hint="eastAsia" w:ascii="仿宋_GB2312" w:hAnsi="仿宋_GB2312" w:eastAsia="仿宋_GB2312" w:cs="仿宋_GB2312"/>
          <w:sz w:val="24"/>
          <w:szCs w:val="24"/>
          <w:lang w:val="en-US" w:eastAsia="zh-CN"/>
        </w:rPr>
        <w:t>进行</w:t>
      </w:r>
      <w:r>
        <w:rPr>
          <w:rFonts w:hint="eastAsia" w:ascii="仿宋_GB2312" w:hAnsi="仿宋_GB2312" w:eastAsia="仿宋_GB2312" w:cs="仿宋_GB2312"/>
          <w:sz w:val="24"/>
          <w:szCs w:val="24"/>
        </w:rPr>
        <w:t>日常保养、故障维修、零部件更换、紧急救援等服务。维修和保养需严格遵循车辆生产厂家的技术标准和规范，确保维修质量。同时，供应商应具备完善的服务体系，能提供便捷的预约、送修和取车服务。</w:t>
      </w:r>
      <w:r>
        <w:rPr>
          <w:rFonts w:hint="eastAsia" w:ascii="仿宋_GB2312" w:hAnsi="仿宋_GB2312" w:eastAsia="仿宋_GB2312" w:cs="仿宋_GB2312"/>
          <w:sz w:val="24"/>
          <w:szCs w:val="24"/>
          <w:lang w:val="en-US" w:eastAsia="zh-CN"/>
        </w:rPr>
        <w:t>本</w:t>
      </w:r>
      <w:r>
        <w:rPr>
          <w:rFonts w:hint="eastAsia" w:ascii="仿宋_GB2312" w:hAnsi="仿宋_GB2312" w:eastAsia="仿宋_GB2312" w:cs="仿宋_GB2312"/>
          <w:sz w:val="24"/>
          <w:szCs w:val="24"/>
        </w:rPr>
        <w:t>次采购</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家维修服务商作为协议合作方</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482" w:firstLineChars="200"/>
        <w:jc w:val="both"/>
        <w:textAlignment w:val="auto"/>
        <w:rPr>
          <w:rFonts w:hint="eastAsia" w:ascii="仿宋_GB2312" w:hAnsi="仿宋_GB2312" w:eastAsia="仿宋_GB2312" w:cs="仿宋_GB2312"/>
          <w:b/>
          <w:color w:val="000000" w:themeColor="text1"/>
          <w:sz w:val="24"/>
          <w:szCs w:val="24"/>
          <w14:textFill>
            <w14:solidFill>
              <w14:schemeClr w14:val="tx1"/>
            </w14:solidFill>
          </w14:textFill>
        </w:rPr>
      </w:pPr>
      <w:r>
        <w:rPr>
          <w:rFonts w:hint="eastAsia" w:ascii="仿宋_GB2312" w:hAnsi="仿宋_GB2312" w:eastAsia="仿宋_GB2312" w:cs="仿宋_GB2312"/>
          <w:b/>
          <w:color w:val="000000" w:themeColor="text1"/>
          <w:sz w:val="24"/>
          <w:szCs w:val="24"/>
          <w14:textFill>
            <w14:solidFill>
              <w14:schemeClr w14:val="tx1"/>
            </w14:solidFill>
          </w14:textFill>
        </w:rPr>
        <w:t>五、供应商参加本次采购活动，应当在提交响应文件前具备下列条件：</w:t>
      </w:r>
    </w:p>
    <w:p>
      <w:pPr>
        <w:pStyle w:val="18"/>
        <w:keepNext w:val="0"/>
        <w:keepLines w:val="0"/>
        <w:pageBreakBefore w:val="0"/>
        <w:widowControl w:val="0"/>
        <w:tabs>
          <w:tab w:val="left" w:pos="977"/>
        </w:tabs>
        <w:kinsoku/>
        <w:wordWrap/>
        <w:overflowPunct/>
        <w:topLinePunct w:val="0"/>
        <w:autoSpaceDE/>
        <w:autoSpaceDN/>
        <w:bidi w:val="0"/>
        <w:adjustRightInd/>
        <w:snapToGrid w:val="0"/>
        <w:spacing w:line="360" w:lineRule="auto"/>
        <w:ind w:left="0" w:leftChars="0" w:right="0" w:firstLine="482" w:firstLineChars="200"/>
        <w:textAlignment w:val="auto"/>
        <w:outlineLvl w:val="9"/>
        <w:rPr>
          <w:rFonts w:hint="eastAsia" w:ascii="仿宋_GB2312" w:hAnsi="仿宋_GB2312" w:eastAsia="仿宋_GB2312" w:cs="仿宋_GB2312"/>
          <w:bCs w:val="0"/>
          <w:sz w:val="24"/>
          <w:szCs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具有独立承担民事责任的能力；</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供应商若为企业法人：提供“统一社会信用代码营业执照”；未换证的提供“营业执照、税务登记证、组织机构代码证或三证合一的营业执照”；</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若为事业法人：提供“统一社会信用代码法人登记证书”；未换证的提交“事业法人登记证书、组织机构代码证”；</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若为其他组织：提供“对应主管部门颁发的准许执业证明文件或营业执照”；</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4</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若为自然人：提供“身份证明材料”。</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sz w:val="24"/>
          <w:szCs w:val="24"/>
        </w:rPr>
        <w:t>以上均提供复印件加盖公司鲜章，供应商</w:t>
      </w:r>
      <w:r>
        <w:rPr>
          <w:rFonts w:hint="eastAsia" w:ascii="仿宋_GB2312" w:hAnsi="仿宋_GB2312" w:eastAsia="仿宋_GB2312" w:cs="仿宋_GB2312"/>
          <w:b/>
          <w:bCs/>
          <w:sz w:val="24"/>
          <w:szCs w:val="24"/>
        </w:rPr>
        <w:t>可根据实际情况据实提供以上资料或提供承诺函。</w:t>
      </w:r>
    </w:p>
    <w:p>
      <w:pPr>
        <w:pStyle w:val="19"/>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仿宋_GB2312" w:hAnsi="仿宋_GB2312" w:eastAsia="仿宋_GB2312" w:cs="仿宋_GB2312"/>
          <w:b/>
          <w:sz w:val="24"/>
          <w:szCs w:val="24"/>
          <w:lang w:val="en-GB"/>
        </w:rPr>
      </w:pPr>
      <w:r>
        <w:rPr>
          <w:rFonts w:hint="eastAsia" w:ascii="仿宋_GB2312" w:hAnsi="仿宋_GB2312" w:eastAsia="仿宋_GB2312" w:cs="仿宋_GB2312"/>
          <w:b/>
          <w:sz w:val="24"/>
          <w:szCs w:val="24"/>
          <w:lang w:val="en-US" w:eastAsia="zh-CN"/>
        </w:rPr>
        <w:t>2.</w:t>
      </w:r>
      <w:r>
        <w:rPr>
          <w:rFonts w:hint="eastAsia" w:ascii="仿宋_GB2312" w:hAnsi="仿宋_GB2312" w:eastAsia="仿宋_GB2312" w:cs="仿宋_GB2312"/>
          <w:b/>
          <w:sz w:val="24"/>
          <w:szCs w:val="24"/>
        </w:rPr>
        <w:t>具有良好的商业信誉和健全的财务会计制度</w:t>
      </w:r>
      <w:r>
        <w:rPr>
          <w:rFonts w:hint="eastAsia" w:ascii="仿宋_GB2312" w:hAnsi="仿宋_GB2312" w:eastAsia="仿宋_GB2312" w:cs="仿宋_GB2312"/>
          <w:b/>
          <w:sz w:val="24"/>
          <w:szCs w:val="24"/>
          <w:lang w:val="en-GB"/>
        </w:rPr>
        <w:t>:</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可提供至磋商当年度前2年度内任意1年度经审计的财务报告（包含审计报告和审计报告中所涉及的财务报表和报表附注）；</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可提供至磋商当年度前2年度内任意1年度供应商内部的财务报表复印件（至少包含资产负债表、利润表、现金流量表）；</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可提供距响应文件递交截止日一年内银行出具的资信证明；</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4</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可提供承诺函；</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供应商注册时间至响应文件递交截止日不足一年的，也可提供在工商备案的公司章程；</w:t>
      </w:r>
    </w:p>
    <w:p>
      <w:pPr>
        <w:pStyle w:val="19"/>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6</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如果供应商为事业单位，根据实际情况提供证明材料。</w:t>
      </w:r>
    </w:p>
    <w:p>
      <w:pPr>
        <w:pStyle w:val="19"/>
        <w:keepNext w:val="0"/>
        <w:keepLines w:val="0"/>
        <w:pageBreakBefore w:val="0"/>
        <w:widowControl w:val="0"/>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sz w:val="24"/>
          <w:szCs w:val="24"/>
        </w:rPr>
        <w:t>以上均提供复印件加盖公司鲜章，供应商</w:t>
      </w:r>
      <w:r>
        <w:rPr>
          <w:rFonts w:hint="eastAsia" w:ascii="仿宋_GB2312" w:hAnsi="仿宋_GB2312" w:eastAsia="仿宋_GB2312" w:cs="仿宋_GB2312"/>
          <w:b/>
          <w:bCs/>
          <w:sz w:val="24"/>
          <w:szCs w:val="24"/>
        </w:rPr>
        <w:t>可根据实际情况据实任选其一提供。</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3.</w:t>
      </w:r>
      <w:r>
        <w:rPr>
          <w:rFonts w:hint="eastAsia" w:ascii="仿宋_GB2312" w:hAnsi="仿宋_GB2312" w:eastAsia="仿宋_GB2312" w:cs="仿宋_GB2312"/>
          <w:b/>
          <w:sz w:val="24"/>
          <w:szCs w:val="24"/>
        </w:rPr>
        <w:t>具有履行合同所必需的专业技术能力证明材料</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提供资质证书（若有）或承诺函，加盖公司鲜章。 </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4.</w:t>
      </w:r>
      <w:r>
        <w:rPr>
          <w:rFonts w:hint="eastAsia" w:ascii="仿宋_GB2312" w:hAnsi="仿宋_GB2312" w:eastAsia="仿宋_GB2312" w:cs="仿宋_GB2312"/>
          <w:b/>
          <w:sz w:val="24"/>
          <w:szCs w:val="24"/>
        </w:rPr>
        <w:t>有依法缴纳税收和社会保障资金的良好记录</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可提供磋商当日前6个月内任意</w:t>
      </w:r>
      <w:r>
        <w:rPr>
          <w:rFonts w:hint="eastAsia" w:ascii="仿宋_GB2312" w:hAnsi="仿宋_GB2312" w:eastAsia="仿宋_GB2312" w:cs="仿宋_GB2312"/>
          <w:sz w:val="24"/>
          <w:szCs w:val="24"/>
          <w:lang w:eastAsia="zh-CN"/>
        </w:rPr>
        <w:t>三个</w:t>
      </w:r>
      <w:r>
        <w:rPr>
          <w:rFonts w:hint="eastAsia" w:ascii="仿宋_GB2312" w:hAnsi="仿宋_GB2312" w:eastAsia="仿宋_GB2312" w:cs="仿宋_GB2312"/>
          <w:sz w:val="24"/>
          <w:szCs w:val="24"/>
        </w:rPr>
        <w:t>月缴纳税收的凭证复印件（缴纳凭证复印件须清晰可辨，并能显示出税种种类，单位代扣代缴的个人所得税不能作为单位纳税的凭证。依法免税的供应商，应提供相应文件证明其依法免税）、磋商当日前6个月内任意</w:t>
      </w:r>
      <w:r>
        <w:rPr>
          <w:rFonts w:hint="eastAsia" w:ascii="仿宋_GB2312" w:hAnsi="仿宋_GB2312" w:eastAsia="仿宋_GB2312" w:cs="仿宋_GB2312"/>
          <w:sz w:val="24"/>
          <w:szCs w:val="24"/>
          <w:lang w:eastAsia="zh-CN"/>
        </w:rPr>
        <w:t>三个</w:t>
      </w:r>
      <w:r>
        <w:rPr>
          <w:rFonts w:hint="eastAsia" w:ascii="仿宋_GB2312" w:hAnsi="仿宋_GB2312" w:eastAsia="仿宋_GB2312" w:cs="仿宋_GB2312"/>
          <w:sz w:val="24"/>
          <w:szCs w:val="24"/>
        </w:rPr>
        <w:t>月依法缴纳社会保障资金的入账票据凭证（按月缴纳）或提供参加本次采购活动上一年度缴纳社会保障资金的入账票据凭证（按年度缴纳）复印件（依法不需要缴纳社会保障资金的或由第三方机构代缴的，应提供相应文件说明）；</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可提供承诺函加盖公司鲜章；</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5.</w:t>
      </w:r>
      <w:r>
        <w:rPr>
          <w:rFonts w:hint="eastAsia" w:ascii="仿宋_GB2312" w:hAnsi="仿宋_GB2312" w:eastAsia="仿宋_GB2312" w:cs="仿宋_GB2312"/>
          <w:b/>
          <w:sz w:val="24"/>
          <w:szCs w:val="24"/>
        </w:rPr>
        <w:t>经营状况良好，且近三年内无重大违法违规记录或失信行为，没有骗取中标和严重违约的行为；</w:t>
      </w:r>
    </w:p>
    <w:p>
      <w:pPr>
        <w:pStyle w:val="7"/>
        <w:keepNext w:val="0"/>
        <w:keepLines w:val="0"/>
        <w:pageBreakBefore w:val="0"/>
        <w:widowControl w:val="0"/>
        <w:kinsoku/>
        <w:wordWrap w:val="0"/>
        <w:overflowPunct/>
        <w:topLinePunct/>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可提供自磋商公告发布之日至响应截止之日期间对以上三项内容的查询截图并加盖公章。信用中国查询网址：https://www.creditchina.gov.cn/xinyongfuwu/?navPage=5；</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提供承诺函加盖公司鲜章。</w:t>
      </w:r>
    </w:p>
    <w:p>
      <w:pPr>
        <w:pStyle w:val="7"/>
        <w:keepNext w:val="0"/>
        <w:keepLines w:val="0"/>
        <w:pageBreakBefore w:val="0"/>
        <w:widowControl w:val="0"/>
        <w:kinsoku/>
        <w:wordWrap/>
        <w:overflowPunct/>
        <w:topLinePunct w:val="0"/>
        <w:autoSpaceDE/>
        <w:autoSpaceDN/>
        <w:bidi w:val="0"/>
        <w:adjustRightInd/>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6.</w:t>
      </w:r>
      <w:r>
        <w:rPr>
          <w:rFonts w:hint="eastAsia" w:ascii="仿宋_GB2312" w:hAnsi="仿宋_GB2312" w:eastAsia="仿宋_GB2312" w:cs="仿宋_GB2312"/>
          <w:b/>
          <w:sz w:val="24"/>
          <w:szCs w:val="24"/>
        </w:rPr>
        <w:t>未被列入公司供应商黑名单或已不在禁入期内；</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提供承诺函加盖公司鲜章。</w:t>
      </w:r>
    </w:p>
    <w:p>
      <w:pPr>
        <w:pStyle w:val="7"/>
        <w:keepNext w:val="0"/>
        <w:keepLines w:val="0"/>
        <w:pageBreakBefore w:val="0"/>
        <w:widowControl w:val="0"/>
        <w:kinsoku/>
        <w:wordWrap/>
        <w:overflowPunct/>
        <w:topLinePunct w:val="0"/>
        <w:autoSpaceDE/>
        <w:autoSpaceDN/>
        <w:bidi w:val="0"/>
        <w:adjustRightInd/>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7.</w:t>
      </w:r>
      <w:r>
        <w:rPr>
          <w:rFonts w:hint="eastAsia" w:ascii="仿宋_GB2312" w:hAnsi="仿宋_GB2312" w:eastAsia="仿宋_GB2312" w:cs="仿宋_GB2312"/>
          <w:b/>
          <w:sz w:val="24"/>
          <w:szCs w:val="24"/>
        </w:rPr>
        <w:t>单位负责人为同一人或存在控股、管理关系的不同单位，不得参加同一采购项目；</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提供承诺函加盖公司鲜章。</w:t>
      </w:r>
    </w:p>
    <w:p>
      <w:pPr>
        <w:pStyle w:val="7"/>
        <w:keepNext w:val="0"/>
        <w:keepLines w:val="0"/>
        <w:pageBreakBefore w:val="0"/>
        <w:widowControl w:val="0"/>
        <w:kinsoku/>
        <w:wordWrap/>
        <w:overflowPunct/>
        <w:topLinePunct w:val="0"/>
        <w:autoSpaceDE/>
        <w:autoSpaceDN/>
        <w:bidi w:val="0"/>
        <w:adjustRightInd/>
        <w:ind w:left="0" w:leftChars="0" w:right="0" w:firstLine="482" w:firstLineChars="200"/>
        <w:textAlignment w:val="auto"/>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8.</w:t>
      </w:r>
      <w:r>
        <w:rPr>
          <w:rFonts w:hint="eastAsia" w:ascii="仿宋_GB2312" w:hAnsi="仿宋_GB2312" w:eastAsia="仿宋_GB2312" w:cs="仿宋_GB2312"/>
          <w:b/>
          <w:sz w:val="24"/>
          <w:szCs w:val="24"/>
        </w:rPr>
        <w:t>本项目不接受联合体</w:t>
      </w:r>
      <w:r>
        <w:rPr>
          <w:rFonts w:hint="eastAsia" w:ascii="仿宋_GB2312" w:hAnsi="仿宋_GB2312" w:eastAsia="仿宋_GB2312" w:cs="仿宋_GB2312"/>
          <w:b/>
          <w:sz w:val="24"/>
          <w:szCs w:val="24"/>
          <w:lang w:val="en-US" w:eastAsia="zh-CN"/>
        </w:rPr>
        <w:t>及不得分包、转包。</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提供承诺函加盖公司鲜章。</w:t>
      </w:r>
    </w:p>
    <w:p>
      <w:pPr>
        <w:pageBreakBefore w:val="0"/>
        <w:widowControl w:val="0"/>
        <w:kinsoku/>
        <w:wordWrap/>
        <w:overflowPunct/>
        <w:topLinePunct w:val="0"/>
        <w:autoSpaceDE/>
        <w:autoSpaceDN/>
        <w:bidi w:val="0"/>
        <w:adjustRightInd/>
        <w:snapToGrid/>
        <w:spacing w:line="600" w:lineRule="exact"/>
        <w:ind w:firstLine="482" w:firstLineChars="200"/>
        <w:jc w:val="both"/>
        <w:textAlignment w:val="auto"/>
        <w:rPr>
          <w:rFonts w:hint="eastAsia" w:ascii="仿宋_GB2312" w:hAnsi="仿宋_GB2312" w:eastAsia="仿宋_GB2312" w:cs="仿宋_GB2312"/>
          <w:i w:val="0"/>
          <w:iCs w:val="0"/>
          <w:color w:val="000000" w:themeColor="text1"/>
          <w:sz w:val="24"/>
          <w:szCs w:val="24"/>
          <w14:textFill>
            <w14:solidFill>
              <w14:schemeClr w14:val="tx1"/>
            </w14:solidFill>
          </w14:textFill>
        </w:rPr>
      </w:pPr>
      <w:r>
        <w:rPr>
          <w:rFonts w:hint="eastAsia" w:ascii="仿宋_GB2312" w:hAnsi="仿宋_GB2312" w:eastAsia="仿宋_GB2312" w:cs="仿宋_GB2312"/>
          <w:b/>
          <w:i w:val="0"/>
          <w:iCs w:val="0"/>
          <w:color w:val="000000" w:themeColor="text1"/>
          <w:sz w:val="24"/>
          <w:szCs w:val="24"/>
          <w14:textFill>
            <w14:solidFill>
              <w14:schemeClr w14:val="tx1"/>
            </w14:solidFill>
          </w14:textFill>
        </w:rPr>
        <w:t>六、</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响应文件递交截止时间：为</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2025</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年</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12</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月</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10</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日</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16</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时（北京时间）;磋商时间为</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2025</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年</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12</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月</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10</w:t>
      </w:r>
      <w:bookmarkStart w:id="49" w:name="_GoBack"/>
      <w:bookmarkEnd w:id="49"/>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日</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17</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时(北京时间)，（</w:t>
      </w:r>
      <w:r>
        <w:rPr>
          <w:rFonts w:hint="eastAsia" w:ascii="仿宋_GB2312" w:hAnsi="仿宋_GB2312" w:eastAsia="仿宋_GB2312" w:cs="仿宋_GB2312"/>
          <w:b/>
          <w:i w:val="0"/>
          <w:iCs w:val="0"/>
          <w:color w:val="000000" w:themeColor="text1"/>
          <w:sz w:val="24"/>
          <w:szCs w:val="24"/>
          <w:lang w:val="en-US" w:eastAsia="zh-CN"/>
          <w14:textFill>
            <w14:solidFill>
              <w14:schemeClr w14:val="tx1"/>
            </w14:solidFill>
          </w14:textFill>
        </w:rPr>
        <w:t>以上时间暂定，具体时间以电话通知为准</w:t>
      </w:r>
      <w:r>
        <w:rPr>
          <w:rFonts w:hint="eastAsia" w:ascii="仿宋_GB2312" w:hAnsi="仿宋_GB2312" w:eastAsia="仿宋_GB2312" w:cs="仿宋_GB2312"/>
          <w:b/>
          <w:i w:val="0"/>
          <w:iCs w:val="0"/>
          <w:color w:val="000000" w:themeColor="text1"/>
          <w:sz w:val="24"/>
          <w:szCs w:val="24"/>
          <w:lang w:eastAsia="zh-CN"/>
          <w14:textFill>
            <w14:solidFill>
              <w14:schemeClr w14:val="tx1"/>
            </w14:solidFill>
          </w14:textFill>
        </w:rPr>
        <w:t>）</w:t>
      </w:r>
      <w:r>
        <w:rPr>
          <w:rFonts w:hint="eastAsia" w:ascii="仿宋_GB2312" w:hAnsi="仿宋_GB2312" w:eastAsia="仿宋_GB2312" w:cs="仿宋_GB2312"/>
          <w:i w:val="0"/>
          <w:iCs w:val="0"/>
          <w:color w:val="000000" w:themeColor="text1"/>
          <w:sz w:val="24"/>
          <w:szCs w:val="24"/>
          <w14:textFill>
            <w14:solidFill>
              <w14:schemeClr w14:val="tx1"/>
            </w14:solidFill>
          </w14:textFill>
        </w:rPr>
        <w:t>响应文件必须在递交截止时间前送达磋商地点。逾期送达或密封和标注不符合磋商文件规定的响应文件</w:t>
      </w:r>
      <w:r>
        <w:rPr>
          <w:rFonts w:hint="eastAsia" w:ascii="仿宋_GB2312" w:hAnsi="仿宋_GB2312" w:eastAsia="仿宋_GB2312" w:cs="仿宋_GB2312"/>
          <w:i w:val="0"/>
          <w:iCs w:val="0"/>
          <w:color w:val="000000" w:themeColor="text1"/>
          <w:sz w:val="24"/>
          <w:szCs w:val="24"/>
          <w:lang w:eastAsia="zh-CN"/>
          <w14:textFill>
            <w14:solidFill>
              <w14:schemeClr w14:val="tx1"/>
            </w14:solidFill>
          </w14:textFill>
        </w:rPr>
        <w:t>、邮寄的响应文件</w:t>
      </w:r>
      <w:r>
        <w:rPr>
          <w:rFonts w:hint="eastAsia" w:ascii="仿宋_GB2312" w:hAnsi="仿宋_GB2312" w:eastAsia="仿宋_GB2312" w:cs="仿宋_GB2312"/>
          <w:i w:val="0"/>
          <w:iCs w:val="0"/>
          <w:color w:val="000000" w:themeColor="text1"/>
          <w:sz w:val="24"/>
          <w:szCs w:val="24"/>
          <w14:textFill>
            <w14:solidFill>
              <w14:schemeClr w14:val="tx1"/>
            </w14:solidFill>
          </w14:textFill>
        </w:rPr>
        <w:t>恕不接受。</w:t>
      </w:r>
    </w:p>
    <w:p>
      <w:pPr>
        <w:pageBreakBefore w:val="0"/>
        <w:widowControl w:val="0"/>
        <w:kinsoku/>
        <w:wordWrap/>
        <w:overflowPunct/>
        <w:topLinePunct w:val="0"/>
        <w:autoSpaceDE/>
        <w:autoSpaceDN/>
        <w:bidi w:val="0"/>
        <w:adjustRightInd/>
        <w:snapToGrid/>
        <w:spacing w:line="600" w:lineRule="exact"/>
        <w:ind w:firstLine="482" w:firstLineChars="200"/>
        <w:jc w:val="both"/>
        <w:textAlignment w:val="auto"/>
        <w:rPr>
          <w:rFonts w:hint="eastAsia" w:ascii="仿宋_GB2312" w:hAnsi="仿宋_GB2312" w:eastAsia="仿宋_GB2312" w:cs="仿宋_GB2312"/>
          <w:b/>
          <w:color w:val="000000" w:themeColor="text1"/>
          <w:sz w:val="24"/>
          <w:szCs w:val="24"/>
          <w:lang w:eastAsia="zh-CN"/>
          <w14:textFill>
            <w14:solidFill>
              <w14:schemeClr w14:val="tx1"/>
            </w14:solidFill>
          </w14:textFill>
        </w:rPr>
      </w:pPr>
      <w:r>
        <w:rPr>
          <w:rFonts w:hint="eastAsia" w:ascii="仿宋_GB2312" w:hAnsi="仿宋_GB2312" w:eastAsia="仿宋_GB2312" w:cs="仿宋_GB2312"/>
          <w:b/>
          <w:color w:val="000000" w:themeColor="text1"/>
          <w:sz w:val="24"/>
          <w:szCs w:val="24"/>
          <w:lang w:eastAsia="zh-CN"/>
          <w14:textFill>
            <w14:solidFill>
              <w14:schemeClr w14:val="tx1"/>
            </w14:solidFill>
          </w14:textFill>
        </w:rPr>
        <w:t>七</w:t>
      </w:r>
      <w:r>
        <w:rPr>
          <w:rFonts w:hint="eastAsia" w:ascii="仿宋_GB2312" w:hAnsi="仿宋_GB2312" w:eastAsia="仿宋_GB2312" w:cs="仿宋_GB2312"/>
          <w:b/>
          <w:color w:val="000000" w:themeColor="text1"/>
          <w:sz w:val="24"/>
          <w:szCs w:val="24"/>
          <w14:textFill>
            <w14:solidFill>
              <w14:schemeClr w14:val="tx1"/>
            </w14:solidFill>
          </w14:textFill>
        </w:rPr>
        <w:t>、磋商地点</w:t>
      </w:r>
      <w:r>
        <w:rPr>
          <w:rFonts w:hint="eastAsia" w:ascii="仿宋_GB2312" w:hAnsi="仿宋_GB2312" w:eastAsia="仿宋_GB2312" w:cs="仿宋_GB2312"/>
          <w:b/>
          <w:color w:val="000000" w:themeColor="text1"/>
          <w:sz w:val="24"/>
          <w:szCs w:val="24"/>
          <w:lang w:eastAsia="zh-CN"/>
          <w14:textFill>
            <w14:solidFill>
              <w14:schemeClr w14:val="tx1"/>
            </w14:solidFill>
          </w14:textFill>
        </w:rPr>
        <w:t>：</w:t>
      </w:r>
    </w:p>
    <w:p>
      <w:pPr>
        <w:autoSpaceDN w:val="0"/>
        <w:spacing w:line="600" w:lineRule="exact"/>
        <w:ind w:firstLine="63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val="0"/>
          <w:color w:val="000000" w:themeColor="text1"/>
          <w:sz w:val="24"/>
          <w:szCs w:val="24"/>
          <w14:textFill>
            <w14:solidFill>
              <w14:schemeClr w14:val="tx1"/>
            </w14:solidFill>
          </w14:textFill>
        </w:rPr>
        <w:t>西藏自治区</w:t>
      </w:r>
      <w:r>
        <w:rPr>
          <w:rFonts w:hint="eastAsia" w:ascii="仿宋_GB2312" w:hAnsi="仿宋_GB2312" w:eastAsia="仿宋_GB2312" w:cs="仿宋_GB2312"/>
          <w:i w:val="0"/>
          <w:iCs w:val="0"/>
          <w:color w:val="000000" w:themeColor="text1"/>
          <w:sz w:val="24"/>
          <w:szCs w:val="24"/>
          <w:lang w:val="en-US" w:eastAsia="zh-CN"/>
          <w14:textFill>
            <w14:solidFill>
              <w14:schemeClr w14:val="tx1"/>
            </w14:solidFill>
          </w14:textFill>
        </w:rPr>
        <w:t>阿里地区狮泉河东路10号人保财险阿里分公司二楼会议室。</w:t>
      </w:r>
    </w:p>
    <w:p>
      <w:pPr>
        <w:pageBreakBefore w:val="0"/>
        <w:widowControl w:val="0"/>
        <w:kinsoku/>
        <w:wordWrap/>
        <w:overflowPunct/>
        <w:topLinePunct w:val="0"/>
        <w:autoSpaceDE/>
        <w:autoSpaceDN/>
        <w:bidi w:val="0"/>
        <w:adjustRightInd/>
        <w:snapToGrid/>
        <w:spacing w:line="600" w:lineRule="exact"/>
        <w:ind w:firstLine="482" w:firstLineChars="200"/>
        <w:jc w:val="both"/>
        <w:textAlignment w:val="auto"/>
        <w:rPr>
          <w:rFonts w:hint="eastAsia" w:ascii="仿宋_GB2312" w:hAnsi="仿宋_GB2312" w:eastAsia="仿宋_GB2312" w:cs="仿宋_GB2312"/>
          <w:b/>
          <w:color w:val="000000" w:themeColor="text1"/>
          <w:sz w:val="24"/>
          <w:szCs w:val="24"/>
          <w:lang w:eastAsia="zh-CN"/>
          <w14:textFill>
            <w14:solidFill>
              <w14:schemeClr w14:val="tx1"/>
            </w14:solidFill>
          </w14:textFill>
        </w:rPr>
      </w:pPr>
      <w:r>
        <w:rPr>
          <w:rFonts w:hint="eastAsia" w:ascii="仿宋_GB2312" w:hAnsi="仿宋_GB2312" w:eastAsia="仿宋_GB2312" w:cs="仿宋_GB2312"/>
          <w:b/>
          <w:color w:val="000000" w:themeColor="text1"/>
          <w:sz w:val="24"/>
          <w:szCs w:val="24"/>
          <w:lang w:val="en-US" w:eastAsia="zh-CN"/>
          <w14:textFill>
            <w14:solidFill>
              <w14:schemeClr w14:val="tx1"/>
            </w14:solidFill>
          </w14:textFill>
        </w:rPr>
        <w:t>八</w:t>
      </w:r>
      <w:r>
        <w:rPr>
          <w:rFonts w:hint="eastAsia" w:ascii="仿宋_GB2312" w:hAnsi="仿宋_GB2312" w:eastAsia="仿宋_GB2312" w:cs="仿宋_GB2312"/>
          <w:b/>
          <w:color w:val="000000" w:themeColor="text1"/>
          <w:sz w:val="24"/>
          <w:szCs w:val="24"/>
          <w14:textFill>
            <w14:solidFill>
              <w14:schemeClr w14:val="tx1"/>
            </w14:solidFill>
          </w14:textFill>
        </w:rPr>
        <w:t>、联系人及联系电话</w:t>
      </w:r>
      <w:r>
        <w:rPr>
          <w:rFonts w:hint="eastAsia" w:ascii="仿宋_GB2312" w:hAnsi="仿宋_GB2312" w:eastAsia="仿宋_GB2312" w:cs="仿宋_GB2312"/>
          <w:b/>
          <w:color w:val="000000" w:themeColor="text1"/>
          <w:sz w:val="24"/>
          <w:szCs w:val="24"/>
          <w:lang w:eastAsia="zh-CN"/>
          <w14:textFill>
            <w14:solidFill>
              <w14:schemeClr w14:val="tx1"/>
            </w14:solidFill>
          </w14:textFill>
        </w:rPr>
        <w:t>：</w:t>
      </w:r>
    </w:p>
    <w:p>
      <w:pPr>
        <w:pageBreakBefore w:val="0"/>
        <w:widowControl w:val="0"/>
        <w:kinsoku/>
        <w:wordWrap/>
        <w:overflowPunct/>
        <w:topLinePunct w:val="0"/>
        <w:autoSpaceDE/>
        <w:autoSpaceDN/>
        <w:bidi w:val="0"/>
        <w:adjustRightInd/>
        <w:snapToGrid/>
        <w:spacing w:line="600" w:lineRule="exact"/>
        <w:ind w:firstLine="424" w:firstLineChars="177"/>
        <w:jc w:val="both"/>
        <w:textAlignment w:val="auto"/>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采购人：中国人民财产保险股份有限公司</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阿里</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分公司</w:t>
      </w:r>
    </w:p>
    <w:p>
      <w:pPr>
        <w:pageBreakBefore w:val="0"/>
        <w:widowControl w:val="0"/>
        <w:kinsoku/>
        <w:wordWrap/>
        <w:overflowPunct/>
        <w:topLinePunct w:val="0"/>
        <w:autoSpaceDE/>
        <w:autoSpaceDN/>
        <w:bidi w:val="0"/>
        <w:adjustRightInd/>
        <w:snapToGrid/>
        <w:spacing w:line="600" w:lineRule="exact"/>
        <w:ind w:firstLine="424" w:firstLineChars="177"/>
        <w:jc w:val="both"/>
        <w:textAlignment w:val="auto"/>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地址：</w:t>
      </w:r>
      <w:r>
        <w:rPr>
          <w:rFonts w:hint="eastAsia" w:ascii="仿宋_GB2312" w:hAnsi="仿宋_GB2312" w:eastAsia="仿宋_GB2312" w:cs="仿宋_GB2312"/>
          <w:i w:val="0"/>
          <w:iCs w:val="0"/>
          <w:color w:val="000000" w:themeColor="text1"/>
          <w:sz w:val="24"/>
          <w:szCs w:val="24"/>
          <w14:textFill>
            <w14:solidFill>
              <w14:schemeClr w14:val="tx1"/>
            </w14:solidFill>
          </w14:textFill>
        </w:rPr>
        <w:t>西藏自治区</w:t>
      </w:r>
      <w:r>
        <w:rPr>
          <w:rFonts w:hint="eastAsia" w:ascii="仿宋_GB2312" w:hAnsi="仿宋_GB2312" w:eastAsia="仿宋_GB2312" w:cs="仿宋_GB2312"/>
          <w:i w:val="0"/>
          <w:iCs w:val="0"/>
          <w:color w:val="000000" w:themeColor="text1"/>
          <w:sz w:val="24"/>
          <w:szCs w:val="24"/>
          <w:lang w:val="en-US" w:eastAsia="zh-CN"/>
          <w14:textFill>
            <w14:solidFill>
              <w14:schemeClr w14:val="tx1"/>
            </w14:solidFill>
          </w14:textFill>
        </w:rPr>
        <w:t>阿里地区狮泉河东路10号</w:t>
      </w:r>
      <w:r>
        <w:rPr>
          <w:rFonts w:hint="eastAsia" w:ascii="仿宋_GB2312" w:hAnsi="仿宋_GB2312" w:eastAsia="仿宋_GB2312" w:cs="仿宋_GB2312"/>
          <w:i w:val="0"/>
          <w:iCs/>
          <w:color w:val="000000" w:themeColor="text1"/>
          <w:sz w:val="24"/>
          <w:szCs w:val="24"/>
          <w14:textFill>
            <w14:solidFill>
              <w14:schemeClr w14:val="tx1"/>
            </w14:solidFill>
          </w14:textFill>
        </w:rPr>
        <w:t xml:space="preserve"> </w:t>
      </w:r>
    </w:p>
    <w:p>
      <w:pPr>
        <w:pageBreakBefore w:val="0"/>
        <w:widowControl w:val="0"/>
        <w:kinsoku/>
        <w:wordWrap/>
        <w:overflowPunct/>
        <w:topLinePunct w:val="0"/>
        <w:autoSpaceDE/>
        <w:autoSpaceDN/>
        <w:bidi w:val="0"/>
        <w:adjustRightInd/>
        <w:snapToGrid/>
        <w:spacing w:line="600" w:lineRule="exact"/>
        <w:ind w:firstLine="424" w:firstLineChars="177"/>
        <w:jc w:val="both"/>
        <w:textAlignment w:val="auto"/>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联系人：</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谭冶炼</w:t>
      </w:r>
    </w:p>
    <w:p>
      <w:pPr>
        <w:pageBreakBefore w:val="0"/>
        <w:widowControl w:val="0"/>
        <w:kinsoku/>
        <w:wordWrap/>
        <w:overflowPunct/>
        <w:topLinePunct w:val="0"/>
        <w:autoSpaceDE/>
        <w:autoSpaceDN/>
        <w:bidi w:val="0"/>
        <w:adjustRightInd/>
        <w:snapToGrid/>
        <w:spacing w:line="600" w:lineRule="exact"/>
        <w:ind w:firstLine="424" w:firstLineChars="177"/>
        <w:jc w:val="both"/>
        <w:textAlignment w:val="auto"/>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电话：</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18989978975</w:t>
      </w:r>
    </w:p>
    <w:p>
      <w:pPr>
        <w:pageBreakBefore w:val="0"/>
        <w:widowControl w:val="0"/>
        <w:kinsoku/>
        <w:wordWrap/>
        <w:overflowPunct/>
        <w:topLinePunct w:val="0"/>
        <w:autoSpaceDE/>
        <w:autoSpaceDN/>
        <w:bidi w:val="0"/>
        <w:adjustRightInd/>
        <w:snapToGrid/>
        <w:spacing w:line="600" w:lineRule="exact"/>
        <w:ind w:firstLine="424" w:firstLineChars="177"/>
        <w:jc w:val="both"/>
        <w:textAlignment w:val="auto"/>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邮箱地址：</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tanyelian@xiz.picc.com.cn</w:t>
      </w:r>
    </w:p>
    <w:p>
      <w:pPr>
        <w:pageBreakBefore w:val="0"/>
        <w:widowControl w:val="0"/>
        <w:kinsoku/>
        <w:wordWrap/>
        <w:overflowPunct/>
        <w:topLinePunct w:val="0"/>
        <w:autoSpaceDE/>
        <w:autoSpaceDN/>
        <w:bidi w:val="0"/>
        <w:adjustRightInd/>
        <w:snapToGrid/>
        <w:spacing w:line="600" w:lineRule="exact"/>
        <w:ind w:firstLine="424" w:firstLineChars="177"/>
        <w:jc w:val="both"/>
        <w:textAlignment w:val="auto"/>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pStyle w:val="2"/>
        <w:tabs>
          <w:tab w:val="left" w:pos="425"/>
          <w:tab w:val="left" w:pos="4265"/>
        </w:tabs>
        <w:ind w:left="0" w:firstLine="0"/>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br w:type="page"/>
      </w:r>
      <w:bookmarkStart w:id="2" w:name="_Toc18972"/>
      <w:bookmarkStart w:id="3" w:name="_Toc16027"/>
      <w:r>
        <w:rPr>
          <w:rFonts w:hint="eastAsia" w:ascii="仿宋_GB2312" w:hAnsi="仿宋_GB2312" w:eastAsia="仿宋_GB2312" w:cs="仿宋_GB2312"/>
          <w:color w:val="auto"/>
          <w:sz w:val="24"/>
          <w:szCs w:val="24"/>
        </w:rPr>
        <w:t>第二章 供应商须知</w:t>
      </w:r>
      <w:bookmarkEnd w:id="2"/>
      <w:bookmarkEnd w:id="3"/>
    </w:p>
    <w:p>
      <w:pPr>
        <w:pStyle w:val="3"/>
        <w:tabs>
          <w:tab w:val="left" w:pos="720"/>
        </w:tabs>
        <w:adjustRightInd w:val="0"/>
        <w:snapToGrid w:val="0"/>
        <w:spacing w:before="0" w:after="0"/>
        <w:rPr>
          <w:rFonts w:hint="eastAsia" w:ascii="仿宋_GB2312" w:hAnsi="仿宋_GB2312" w:eastAsia="仿宋_GB2312" w:cs="仿宋_GB2312"/>
          <w:sz w:val="24"/>
          <w:szCs w:val="24"/>
        </w:rPr>
      </w:pPr>
      <w:bookmarkStart w:id="4" w:name="_Toc32251"/>
      <w:r>
        <w:rPr>
          <w:rFonts w:hint="eastAsia" w:ascii="仿宋_GB2312" w:hAnsi="仿宋_GB2312" w:eastAsia="仿宋_GB2312" w:cs="仿宋_GB2312"/>
          <w:sz w:val="24"/>
          <w:szCs w:val="24"/>
        </w:rPr>
        <w:t>附件2.1 须知前附表</w:t>
      </w:r>
      <w:bookmarkEnd w:id="4"/>
    </w:p>
    <w:tbl>
      <w:tblPr>
        <w:tblStyle w:val="14"/>
        <w:tblW w:w="987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5"/>
        <w:gridCol w:w="1841"/>
        <w:gridCol w:w="719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exact"/>
          <w:jc w:val="center"/>
        </w:trPr>
        <w:tc>
          <w:tcPr>
            <w:tcW w:w="835"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841"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  目</w:t>
            </w:r>
          </w:p>
        </w:tc>
        <w:tc>
          <w:tcPr>
            <w:tcW w:w="7199" w:type="dxa"/>
            <w:vAlign w:val="center"/>
          </w:tcPr>
          <w:p>
            <w:pPr>
              <w:spacing w:line="40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编列内容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exact"/>
          <w:jc w:val="center"/>
        </w:trPr>
        <w:tc>
          <w:tcPr>
            <w:tcW w:w="835" w:type="dxa"/>
            <w:vAlign w:val="center"/>
          </w:tcPr>
          <w:p>
            <w:pPr>
              <w:pStyle w:val="20"/>
              <w:snapToGrid w:val="0"/>
              <w:spacing w:line="300" w:lineRule="auto"/>
              <w:ind w:left="111" w:right="113"/>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w:t>
            </w:r>
          </w:p>
        </w:tc>
        <w:tc>
          <w:tcPr>
            <w:tcW w:w="1841" w:type="dxa"/>
            <w:vAlign w:val="center"/>
          </w:tcPr>
          <w:p>
            <w:pPr>
              <w:pStyle w:val="20"/>
              <w:snapToGrid w:val="0"/>
              <w:spacing w:line="300" w:lineRule="auto"/>
              <w:ind w:left="114" w:right="11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报价有效期</w:t>
            </w:r>
          </w:p>
        </w:tc>
        <w:tc>
          <w:tcPr>
            <w:tcW w:w="7199" w:type="dxa"/>
            <w:vAlign w:val="center"/>
          </w:tcPr>
          <w:p>
            <w:pPr>
              <w:pStyle w:val="20"/>
              <w:snapToGrid w:val="0"/>
              <w:spacing w:line="300" w:lineRule="auto"/>
              <w:ind w:left="103" w:right="-18"/>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zh-CN" w:eastAsia="zh-CN"/>
              </w:rPr>
              <w:t>竞争性磋商采用三轮及以上磋商，最终报价应于磋商之时提供。</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9" w:hRule="exact"/>
          <w:jc w:val="center"/>
        </w:trPr>
        <w:tc>
          <w:tcPr>
            <w:tcW w:w="835" w:type="dxa"/>
            <w:vAlign w:val="center"/>
          </w:tcPr>
          <w:p>
            <w:pPr>
              <w:pStyle w:val="20"/>
              <w:snapToGrid w:val="0"/>
              <w:spacing w:line="300" w:lineRule="auto"/>
              <w:ind w:left="111" w:right="113"/>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w:t>
            </w:r>
          </w:p>
        </w:tc>
        <w:tc>
          <w:tcPr>
            <w:tcW w:w="1841" w:type="dxa"/>
            <w:vAlign w:val="center"/>
          </w:tcPr>
          <w:p>
            <w:pPr>
              <w:pStyle w:val="20"/>
              <w:snapToGrid w:val="0"/>
              <w:spacing w:line="300" w:lineRule="auto"/>
              <w:ind w:left="114" w:right="11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响应文件份数</w:t>
            </w:r>
          </w:p>
        </w:tc>
        <w:tc>
          <w:tcPr>
            <w:tcW w:w="7199" w:type="dxa"/>
            <w:vAlign w:val="center"/>
          </w:tcPr>
          <w:p>
            <w:pPr>
              <w:pStyle w:val="20"/>
              <w:snapToGrid w:val="0"/>
              <w:spacing w:line="300" w:lineRule="auto"/>
              <w:ind w:left="103" w:right="-18"/>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zh-CN" w:eastAsia="zh-CN"/>
              </w:rPr>
              <w:t>只接受响应人纸质加盖公章的响应文件,</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zh-CN" w:eastAsia="zh-CN"/>
              </w:rPr>
              <w:t>份正本(盖鲜章)、</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zh-CN" w:eastAsia="zh-CN"/>
              </w:rPr>
              <w:t>份副本(可以为正本复印件、材料应清晰)、正本与副本内容应一致，若正本和副本有不一致的内容，以正本书面响应文件为准。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8" w:hRule="exact"/>
          <w:jc w:val="center"/>
        </w:trPr>
        <w:tc>
          <w:tcPr>
            <w:tcW w:w="835" w:type="dxa"/>
            <w:vAlign w:val="center"/>
          </w:tcPr>
          <w:p>
            <w:pPr>
              <w:pStyle w:val="20"/>
              <w:snapToGrid w:val="0"/>
              <w:spacing w:line="300" w:lineRule="auto"/>
              <w:ind w:left="111" w:right="113"/>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3</w:t>
            </w:r>
          </w:p>
        </w:tc>
        <w:tc>
          <w:tcPr>
            <w:tcW w:w="1841" w:type="dxa"/>
            <w:vAlign w:val="center"/>
          </w:tcPr>
          <w:p>
            <w:pPr>
              <w:pStyle w:val="20"/>
              <w:snapToGrid w:val="0"/>
              <w:spacing w:line="300" w:lineRule="auto"/>
              <w:ind w:left="114" w:right="11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签字盖章</w:t>
            </w:r>
          </w:p>
        </w:tc>
        <w:tc>
          <w:tcPr>
            <w:tcW w:w="7199" w:type="dxa"/>
            <w:vAlign w:val="center"/>
          </w:tcPr>
          <w:p>
            <w:pPr>
              <w:pStyle w:val="20"/>
              <w:snapToGrid w:val="0"/>
              <w:spacing w:line="300" w:lineRule="auto"/>
              <w:ind w:left="103" w:right="-18"/>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zh-CN" w:eastAsia="zh-CN"/>
              </w:rPr>
              <w:t>供应商必须按照磋商文件的规定和要求签字、盖章。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6" w:hRule="exact"/>
          <w:jc w:val="center"/>
        </w:trPr>
        <w:tc>
          <w:tcPr>
            <w:tcW w:w="835" w:type="dxa"/>
            <w:vAlign w:val="center"/>
          </w:tcPr>
          <w:p>
            <w:pPr>
              <w:pStyle w:val="20"/>
              <w:snapToGrid w:val="0"/>
              <w:spacing w:line="300" w:lineRule="auto"/>
              <w:ind w:left="111" w:right="113"/>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4</w:t>
            </w:r>
          </w:p>
        </w:tc>
        <w:tc>
          <w:tcPr>
            <w:tcW w:w="1841" w:type="dxa"/>
            <w:vAlign w:val="center"/>
          </w:tcPr>
          <w:p>
            <w:pPr>
              <w:pStyle w:val="20"/>
              <w:snapToGrid w:val="0"/>
              <w:spacing w:line="300" w:lineRule="auto"/>
              <w:ind w:left="114" w:right="114"/>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响应文件的装订</w:t>
            </w:r>
          </w:p>
        </w:tc>
        <w:tc>
          <w:tcPr>
            <w:tcW w:w="7199" w:type="dxa"/>
            <w:vAlign w:val="center"/>
          </w:tcPr>
          <w:p>
            <w:pPr>
              <w:pStyle w:val="20"/>
              <w:snapToGrid w:val="0"/>
              <w:spacing w:line="300" w:lineRule="auto"/>
              <w:ind w:left="103" w:right="2739"/>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zh-CN" w:eastAsia="zh-CN"/>
              </w:rPr>
              <w:t>份正本和</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val="zh-CN" w:eastAsia="zh-CN"/>
              </w:rPr>
              <w:t>份副本分别装订。</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77" w:hRule="exact"/>
          <w:jc w:val="center"/>
        </w:trPr>
        <w:tc>
          <w:tcPr>
            <w:tcW w:w="835" w:type="dxa"/>
            <w:vAlign w:val="center"/>
          </w:tcPr>
          <w:p>
            <w:pPr>
              <w:pStyle w:val="20"/>
              <w:snapToGrid w:val="0"/>
              <w:spacing w:line="300" w:lineRule="auto"/>
              <w:ind w:left="111" w:right="113"/>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5</w:t>
            </w:r>
          </w:p>
        </w:tc>
        <w:tc>
          <w:tcPr>
            <w:tcW w:w="1841" w:type="dxa"/>
            <w:vAlign w:val="center"/>
          </w:tcPr>
          <w:p>
            <w:pPr>
              <w:pStyle w:val="20"/>
              <w:snapToGrid w:val="0"/>
              <w:spacing w:line="300" w:lineRule="auto"/>
              <w:ind w:left="199" w:right="164" w:hanging="22"/>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响应文件封面</w:t>
            </w:r>
            <w:r>
              <w:rPr>
                <w:rFonts w:hint="eastAsia" w:ascii="仿宋_GB2312" w:hAnsi="仿宋_GB2312" w:eastAsia="仿宋_GB2312" w:cs="仿宋_GB2312"/>
                <w:sz w:val="24"/>
                <w:szCs w:val="24"/>
                <w:lang w:eastAsia="zh-CN"/>
              </w:rPr>
              <w:t>的</w:t>
            </w:r>
            <w:r>
              <w:rPr>
                <w:rFonts w:hint="eastAsia" w:ascii="仿宋_GB2312" w:hAnsi="仿宋_GB2312" w:eastAsia="仿宋_GB2312" w:cs="仿宋_GB2312"/>
                <w:sz w:val="24"/>
                <w:szCs w:val="24"/>
              </w:rPr>
              <w:t>标注</w:t>
            </w:r>
          </w:p>
        </w:tc>
        <w:tc>
          <w:tcPr>
            <w:tcW w:w="7199" w:type="dxa"/>
            <w:vAlign w:val="center"/>
          </w:tcPr>
          <w:p>
            <w:pPr>
              <w:pStyle w:val="20"/>
              <w:snapToGrid w:val="0"/>
              <w:spacing w:line="300" w:lineRule="auto"/>
              <w:ind w:left="103" w:right="-18"/>
              <w:jc w:val="both"/>
              <w:rPr>
                <w:rFonts w:hint="eastAsia" w:ascii="仿宋_GB2312" w:hAnsi="仿宋_GB2312" w:eastAsia="仿宋_GB2312" w:cs="仿宋_GB2312"/>
                <w:sz w:val="24"/>
                <w:szCs w:val="24"/>
                <w:lang w:val="zh-CN" w:eastAsia="zh-CN"/>
              </w:rPr>
            </w:pPr>
            <w:r>
              <w:rPr>
                <w:rFonts w:hint="eastAsia" w:ascii="仿宋_GB2312" w:hAnsi="仿宋_GB2312" w:eastAsia="仿宋_GB2312" w:cs="仿宋_GB2312"/>
                <w:sz w:val="24"/>
                <w:szCs w:val="24"/>
                <w:lang w:val="zh-CN" w:eastAsia="zh-CN"/>
              </w:rPr>
              <w:t>响应文件正本和副本的封面上均应标明：采购项目名称、采购编号、供应商名称、年月日；并分别在右上角标明“正本”和“副本”字样。</w:t>
            </w:r>
          </w:p>
          <w:p>
            <w:pPr>
              <w:pStyle w:val="20"/>
              <w:snapToGrid w:val="0"/>
              <w:spacing w:line="300" w:lineRule="auto"/>
              <w:ind w:left="103" w:right="-18"/>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zh-CN" w:eastAsia="zh-CN"/>
              </w:rPr>
              <w:t>响应文件需加盖骑缝章。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exact"/>
          <w:jc w:val="center"/>
        </w:trPr>
        <w:tc>
          <w:tcPr>
            <w:tcW w:w="835" w:type="dxa"/>
            <w:vAlign w:val="center"/>
          </w:tcPr>
          <w:p>
            <w:pPr>
              <w:pStyle w:val="20"/>
              <w:snapToGrid w:val="0"/>
              <w:spacing w:line="300" w:lineRule="auto"/>
              <w:ind w:left="111" w:right="113"/>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w:t>
            </w:r>
          </w:p>
        </w:tc>
        <w:tc>
          <w:tcPr>
            <w:tcW w:w="1841" w:type="dxa"/>
            <w:vAlign w:val="center"/>
          </w:tcPr>
          <w:p>
            <w:pPr>
              <w:pStyle w:val="20"/>
              <w:snapToGrid w:val="0"/>
              <w:spacing w:line="300" w:lineRule="auto"/>
              <w:ind w:left="114" w:right="114"/>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响应文件外层密封袋的标注</w:t>
            </w:r>
          </w:p>
        </w:tc>
        <w:tc>
          <w:tcPr>
            <w:tcW w:w="7199" w:type="dxa"/>
            <w:vAlign w:val="center"/>
          </w:tcPr>
          <w:p>
            <w:pPr>
              <w:pStyle w:val="20"/>
              <w:snapToGrid w:val="0"/>
              <w:spacing w:line="300" w:lineRule="auto"/>
              <w:ind w:left="103" w:right="-18"/>
              <w:jc w:val="both"/>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val="zh-CN" w:eastAsia="zh-CN"/>
              </w:rPr>
              <w:t>采购项目名称、采购编号、供应商名称、年月日。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835" w:type="dxa"/>
            <w:vAlign w:val="center"/>
          </w:tcPr>
          <w:p>
            <w:pPr>
              <w:pStyle w:val="20"/>
              <w:snapToGrid w:val="0"/>
              <w:spacing w:line="300" w:lineRule="auto"/>
              <w:ind w:left="111" w:right="113"/>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7</w:t>
            </w:r>
          </w:p>
        </w:tc>
        <w:tc>
          <w:tcPr>
            <w:tcW w:w="1841" w:type="dxa"/>
            <w:vAlign w:val="center"/>
          </w:tcPr>
          <w:p>
            <w:pPr>
              <w:spacing w:line="400" w:lineRule="exact"/>
              <w:ind w:left="67" w:leftChars="32" w:right="115" w:rightChars="55" w:firstLine="67" w:firstLineChars="28"/>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成交供应商的确定</w:t>
            </w:r>
          </w:p>
        </w:tc>
        <w:tc>
          <w:tcPr>
            <w:tcW w:w="7199" w:type="dxa"/>
            <w:vAlign w:val="center"/>
          </w:tcPr>
          <w:p>
            <w:pPr>
              <w:autoSpaceDE w:val="0"/>
              <w:autoSpaceDN w:val="0"/>
              <w:adjustRightInd w:val="0"/>
              <w:spacing w:line="400" w:lineRule="exact"/>
              <w:ind w:left="128" w:leftChars="61" w:firstLine="2"/>
              <w:rPr>
                <w:rFonts w:hint="eastAsia" w:ascii="仿宋_GB2312" w:hAnsi="仿宋_GB2312" w:eastAsia="仿宋_GB2312" w:cs="仿宋_GB2312"/>
                <w:sz w:val="24"/>
                <w:szCs w:val="24"/>
                <w:lang w:val="zh-CN"/>
              </w:rPr>
            </w:pPr>
            <w:r>
              <w:rPr>
                <w:rFonts w:hint="eastAsia" w:ascii="仿宋_GB2312" w:hAnsi="仿宋_GB2312" w:eastAsia="仿宋_GB2312" w:cs="仿宋_GB2312"/>
                <w:sz w:val="24"/>
                <w:szCs w:val="24"/>
                <w:lang w:val="zh-CN" w:eastAsia="zh-CN" w:bidi="ar-SA"/>
              </w:rPr>
              <w:t>本次采购项目采用综合评分法，确定实质上响应磋商文件要求且评标得分最高的供应商为中标供应商。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13" w:hRule="exact"/>
          <w:jc w:val="center"/>
        </w:trPr>
        <w:tc>
          <w:tcPr>
            <w:tcW w:w="835" w:type="dxa"/>
            <w:vAlign w:val="center"/>
          </w:tcPr>
          <w:p>
            <w:pPr>
              <w:pStyle w:val="20"/>
              <w:snapToGrid w:val="0"/>
              <w:spacing w:line="300" w:lineRule="auto"/>
              <w:ind w:left="111" w:right="113"/>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8</w:t>
            </w:r>
          </w:p>
        </w:tc>
        <w:tc>
          <w:tcPr>
            <w:tcW w:w="1841" w:type="dxa"/>
            <w:vAlign w:val="center"/>
          </w:tcPr>
          <w:p>
            <w:pPr>
              <w:spacing w:line="400" w:lineRule="exact"/>
              <w:ind w:left="67" w:leftChars="32" w:right="115" w:rightChars="55" w:firstLine="67" w:firstLineChars="28"/>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合同签署</w:t>
            </w:r>
          </w:p>
        </w:tc>
        <w:tc>
          <w:tcPr>
            <w:tcW w:w="7199" w:type="dxa"/>
            <w:vAlign w:val="center"/>
          </w:tcPr>
          <w:p>
            <w:pPr>
              <w:autoSpaceDE w:val="0"/>
              <w:autoSpaceDN w:val="0"/>
              <w:adjustRightInd w:val="0"/>
              <w:spacing w:line="400" w:lineRule="exact"/>
              <w:ind w:left="128" w:leftChars="61" w:firstLine="2"/>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zh-CN" w:eastAsia="zh-CN" w:bidi="ar-SA"/>
              </w:rPr>
              <w:t>采购发起</w:t>
            </w:r>
            <w:r>
              <w:rPr>
                <w:rFonts w:hint="eastAsia" w:ascii="仿宋_GB2312" w:hAnsi="仿宋_GB2312" w:eastAsia="仿宋_GB2312" w:cs="仿宋_GB2312"/>
                <w:sz w:val="24"/>
                <w:szCs w:val="24"/>
                <w:lang w:val="en-US" w:eastAsia="zh-CN" w:bidi="ar-SA"/>
              </w:rPr>
              <w:t>中国人民财产保险股份有限公司阿里分公司签署</w:t>
            </w:r>
          </w:p>
        </w:tc>
      </w:tr>
    </w:tbl>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3"/>
        <w:pageBreakBefore w:val="0"/>
        <w:widowControl w:val="0"/>
        <w:tabs>
          <w:tab w:val="left" w:pos="720"/>
        </w:tabs>
        <w:kinsoku/>
        <w:wordWrap/>
        <w:overflowPunct/>
        <w:topLinePunct w:val="0"/>
        <w:autoSpaceDE/>
        <w:autoSpaceDN/>
        <w:bidi w:val="0"/>
        <w:adjustRightInd w:val="0"/>
        <w:snapToGrid w:val="0"/>
        <w:spacing w:before="0" w:after="0" w:line="400" w:lineRule="exact"/>
        <w:ind w:left="0" w:right="0"/>
        <w:textAlignment w:val="auto"/>
        <w:rPr>
          <w:rFonts w:hint="eastAsia" w:ascii="仿宋_GB2312" w:hAnsi="仿宋_GB2312" w:eastAsia="仿宋_GB2312" w:cs="仿宋_GB2312"/>
          <w:sz w:val="24"/>
          <w:szCs w:val="24"/>
        </w:rPr>
      </w:pPr>
      <w:bookmarkStart w:id="5" w:name="_Toc14365"/>
      <w:r>
        <w:rPr>
          <w:rFonts w:hint="eastAsia" w:ascii="仿宋_GB2312" w:hAnsi="仿宋_GB2312" w:eastAsia="仿宋_GB2312" w:cs="仿宋_GB2312"/>
          <w:sz w:val="24"/>
          <w:szCs w:val="24"/>
        </w:rPr>
        <w:t>附件2.2 总则</w:t>
      </w:r>
      <w:bookmarkEnd w:id="5"/>
    </w:p>
    <w:p>
      <w:pPr>
        <w:pageBreakBefore w:val="0"/>
        <w:widowControl w:val="0"/>
        <w:kinsoku/>
        <w:wordWrap/>
        <w:overflowPunct/>
        <w:topLinePunct w:val="0"/>
        <w:autoSpaceDE/>
        <w:autoSpaceDN/>
        <w:bidi w:val="0"/>
        <w:snapToGrid w:val="0"/>
        <w:spacing w:line="400" w:lineRule="exact"/>
        <w:ind w:left="0" w:right="0" w:firstLine="424" w:firstLineChars="176"/>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1、定义</w:t>
      </w:r>
    </w:p>
    <w:p>
      <w:pPr>
        <w:pageBreakBefore w:val="0"/>
        <w:widowControl w:val="0"/>
        <w:tabs>
          <w:tab w:val="left" w:pos="7665"/>
        </w:tabs>
        <w:kinsoku/>
        <w:wordWrap/>
        <w:overflowPunct/>
        <w:topLinePunct w:val="0"/>
        <w:autoSpaceDE/>
        <w:autoSpaceDN/>
        <w:bidi w:val="0"/>
        <w:snapToGrid w:val="0"/>
        <w:spacing w:line="400" w:lineRule="exact"/>
        <w:ind w:left="0" w:right="0" w:firstLine="422" w:firstLineChars="176"/>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“供应商”系指响应竞争性磋商文件要求，并提交响应文件的法人、其他组织或者自然人。</w:t>
      </w:r>
    </w:p>
    <w:p>
      <w:pPr>
        <w:pageBreakBefore w:val="0"/>
        <w:widowControl w:val="0"/>
        <w:kinsoku/>
        <w:wordWrap/>
        <w:overflowPunct/>
        <w:topLinePunct w:val="0"/>
        <w:autoSpaceDE/>
        <w:autoSpaceDN/>
        <w:bidi w:val="0"/>
        <w:snapToGrid w:val="0"/>
        <w:spacing w:line="400" w:lineRule="exact"/>
        <w:ind w:left="0" w:right="0" w:firstLine="424" w:firstLineChars="176"/>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2、费用承担</w:t>
      </w:r>
    </w:p>
    <w:p>
      <w:pPr>
        <w:pageBreakBefore w:val="0"/>
        <w:widowControl w:val="0"/>
        <w:kinsoku/>
        <w:wordWrap/>
        <w:overflowPunct/>
        <w:topLinePunct w:val="0"/>
        <w:autoSpaceDE/>
        <w:autoSpaceDN/>
        <w:bidi w:val="0"/>
        <w:snapToGrid w:val="0"/>
        <w:spacing w:line="400" w:lineRule="exact"/>
        <w:ind w:left="0" w:right="0" w:firstLine="422" w:firstLineChars="176"/>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供应商应承担所有与编写和提交响应文件有关的费用，无论竞争性磋商过程中的做法和结果如何，采购人在任何情况下均无义务和责任承担</w:t>
      </w:r>
      <w:r>
        <w:rPr>
          <w:rFonts w:hint="eastAsia" w:ascii="仿宋_GB2312" w:hAnsi="仿宋_GB2312" w:eastAsia="仿宋_GB2312" w:cs="仿宋_GB2312"/>
          <w:sz w:val="24"/>
          <w:szCs w:val="24"/>
          <w:lang w:eastAsia="zh-CN"/>
        </w:rPr>
        <w:t>该</w:t>
      </w:r>
      <w:r>
        <w:rPr>
          <w:rFonts w:hint="eastAsia" w:ascii="仿宋_GB2312" w:hAnsi="仿宋_GB2312" w:eastAsia="仿宋_GB2312" w:cs="仿宋_GB2312"/>
          <w:sz w:val="24"/>
          <w:szCs w:val="24"/>
        </w:rPr>
        <w:t>费用。</w:t>
      </w:r>
    </w:p>
    <w:p>
      <w:pPr>
        <w:pageBreakBefore w:val="0"/>
        <w:widowControl w:val="0"/>
        <w:kinsoku/>
        <w:wordWrap/>
        <w:overflowPunct/>
        <w:topLinePunct w:val="0"/>
        <w:autoSpaceDE/>
        <w:autoSpaceDN/>
        <w:bidi w:val="0"/>
        <w:snapToGrid w:val="0"/>
        <w:spacing w:line="400" w:lineRule="exact"/>
        <w:ind w:left="0" w:right="0" w:firstLine="422" w:firstLineChars="176"/>
        <w:jc w:val="both"/>
        <w:textAlignment w:val="auto"/>
        <w:rPr>
          <w:rFonts w:hint="eastAsia" w:ascii="仿宋_GB2312" w:hAnsi="仿宋_GB2312" w:eastAsia="仿宋_GB2312" w:cs="仿宋_GB2312"/>
          <w:sz w:val="24"/>
          <w:szCs w:val="24"/>
        </w:rPr>
      </w:pPr>
    </w:p>
    <w:p>
      <w:pPr>
        <w:pStyle w:val="3"/>
        <w:pageBreakBefore w:val="0"/>
        <w:widowControl w:val="0"/>
        <w:tabs>
          <w:tab w:val="left" w:pos="720"/>
        </w:tabs>
        <w:kinsoku/>
        <w:wordWrap/>
        <w:overflowPunct/>
        <w:topLinePunct w:val="0"/>
        <w:autoSpaceDE/>
        <w:autoSpaceDN/>
        <w:bidi w:val="0"/>
        <w:adjustRightInd w:val="0"/>
        <w:snapToGrid w:val="0"/>
        <w:spacing w:before="0" w:after="0" w:line="400" w:lineRule="exact"/>
        <w:ind w:left="0" w:right="0"/>
        <w:textAlignment w:val="auto"/>
        <w:rPr>
          <w:rFonts w:hint="eastAsia" w:ascii="仿宋_GB2312" w:hAnsi="仿宋_GB2312" w:eastAsia="仿宋_GB2312" w:cs="仿宋_GB2312"/>
          <w:sz w:val="24"/>
          <w:szCs w:val="24"/>
        </w:rPr>
      </w:pPr>
      <w:bookmarkStart w:id="6" w:name="_Toc4840"/>
      <w:r>
        <w:rPr>
          <w:rFonts w:hint="eastAsia" w:ascii="仿宋_GB2312" w:hAnsi="仿宋_GB2312" w:eastAsia="仿宋_GB2312" w:cs="仿宋_GB2312"/>
          <w:sz w:val="24"/>
          <w:szCs w:val="24"/>
        </w:rPr>
        <w:t>附件2.3 磋商文件</w:t>
      </w:r>
      <w:bookmarkEnd w:id="6"/>
    </w:p>
    <w:p>
      <w:pPr>
        <w:pageBreakBefore w:val="0"/>
        <w:widowControl w:val="0"/>
        <w:kinsoku/>
        <w:wordWrap/>
        <w:overflowPunct/>
        <w:topLinePunct w:val="0"/>
        <w:autoSpaceDE/>
        <w:autoSpaceDN/>
        <w:bidi w:val="0"/>
        <w:snapToGrid w:val="0"/>
        <w:spacing w:line="400" w:lineRule="exact"/>
        <w:ind w:left="0" w:right="0" w:firstLine="424" w:firstLineChars="176"/>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3、磋商文件的构成</w:t>
      </w:r>
    </w:p>
    <w:p>
      <w:pPr>
        <w:pStyle w:val="7"/>
        <w:pageBreakBefore w:val="0"/>
        <w:widowControl w:val="0"/>
        <w:kinsoku/>
        <w:wordWrap/>
        <w:overflowPunct/>
        <w:topLinePunct w:val="0"/>
        <w:autoSpaceDE/>
        <w:autoSpaceDN/>
        <w:bidi w:val="0"/>
        <w:snapToGrid w:val="0"/>
        <w:spacing w:after="0" w:line="400" w:lineRule="exact"/>
        <w:ind w:left="0" w:right="0" w:firstLine="422" w:firstLineChars="17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3.1本磋商文件包括下列文件及竞争性磋商正式开始前，采购人发出的补充和答疑文件及通知。</w:t>
      </w:r>
    </w:p>
    <w:p>
      <w:pPr>
        <w:pStyle w:val="7"/>
        <w:pageBreakBefore w:val="0"/>
        <w:widowControl w:val="0"/>
        <w:kinsoku/>
        <w:wordWrap/>
        <w:overflowPunct/>
        <w:topLinePunct w:val="0"/>
        <w:autoSpaceDE/>
        <w:autoSpaceDN/>
        <w:bidi w:val="0"/>
        <w:snapToGrid w:val="0"/>
        <w:spacing w:line="400" w:lineRule="exact"/>
        <w:ind w:left="0" w:right="0" w:firstLine="422" w:firstLineChars="17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第一章 竞争性磋商邀请</w:t>
      </w:r>
      <w:r>
        <w:rPr>
          <w:rFonts w:hint="eastAsia" w:ascii="仿宋_GB2312" w:hAnsi="仿宋_GB2312" w:eastAsia="仿宋_GB2312" w:cs="仿宋_GB2312"/>
          <w:sz w:val="24"/>
          <w:szCs w:val="24"/>
        </w:rPr>
        <w:tab/>
      </w:r>
    </w:p>
    <w:p>
      <w:pPr>
        <w:pStyle w:val="7"/>
        <w:pageBreakBefore w:val="0"/>
        <w:widowControl w:val="0"/>
        <w:kinsoku/>
        <w:wordWrap/>
        <w:overflowPunct/>
        <w:topLinePunct w:val="0"/>
        <w:autoSpaceDE/>
        <w:autoSpaceDN/>
        <w:bidi w:val="0"/>
        <w:snapToGrid w:val="0"/>
        <w:spacing w:line="400" w:lineRule="exact"/>
        <w:ind w:left="0" w:right="0" w:firstLine="422" w:firstLineChars="17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第二章 供应商须知</w:t>
      </w:r>
      <w:r>
        <w:rPr>
          <w:rFonts w:hint="eastAsia" w:ascii="仿宋_GB2312" w:hAnsi="仿宋_GB2312" w:eastAsia="仿宋_GB2312" w:cs="仿宋_GB2312"/>
          <w:sz w:val="24"/>
          <w:szCs w:val="24"/>
        </w:rPr>
        <w:tab/>
      </w:r>
    </w:p>
    <w:p>
      <w:pPr>
        <w:pStyle w:val="7"/>
        <w:pageBreakBefore w:val="0"/>
        <w:widowControl w:val="0"/>
        <w:kinsoku/>
        <w:wordWrap/>
        <w:overflowPunct/>
        <w:topLinePunct w:val="0"/>
        <w:autoSpaceDE/>
        <w:autoSpaceDN/>
        <w:bidi w:val="0"/>
        <w:snapToGrid w:val="0"/>
        <w:spacing w:line="400" w:lineRule="exact"/>
        <w:ind w:left="0" w:right="0" w:firstLine="422" w:firstLineChars="17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第三章 确定参加采购活动供应商的方式</w:t>
      </w:r>
      <w:r>
        <w:rPr>
          <w:rFonts w:hint="eastAsia" w:ascii="仿宋_GB2312" w:hAnsi="仿宋_GB2312" w:eastAsia="仿宋_GB2312" w:cs="仿宋_GB2312"/>
          <w:sz w:val="24"/>
          <w:szCs w:val="24"/>
        </w:rPr>
        <w:tab/>
      </w:r>
    </w:p>
    <w:p>
      <w:pPr>
        <w:pStyle w:val="7"/>
        <w:pageBreakBefore w:val="0"/>
        <w:widowControl w:val="0"/>
        <w:kinsoku/>
        <w:wordWrap/>
        <w:overflowPunct/>
        <w:topLinePunct w:val="0"/>
        <w:autoSpaceDE/>
        <w:autoSpaceDN/>
        <w:bidi w:val="0"/>
        <w:snapToGrid w:val="0"/>
        <w:spacing w:line="400" w:lineRule="exact"/>
        <w:ind w:left="0" w:right="0" w:firstLine="422" w:firstLineChars="17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第四章 资格证明材料</w:t>
      </w:r>
      <w:r>
        <w:rPr>
          <w:rFonts w:hint="eastAsia" w:ascii="仿宋_GB2312" w:hAnsi="仿宋_GB2312" w:eastAsia="仿宋_GB2312" w:cs="仿宋_GB2312"/>
          <w:sz w:val="24"/>
          <w:szCs w:val="24"/>
        </w:rPr>
        <w:tab/>
      </w:r>
    </w:p>
    <w:p>
      <w:pPr>
        <w:pStyle w:val="7"/>
        <w:pageBreakBefore w:val="0"/>
        <w:widowControl w:val="0"/>
        <w:kinsoku/>
        <w:wordWrap/>
        <w:overflowPunct/>
        <w:topLinePunct w:val="0"/>
        <w:autoSpaceDE/>
        <w:autoSpaceDN/>
        <w:bidi w:val="0"/>
        <w:snapToGrid w:val="0"/>
        <w:spacing w:line="400" w:lineRule="exact"/>
        <w:ind w:left="0" w:right="0" w:firstLine="422" w:firstLineChars="176"/>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第五章 采购项目要求</w:t>
      </w:r>
      <w:r>
        <w:rPr>
          <w:rFonts w:hint="eastAsia" w:ascii="仿宋_GB2312" w:hAnsi="仿宋_GB2312" w:eastAsia="仿宋_GB2312" w:cs="仿宋_GB2312"/>
          <w:sz w:val="24"/>
          <w:szCs w:val="24"/>
          <w:lang w:val="en-US" w:eastAsia="zh-CN"/>
        </w:rPr>
        <w:t xml:space="preserve">      </w:t>
      </w:r>
    </w:p>
    <w:p>
      <w:pPr>
        <w:pStyle w:val="7"/>
        <w:pageBreakBefore w:val="0"/>
        <w:widowControl w:val="0"/>
        <w:kinsoku/>
        <w:wordWrap/>
        <w:overflowPunct/>
        <w:topLinePunct w:val="0"/>
        <w:autoSpaceDE/>
        <w:autoSpaceDN/>
        <w:bidi w:val="0"/>
        <w:snapToGrid w:val="0"/>
        <w:spacing w:line="400" w:lineRule="exact"/>
        <w:ind w:left="0" w:right="0" w:firstLine="422" w:firstLineChars="17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第六章 供应商响应文件相关文书格式</w:t>
      </w:r>
    </w:p>
    <w:p>
      <w:pPr>
        <w:pStyle w:val="7"/>
        <w:pageBreakBefore w:val="0"/>
        <w:widowControl w:val="0"/>
        <w:kinsoku/>
        <w:wordWrap/>
        <w:overflowPunct/>
        <w:topLinePunct w:val="0"/>
        <w:autoSpaceDE/>
        <w:autoSpaceDN/>
        <w:bidi w:val="0"/>
        <w:snapToGrid w:val="0"/>
        <w:spacing w:line="400" w:lineRule="exact"/>
        <w:ind w:left="0" w:right="0" w:firstLine="422" w:firstLineChars="17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第七章 评审办法</w:t>
      </w:r>
    </w:p>
    <w:p>
      <w:pPr>
        <w:pStyle w:val="7"/>
        <w:pageBreakBefore w:val="0"/>
        <w:widowControl w:val="0"/>
        <w:kinsoku/>
        <w:wordWrap/>
        <w:overflowPunct/>
        <w:topLinePunct w:val="0"/>
        <w:autoSpaceDE/>
        <w:autoSpaceDN/>
        <w:bidi w:val="0"/>
        <w:snapToGrid w:val="0"/>
        <w:spacing w:after="0" w:line="400" w:lineRule="exact"/>
        <w:ind w:left="0" w:right="0" w:firstLine="422" w:firstLineChars="176"/>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第八章 合同主要条款</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3.2 供应商应认真阅读和充分理解磋商文件中所有的事项、格式条款和规范要求。供应商应详细阅读磋商文件的全部内容，并实质性响应磋商文件的要求。 </w:t>
      </w:r>
    </w:p>
    <w:p>
      <w:pPr>
        <w:pStyle w:val="7"/>
        <w:pageBreakBefore w:val="0"/>
        <w:widowControl w:val="0"/>
        <w:kinsoku/>
        <w:wordWrap/>
        <w:overflowPunct/>
        <w:topLinePunct w:val="0"/>
        <w:autoSpaceDE/>
        <w:autoSpaceDN/>
        <w:bidi w:val="0"/>
        <w:snapToGrid w:val="0"/>
        <w:spacing w:after="0" w:line="400" w:lineRule="exact"/>
        <w:ind w:left="0" w:right="0" w:firstLine="426" w:firstLineChars="177"/>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4、磋商文件的澄清</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4.1供应商有权要求采购人对磋商文件中的有关问题进行答疑、澄清。</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4.2供应商对磋商文件如有疑问,应在首次响应文件递交截止时间2日前按磋商文件</w:t>
      </w:r>
      <w:r>
        <w:rPr>
          <w:rFonts w:hint="eastAsia" w:ascii="仿宋_GB2312" w:hAnsi="仿宋_GB2312" w:eastAsia="仿宋_GB2312" w:cs="仿宋_GB2312"/>
          <w:spacing w:val="-3"/>
          <w:sz w:val="24"/>
          <w:szCs w:val="24"/>
        </w:rPr>
        <w:t>中的联系方式，通知采购人。采购人将视情况采用适当方式予</w:t>
      </w:r>
      <w:r>
        <w:rPr>
          <w:rFonts w:hint="eastAsia" w:ascii="仿宋_GB2312" w:hAnsi="仿宋_GB2312" w:eastAsia="仿宋_GB2312" w:cs="仿宋_GB2312"/>
          <w:sz w:val="24"/>
          <w:szCs w:val="24"/>
        </w:rPr>
        <w:t>以澄清或以书面形式予以答复。</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4.3任何对磋商文件的澄清均为磋商文件的组成部分，并具有同等的法律效力。如磋商文件的澄清与磋商文件有矛盾，以日期后的为准。</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4.4供应商收到采购人的澄清回复后，应立即以邮件等方式向采购人确认收到澄清。</w:t>
      </w:r>
    </w:p>
    <w:p>
      <w:pPr>
        <w:pStyle w:val="18"/>
        <w:pageBreakBefore w:val="0"/>
        <w:widowControl w:val="0"/>
        <w:kinsoku/>
        <w:wordWrap/>
        <w:overflowPunct/>
        <w:topLinePunct w:val="0"/>
        <w:autoSpaceDE/>
        <w:autoSpaceDN/>
        <w:bidi w:val="0"/>
        <w:snapToGrid w:val="0"/>
        <w:spacing w:line="400" w:lineRule="exact"/>
        <w:ind w:left="0" w:right="0" w:firstLine="426" w:firstLineChars="177"/>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5、磋商文件的修改</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5.1在响应文件递交截止时间前，无论出于何种原因，采购人可主动地在解答供应商要求澄清的问题时对磋商文件进行修改。</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5.2磋商文件的修改将以书面形式或邮件方式通知磋商文件的获取人，并对</w:t>
      </w:r>
      <w:r>
        <w:rPr>
          <w:rFonts w:hint="eastAsia" w:ascii="仿宋_GB2312" w:hAnsi="仿宋_GB2312" w:eastAsia="仿宋_GB2312" w:cs="仿宋_GB2312"/>
          <w:spacing w:val="-3"/>
          <w:sz w:val="24"/>
          <w:szCs w:val="24"/>
        </w:rPr>
        <w:t>其具有约束力。供应商在收到上述通知后，应立即向采购人回复确认。供</w:t>
      </w:r>
      <w:r>
        <w:rPr>
          <w:rFonts w:hint="eastAsia" w:ascii="仿宋_GB2312" w:hAnsi="仿宋_GB2312" w:eastAsia="仿宋_GB2312" w:cs="仿宋_GB2312"/>
          <w:sz w:val="24"/>
          <w:szCs w:val="24"/>
        </w:rPr>
        <w:t>应商将被视为编制响应文件时已考虑上述修改。</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5.3为使供应商在准备磋商文件时有合理的时间考虑磋商文件的修改，采购</w:t>
      </w:r>
      <w:r>
        <w:rPr>
          <w:rFonts w:hint="eastAsia" w:ascii="仿宋_GB2312" w:hAnsi="仿宋_GB2312" w:eastAsia="仿宋_GB2312" w:cs="仿宋_GB2312"/>
          <w:spacing w:val="-3"/>
          <w:sz w:val="24"/>
          <w:szCs w:val="24"/>
        </w:rPr>
        <w:t>人和采购人可酌情推迟响应文件递交截止日期，并以书面或邮件形式通知所有已获取磋商文件</w:t>
      </w:r>
      <w:r>
        <w:rPr>
          <w:rFonts w:hint="eastAsia" w:ascii="仿宋_GB2312" w:hAnsi="仿宋_GB2312" w:eastAsia="仿宋_GB2312" w:cs="仿宋_GB2312"/>
          <w:sz w:val="24"/>
          <w:szCs w:val="24"/>
        </w:rPr>
        <w:t>的供应商。</w:t>
      </w:r>
      <w:r>
        <w:rPr>
          <w:rFonts w:hint="eastAsia" w:ascii="仿宋_GB2312" w:hAnsi="仿宋_GB2312" w:eastAsia="仿宋_GB2312" w:cs="仿宋_GB2312"/>
          <w:sz w:val="24"/>
          <w:szCs w:val="24"/>
          <w:lang w:val="en-US" w:eastAsia="zh-CN"/>
        </w:rPr>
        <w:t xml:space="preserve">   </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5.4磋商文件的修改书将构成磋商文件的一部分，对采购人供应商都具有约束力。</w:t>
      </w:r>
    </w:p>
    <w:p>
      <w:pPr>
        <w:pStyle w:val="18"/>
        <w:pageBreakBefore w:val="0"/>
        <w:widowControl w:val="0"/>
        <w:kinsoku/>
        <w:wordWrap/>
        <w:overflowPunct/>
        <w:topLinePunct w:val="0"/>
        <w:autoSpaceDE/>
        <w:autoSpaceDN/>
        <w:bidi w:val="0"/>
        <w:snapToGrid w:val="0"/>
        <w:spacing w:line="400" w:lineRule="exact"/>
        <w:ind w:left="0" w:right="0" w:firstLine="426" w:firstLineChars="177"/>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6、答疑会</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6.1 本次竞争性磋商不组织答疑会，供应商提出的与本次采购有关的任何问题，须在响应文件递交截止时</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间2日前以书面或邮件形式送达采购人。</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6.2 采购人向供应商提供的有关项目现场的资料和数据，是采购人现有的能使供应商利用的资料。采购人对供应商由此而做出的推论、理解和结论概不负责。</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6.3所有问题的答复，将迅速以磋商文件补充文件方式提供给获得磋商文件的供应商，供应商应以书面或邮件等方式向采购人确认收到上述文件。</w:t>
      </w:r>
    </w:p>
    <w:p>
      <w:pPr>
        <w:pStyle w:val="7"/>
        <w:pageBreakBefore w:val="0"/>
        <w:widowControl w:val="0"/>
        <w:kinsoku/>
        <w:wordWrap/>
        <w:overflowPunct/>
        <w:topLinePunct w:val="0"/>
        <w:autoSpaceDE/>
        <w:autoSpaceDN/>
        <w:bidi w:val="0"/>
        <w:snapToGrid w:val="0"/>
        <w:spacing w:after="0" w:line="400" w:lineRule="exact"/>
        <w:ind w:left="0" w:right="0" w:firstLine="544" w:firstLineChars="227"/>
        <w:textAlignment w:val="auto"/>
        <w:rPr>
          <w:rFonts w:hint="eastAsia" w:ascii="仿宋_GB2312" w:hAnsi="仿宋_GB2312" w:eastAsia="仿宋_GB2312" w:cs="仿宋_GB2312"/>
          <w:sz w:val="24"/>
          <w:szCs w:val="24"/>
        </w:rPr>
      </w:pPr>
    </w:p>
    <w:p>
      <w:pPr>
        <w:pStyle w:val="3"/>
        <w:pageBreakBefore w:val="0"/>
        <w:widowControl w:val="0"/>
        <w:tabs>
          <w:tab w:val="left" w:pos="720"/>
        </w:tabs>
        <w:kinsoku/>
        <w:wordWrap/>
        <w:overflowPunct/>
        <w:topLinePunct w:val="0"/>
        <w:autoSpaceDE/>
        <w:autoSpaceDN/>
        <w:bidi w:val="0"/>
        <w:adjustRightInd w:val="0"/>
        <w:snapToGrid w:val="0"/>
        <w:spacing w:before="0" w:after="0" w:line="400" w:lineRule="exact"/>
        <w:ind w:left="0" w:right="0"/>
        <w:textAlignment w:val="auto"/>
        <w:rPr>
          <w:rFonts w:hint="eastAsia" w:ascii="仿宋_GB2312" w:hAnsi="仿宋_GB2312" w:eastAsia="仿宋_GB2312" w:cs="仿宋_GB2312"/>
          <w:sz w:val="24"/>
          <w:szCs w:val="24"/>
        </w:rPr>
      </w:pPr>
      <w:bookmarkStart w:id="7" w:name="_Toc1958"/>
      <w:r>
        <w:rPr>
          <w:rFonts w:hint="eastAsia" w:ascii="仿宋_GB2312" w:hAnsi="仿宋_GB2312" w:eastAsia="仿宋_GB2312" w:cs="仿宋_GB2312"/>
          <w:sz w:val="24"/>
          <w:szCs w:val="24"/>
        </w:rPr>
        <w:t>附件2.4 响应文件</w:t>
      </w:r>
      <w:bookmarkEnd w:id="7"/>
    </w:p>
    <w:p>
      <w:pPr>
        <w:pStyle w:val="18"/>
        <w:pageBreakBefore w:val="0"/>
        <w:widowControl w:val="0"/>
        <w:kinsoku/>
        <w:wordWrap/>
        <w:overflowPunct/>
        <w:topLinePunct w:val="0"/>
        <w:autoSpaceDE/>
        <w:autoSpaceDN/>
        <w:bidi w:val="0"/>
        <w:snapToGrid w:val="0"/>
        <w:spacing w:line="400" w:lineRule="exact"/>
        <w:ind w:left="0" w:right="0" w:firstLine="426" w:firstLineChars="177"/>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7、计量单位</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除在磋商文件中另有规定外，计量单位应使用中华人民共和国法定计量单位。</w:t>
      </w:r>
    </w:p>
    <w:p>
      <w:pPr>
        <w:pStyle w:val="18"/>
        <w:pageBreakBefore w:val="0"/>
        <w:widowControl w:val="0"/>
        <w:kinsoku/>
        <w:wordWrap/>
        <w:overflowPunct/>
        <w:topLinePunct w:val="0"/>
        <w:autoSpaceDE/>
        <w:autoSpaceDN/>
        <w:bidi w:val="0"/>
        <w:snapToGrid w:val="0"/>
        <w:spacing w:line="400" w:lineRule="exact"/>
        <w:ind w:left="0" w:right="0" w:firstLine="426" w:firstLineChars="177"/>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8、响应文件的组成</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8.1供应商应在响应文件中提交包括但不仅限于以下内容：</w:t>
      </w:r>
    </w:p>
    <w:p>
      <w:pPr>
        <w:pStyle w:val="7"/>
        <w:keepNext w:val="0"/>
        <w:keepLines w:val="0"/>
        <w:pageBreakBefore w:val="0"/>
        <w:widowControl w:val="0"/>
        <w:kinsoku/>
        <w:wordWrap/>
        <w:overflowPunct/>
        <w:topLinePunct w:val="0"/>
        <w:autoSpaceDE/>
        <w:autoSpaceDN/>
        <w:bidi w:val="0"/>
        <w:adjustRightInd/>
        <w:snapToGrid w:val="0"/>
        <w:spacing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（1）资格响应文件：磋商文件中“第四章 供应商应当提供的资格证明材料”中的要求；</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（2）商务部分:详见磋商文件“第五章 供应商响应文件相关文书格式”等。</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8.2供应商须按磋商文件的要求编写响应文件，对磋商文件提出的要求和条件做出实质性响应。</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8.3资格性响应文件用于磋商小组资格符合性审查，其他响应文件用于磋商。</w:t>
      </w:r>
    </w:p>
    <w:p>
      <w:pPr>
        <w:pStyle w:val="18"/>
        <w:pageBreakBefore w:val="0"/>
        <w:widowControl w:val="0"/>
        <w:kinsoku/>
        <w:wordWrap/>
        <w:overflowPunct/>
        <w:topLinePunct w:val="0"/>
        <w:autoSpaceDE/>
        <w:autoSpaceDN/>
        <w:bidi w:val="0"/>
        <w:snapToGrid w:val="0"/>
        <w:spacing w:line="400" w:lineRule="exact"/>
        <w:ind w:left="0" w:right="0" w:firstLine="426" w:firstLineChars="177"/>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9、响应文件格式</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供应商应按磋商文件中“第六章 供应商响应文件相关文书格式”列明的格式编制响应文件，未列明格式的，由供应商自行编制。</w:t>
      </w:r>
    </w:p>
    <w:p>
      <w:pPr>
        <w:pStyle w:val="18"/>
        <w:pageBreakBefore w:val="0"/>
        <w:widowControl w:val="0"/>
        <w:kinsoku/>
        <w:wordWrap/>
        <w:overflowPunct/>
        <w:topLinePunct w:val="0"/>
        <w:autoSpaceDE/>
        <w:autoSpaceDN/>
        <w:bidi w:val="0"/>
        <w:snapToGrid w:val="0"/>
        <w:spacing w:line="400" w:lineRule="exact"/>
        <w:ind w:left="0" w:right="0" w:firstLine="426" w:firstLineChars="177"/>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10、响应文件的包装、标记和密封</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响应文件正本、副本可以密封于一个包装袋内。密封包装的最外层应标明采购编号、项目名称、供应商名称。密封后的封口上加盖供应商公章，递交截止时间前不得启封。</w:t>
      </w:r>
    </w:p>
    <w:p>
      <w:pPr>
        <w:pStyle w:val="18"/>
        <w:pageBreakBefore w:val="0"/>
        <w:widowControl w:val="0"/>
        <w:kinsoku/>
        <w:wordWrap/>
        <w:overflowPunct/>
        <w:topLinePunct w:val="0"/>
        <w:autoSpaceDE/>
        <w:autoSpaceDN/>
        <w:bidi w:val="0"/>
        <w:snapToGrid w:val="0"/>
        <w:spacing w:line="400" w:lineRule="exact"/>
        <w:ind w:left="0" w:right="0" w:firstLine="426" w:firstLineChars="177"/>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11、响应文件递交截止时间</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11.1所有响应文件都必须按“竞争性磋商邀请”中规定的递交截止时间之前送达规定地点。</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color w:val="auto"/>
          <w:sz w:val="24"/>
          <w:szCs w:val="24"/>
        </w:rPr>
        <w:t>11.2出现本章第5.3款因磋商文件的修改推迟递交截止日期时，则按</w:t>
      </w:r>
      <w:r>
        <w:rPr>
          <w:rFonts w:hint="eastAsia" w:ascii="仿宋_GB2312" w:hAnsi="仿宋_GB2312" w:eastAsia="仿宋_GB2312" w:cs="仿宋_GB2312"/>
          <w:sz w:val="24"/>
          <w:szCs w:val="24"/>
        </w:rPr>
        <w:t>采购人修改通知规定的时间递交。</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11.3 采购人将拒绝接收并原封退回在递交截止时间后收到的任何响应文件。</w:t>
      </w:r>
    </w:p>
    <w:p>
      <w:pPr>
        <w:pStyle w:val="18"/>
        <w:pageBreakBefore w:val="0"/>
        <w:widowControl w:val="0"/>
        <w:kinsoku/>
        <w:wordWrap/>
        <w:overflowPunct/>
        <w:topLinePunct w:val="0"/>
        <w:autoSpaceDE/>
        <w:autoSpaceDN/>
        <w:bidi w:val="0"/>
        <w:snapToGrid w:val="0"/>
        <w:spacing w:line="400" w:lineRule="exact"/>
        <w:ind w:left="0" w:right="0" w:firstLine="426" w:firstLineChars="177"/>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12、响应文件的修改和撤销</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12.1供应商在磋商文件明确的响应文件递交截止时间前，可以对已提交的响应文件进行补充、修改或者撤回，补充、修改的内容与响应文件不一致的，以补充、修改的内容为准。</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12.2 在递交截止时间之后，最终磋商确定之前，供应商不得对其响应文件进行任何修改。</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12.3 供应商不得在递交截止时间起至响应文件有效期期满前撤销其响应文件。</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12.4 响应文件中如果出现计算上或累加上的算术错误，可按以下原则进行修改：</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（1）用数字表示的金额和用文字表示的金额不一致，应以文字表示的金额为准。</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（2）单价和数量的乘积与总价不一致时，以单价为准，并修正总价。</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（3）单价金额小数点有明显错误的，以总价为准，修正单价。按上述修正错误的方法调整的报价应对供应商具有约束力。如果供应商不接受修正后的价格，其响应文件将被</w:t>
      </w:r>
      <w:r>
        <w:rPr>
          <w:rFonts w:hint="eastAsia" w:ascii="仿宋_GB2312" w:hAnsi="仿宋_GB2312" w:eastAsia="仿宋_GB2312" w:cs="仿宋_GB2312"/>
          <w:sz w:val="24"/>
          <w:szCs w:val="24"/>
          <w:lang w:eastAsia="zh-CN"/>
        </w:rPr>
        <w:t>拒收</w:t>
      </w:r>
      <w:r>
        <w:rPr>
          <w:rFonts w:hint="eastAsia" w:ascii="仿宋_GB2312" w:hAnsi="仿宋_GB2312" w:eastAsia="仿宋_GB2312" w:cs="仿宋_GB2312"/>
          <w:sz w:val="24"/>
          <w:szCs w:val="24"/>
        </w:rPr>
        <w:t>。</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12.5 供应商对其提交的响应文件的真实性、合法性承担法律责任。</w:t>
      </w:r>
    </w:p>
    <w:p>
      <w:pPr>
        <w:pStyle w:val="3"/>
        <w:pageBreakBefore w:val="0"/>
        <w:widowControl w:val="0"/>
        <w:tabs>
          <w:tab w:val="left" w:pos="720"/>
        </w:tabs>
        <w:kinsoku/>
        <w:wordWrap/>
        <w:overflowPunct/>
        <w:topLinePunct w:val="0"/>
        <w:autoSpaceDE/>
        <w:autoSpaceDN/>
        <w:bidi w:val="0"/>
        <w:adjustRightInd w:val="0"/>
        <w:snapToGrid w:val="0"/>
        <w:spacing w:before="0" w:after="0" w:line="400" w:lineRule="exact"/>
        <w:ind w:left="0" w:right="0"/>
        <w:textAlignment w:val="auto"/>
        <w:rPr>
          <w:rFonts w:hint="eastAsia" w:ascii="仿宋_GB2312" w:hAnsi="仿宋_GB2312" w:eastAsia="仿宋_GB2312" w:cs="仿宋_GB2312"/>
          <w:sz w:val="24"/>
          <w:szCs w:val="24"/>
        </w:rPr>
      </w:pPr>
    </w:p>
    <w:p>
      <w:pPr>
        <w:pStyle w:val="3"/>
        <w:pageBreakBefore w:val="0"/>
        <w:widowControl w:val="0"/>
        <w:tabs>
          <w:tab w:val="left" w:pos="720"/>
        </w:tabs>
        <w:kinsoku/>
        <w:wordWrap/>
        <w:overflowPunct/>
        <w:topLinePunct w:val="0"/>
        <w:autoSpaceDE/>
        <w:autoSpaceDN/>
        <w:bidi w:val="0"/>
        <w:adjustRightInd w:val="0"/>
        <w:snapToGrid w:val="0"/>
        <w:spacing w:before="0" w:after="0" w:line="400" w:lineRule="exact"/>
        <w:ind w:left="0" w:right="0"/>
        <w:textAlignment w:val="auto"/>
        <w:rPr>
          <w:rFonts w:hint="eastAsia" w:ascii="仿宋_GB2312" w:hAnsi="仿宋_GB2312" w:eastAsia="仿宋_GB2312" w:cs="仿宋_GB2312"/>
          <w:sz w:val="24"/>
          <w:szCs w:val="24"/>
        </w:rPr>
      </w:pPr>
      <w:bookmarkStart w:id="8" w:name="_Toc30719"/>
      <w:r>
        <w:rPr>
          <w:rFonts w:hint="eastAsia" w:ascii="仿宋_GB2312" w:hAnsi="仿宋_GB2312" w:eastAsia="仿宋_GB2312" w:cs="仿宋_GB2312"/>
          <w:sz w:val="24"/>
          <w:szCs w:val="24"/>
        </w:rPr>
        <w:t>附件2.5 磋商与最终报价</w:t>
      </w:r>
      <w:bookmarkEnd w:id="8"/>
    </w:p>
    <w:p>
      <w:pPr>
        <w:pageBreakBefore w:val="0"/>
        <w:widowControl w:val="0"/>
        <w:kinsoku/>
        <w:wordWrap/>
        <w:overflowPunct/>
        <w:topLinePunct w:val="0"/>
        <w:autoSpaceDE/>
        <w:autoSpaceDN/>
        <w:bidi w:val="0"/>
        <w:snapToGrid w:val="0"/>
        <w:spacing w:line="400" w:lineRule="exact"/>
        <w:ind w:left="0" w:right="0" w:firstLine="426" w:firstLineChars="177"/>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13、磋商流程</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13.1 采购人将在“竞争性磋商邀请”中规定的时间和地点组织磋商。供应商须派代表参加，并签名报到以证明其出席。</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13.2磋商开始前将由采购人</w:t>
      </w:r>
      <w:r>
        <w:rPr>
          <w:rFonts w:hint="eastAsia" w:ascii="仿宋_GB2312" w:hAnsi="仿宋_GB2312" w:eastAsia="仿宋_GB2312" w:cs="仿宋_GB2312"/>
          <w:sz w:val="24"/>
          <w:szCs w:val="24"/>
          <w:lang w:eastAsia="zh-CN"/>
        </w:rPr>
        <w:t>纪委部门</w:t>
      </w:r>
      <w:r>
        <w:rPr>
          <w:rFonts w:hint="eastAsia" w:ascii="仿宋_GB2312" w:hAnsi="仿宋_GB2312" w:eastAsia="仿宋_GB2312" w:cs="仿宋_GB2312"/>
          <w:sz w:val="24"/>
          <w:szCs w:val="24"/>
        </w:rPr>
        <w:t>当众查验响应文件的密封情况，确认无误后方可进行拆封、磋商。</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13.3通过《响应文件》资格审查和符合性审查的供应商被视为实质性响应《磋商文件》的供应商。</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13.4磋商程序为按照抽签顺序或签到顺序，参加磋商的供应商陈述项目方案，讲标时间一般在10分钟左右，本磋商文件其他章节有其他述标特殊要求的，以其他特殊要求为准。</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13.5我公司磋商小组成员集中与实质性响应《磋商文件》的供应商分别就商务、技术服务等进行磋商，并给予供应商平等的磋商机会。供应商的澄清、说明或者更正应当由法定代表人或者其授权代表签字或者加盖公章。</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13.6第一轮磋商结束后，磋商小组按一定顺序邀请供应商进入磋商会场进行再次报价(各方报价为背靠背形式)，如此进行反复。 </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13.7若供应商都不再出价或磋商小组认为竞价已达到预期效果，则要求所有参加磋商的受邀公司在规定的时间内进行最后报价并签字或盖章。</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13.8磋商小组对本次磋商结果进行最终打分。</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13.9 磋商过程中可能实质性变动的内容：供应商报价及服务方案、承诺。采购需求中的商务、服务要求以及合同草案条款等。实质性变动的内容，须经磋商小组提出，最终涉及变动事项，供应商应授权代表人进行最终确认，签字或盖章有效。</w:t>
      </w:r>
    </w:p>
    <w:p>
      <w:pPr>
        <w:pStyle w:val="18"/>
        <w:pageBreakBefore w:val="0"/>
        <w:widowControl w:val="0"/>
        <w:kinsoku/>
        <w:wordWrap/>
        <w:overflowPunct/>
        <w:topLinePunct w:val="0"/>
        <w:autoSpaceDE/>
        <w:autoSpaceDN/>
        <w:bidi w:val="0"/>
        <w:snapToGrid w:val="0"/>
        <w:spacing w:line="400" w:lineRule="exact"/>
        <w:ind w:left="0" w:right="0" w:firstLine="426" w:firstLineChars="177"/>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14、报价要求</w:t>
      </w:r>
    </w:p>
    <w:p>
      <w:pPr>
        <w:pStyle w:val="18"/>
        <w:pageBreakBefore w:val="0"/>
        <w:widowControl w:val="0"/>
        <w:kinsoku/>
        <w:wordWrap/>
        <w:overflowPunct/>
        <w:topLinePunct w:val="0"/>
        <w:autoSpaceDE/>
        <w:autoSpaceDN/>
        <w:bidi w:val="0"/>
        <w:snapToGrid w:val="0"/>
        <w:spacing w:line="400" w:lineRule="exact"/>
        <w:ind w:left="0" w:right="0" w:firstLine="424" w:firstLineChars="177"/>
        <w:textAlignment w:val="auto"/>
        <w:outlineLvl w:val="9"/>
        <w:rPr>
          <w:rFonts w:hint="eastAsia" w:ascii="仿宋_GB2312" w:hAnsi="仿宋_GB2312" w:eastAsia="仿宋_GB2312" w:cs="仿宋_GB2312"/>
          <w:b w:val="0"/>
          <w:sz w:val="24"/>
          <w:szCs w:val="24"/>
          <w:lang w:eastAsia="zh-CN"/>
        </w:rPr>
      </w:pPr>
      <w:r>
        <w:rPr>
          <w:rFonts w:hint="eastAsia" w:ascii="仿宋_GB2312" w:hAnsi="仿宋_GB2312" w:eastAsia="仿宋_GB2312" w:cs="仿宋_GB2312"/>
          <w:b w:val="0"/>
          <w:sz w:val="24"/>
          <w:szCs w:val="24"/>
          <w:lang w:eastAsia="zh-CN"/>
        </w:rPr>
        <w:t>14.1除合同条款中确定遇不可抗力因素外，在项目实施过程中发生的一切事故、问题和可能发生的费用均由供应商自行负责。供应商应充分考虑项目实施过程中可能发生的一切费用，所有费用均应计入总报价。</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14.2报价要求：</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（1）供应商应以磋商文件内容作为报价基础，同时可结合自身实力，考虑项目实施因素及该项目实施过程中的风险，以不低于企业成本的价格自主确定报价。</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（2）项目只允许有一个报价，有选择的报价将不予接受。</w:t>
      </w:r>
    </w:p>
    <w:p>
      <w:pPr>
        <w:pageBreakBefore w:val="0"/>
        <w:widowControl w:val="0"/>
        <w:kinsoku/>
        <w:wordWrap/>
        <w:overflowPunct/>
        <w:topLinePunct w:val="0"/>
        <w:autoSpaceDE/>
        <w:autoSpaceDN/>
        <w:bidi w:val="0"/>
        <w:snapToGrid w:val="0"/>
        <w:spacing w:line="400" w:lineRule="exact"/>
        <w:ind w:left="0" w:right="0" w:firstLine="426" w:firstLineChars="177"/>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15、关于商务和技术偏离</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任何对磋商文件技术部分和商务部分的偏离，供应商都应分别在技术偏离表（对附件采购需求和技术服务要求的偏离情况）和商务偏离表（对合同条款的偏离情况）中分项列明，并标明正偏离、负偏离或无偏离。对于响应文件中不构成实质性偏差的不正规、不一致或不规则，采购人可接受，但会影响其得分。如果发现下列情况之一，其投标将可能被拒绝：</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 响应文件未密封；</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15.2未按照磋商文件要求提供响应文件的；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15.3响应文件未按磋商文件要求的实质性内容与格式编写的；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15.4响应文件未按磋商文件规定加盖投标单位公章、无法定代表人或其授权代表人签字的；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15.5响应文件未加盖骑缝章的；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15.6超出经营范围响应的；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15.7供应商的响应文件或资格证明文件不符合磋商文件要求的；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15.8响应有效期不足的；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15.9响应文件符合磋商文件中规定废标的其它条款的；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15.10响应文件附有采购人不能接受的条件的；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15.11响应文件中对合同条款有重大偏离的；</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15.12有国家法律法规规定废标的其他情况的。</w:t>
      </w:r>
    </w:p>
    <w:p>
      <w:pPr>
        <w:pageBreakBefore w:val="0"/>
        <w:widowControl w:val="0"/>
        <w:kinsoku/>
        <w:wordWrap/>
        <w:overflowPunct/>
        <w:topLinePunct w:val="0"/>
        <w:autoSpaceDE/>
        <w:autoSpaceDN/>
        <w:bidi w:val="0"/>
        <w:snapToGrid w:val="0"/>
        <w:spacing w:line="400" w:lineRule="exact"/>
        <w:ind w:left="0" w:right="0" w:firstLine="426" w:firstLineChars="177"/>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16、特别声明</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16.1供应商提供虚假材料或文件的，自动丧失参加资格。</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16.2供应商未在响应文件中提及和承诺，但又未明确书面提出异议的事项，按本磋商磋商邀请函的有关要求执行。</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16.3供应商不应将本次采购理解为政府采购与招标。</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16.4 供应商不得以任何理由要求退还已提交的响应文件。</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16.5采购方在任何时候均有权解释或调整本磋商文件及附件的内容。</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16.6供应商没有按规定时间和内容提供材料的，视为放弃。</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16.7供应商提供的文档、陈述和演示均应使用中文。</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16.8 供应商对本磋商文件及附件存有疑问的，请向采购方咨询。</w:t>
      </w:r>
    </w:p>
    <w:p>
      <w:pPr>
        <w:pageBreakBefore w:val="0"/>
        <w:widowControl w:val="0"/>
        <w:kinsoku/>
        <w:wordWrap/>
        <w:overflowPunct/>
        <w:topLinePunct w:val="0"/>
        <w:autoSpaceDE/>
        <w:autoSpaceDN/>
        <w:bidi w:val="0"/>
        <w:snapToGrid w:val="0"/>
        <w:spacing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16.9磋商文件及附件之著作权受中国法律保护，所有文件仅限于供应商参加本次采购磋商使用，任何用于其他目的之复制或引用均应事先获得采购方书面许可。</w:t>
      </w:r>
    </w:p>
    <w:p>
      <w:pPr>
        <w:pageBreakBefore w:val="0"/>
        <w:widowControl w:val="0"/>
        <w:kinsoku/>
        <w:wordWrap/>
        <w:overflowPunct/>
        <w:topLinePunct w:val="0"/>
        <w:autoSpaceDE/>
        <w:autoSpaceDN/>
        <w:bidi w:val="0"/>
        <w:snapToGrid w:val="0"/>
        <w:spacing w:line="400" w:lineRule="exact"/>
        <w:ind w:left="0" w:right="0" w:firstLine="426" w:firstLineChars="177"/>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17、评定成交供应商（详见“第七章 评审办法”）</w:t>
      </w:r>
    </w:p>
    <w:p>
      <w:pPr>
        <w:pStyle w:val="18"/>
        <w:pageBreakBefore w:val="0"/>
        <w:widowControl w:val="0"/>
        <w:kinsoku/>
        <w:wordWrap/>
        <w:overflowPunct/>
        <w:topLinePunct w:val="0"/>
        <w:autoSpaceDE/>
        <w:autoSpaceDN/>
        <w:bidi w:val="0"/>
        <w:snapToGrid w:val="0"/>
        <w:spacing w:line="400" w:lineRule="exact"/>
        <w:ind w:left="0" w:right="0" w:firstLine="426" w:firstLineChars="177"/>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18、确定成交供应商</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采购人确定成交供应商过程中，发现成交候选供应商有下列情形之一的，将不予确定其为成交供应商，并根据实际情况对成交候选供应商采取纳入供应商黑名单，在一定期限内采购人及其辖内分支机构不得与供应商再次进行合作等处理。同时，采购人可视项目具体情况确定后一位成交候选供应商为成交供应商或重新组织采购：</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（1）成交候选供应商存在违法、违纪行为的；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（2）成交候选供应商因不可抗力、社会经济形势发生重大变化、破产、重组等原因确定无法履行采购合同的；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（3）成交候选供应商书面自愿放弃成交，且无其他非法目的的；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（4）成交候选供应商在提交响应文件截止时间后撤回响应文件的；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（5）成交候选供应商在响应文件中提供虚假材料的；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（6）除因不可抗力或磋商文件认可的情形以外，成交供应商不与采购人签订合同的；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（7）成交候选供应商与采购人或者其他供应商恶意串通的；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（8）成交候选供应商将成交项目转让给他人,或者在竞争性磋商响应文件中未说明,且未经采购人同意,将成交项目分包给他人的；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（9）成交候选供应商拒绝履行合同义务的；</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（10）其他不应确定成交供应商的情形。</w:t>
      </w:r>
    </w:p>
    <w:p>
      <w:pPr>
        <w:pStyle w:val="7"/>
        <w:pageBreakBefore w:val="0"/>
        <w:widowControl w:val="0"/>
        <w:kinsoku/>
        <w:wordWrap/>
        <w:overflowPunct/>
        <w:topLinePunct w:val="0"/>
        <w:autoSpaceDE/>
        <w:autoSpaceDN/>
        <w:bidi w:val="0"/>
        <w:snapToGrid w:val="0"/>
        <w:spacing w:after="0" w:line="400" w:lineRule="exact"/>
        <w:ind w:left="0" w:right="0"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无法确定成交供应商的，采购人将重新组织采购。</w:t>
      </w:r>
    </w:p>
    <w:p>
      <w:pPr>
        <w:pStyle w:val="3"/>
        <w:pageBreakBefore w:val="0"/>
        <w:widowControl w:val="0"/>
        <w:tabs>
          <w:tab w:val="left" w:pos="720"/>
        </w:tabs>
        <w:kinsoku/>
        <w:wordWrap/>
        <w:overflowPunct/>
        <w:topLinePunct w:val="0"/>
        <w:autoSpaceDE/>
        <w:autoSpaceDN/>
        <w:bidi w:val="0"/>
        <w:adjustRightInd w:val="0"/>
        <w:snapToGrid w:val="0"/>
        <w:spacing w:before="0" w:after="0" w:line="400" w:lineRule="exact"/>
        <w:ind w:left="0" w:right="0"/>
        <w:textAlignment w:val="auto"/>
        <w:rPr>
          <w:rFonts w:hint="eastAsia" w:ascii="仿宋_GB2312" w:hAnsi="仿宋_GB2312" w:eastAsia="仿宋_GB2312" w:cs="仿宋_GB2312"/>
          <w:sz w:val="24"/>
          <w:szCs w:val="24"/>
        </w:rPr>
      </w:pPr>
    </w:p>
    <w:p>
      <w:pPr>
        <w:pStyle w:val="3"/>
        <w:pageBreakBefore w:val="0"/>
        <w:widowControl w:val="0"/>
        <w:tabs>
          <w:tab w:val="left" w:pos="720"/>
        </w:tabs>
        <w:kinsoku/>
        <w:wordWrap/>
        <w:overflowPunct/>
        <w:topLinePunct w:val="0"/>
        <w:autoSpaceDE/>
        <w:autoSpaceDN/>
        <w:bidi w:val="0"/>
        <w:adjustRightInd w:val="0"/>
        <w:snapToGrid w:val="0"/>
        <w:spacing w:before="0" w:after="0" w:line="400" w:lineRule="exact"/>
        <w:ind w:left="0" w:right="0"/>
        <w:textAlignment w:val="auto"/>
        <w:rPr>
          <w:rFonts w:hint="eastAsia" w:ascii="仿宋_GB2312" w:hAnsi="仿宋_GB2312" w:eastAsia="仿宋_GB2312" w:cs="仿宋_GB2312"/>
          <w:sz w:val="24"/>
          <w:szCs w:val="24"/>
        </w:rPr>
      </w:pPr>
      <w:bookmarkStart w:id="9" w:name="_Toc24935"/>
      <w:r>
        <w:rPr>
          <w:rFonts w:hint="eastAsia" w:ascii="仿宋_GB2312" w:hAnsi="仿宋_GB2312" w:eastAsia="仿宋_GB2312" w:cs="仿宋_GB2312"/>
          <w:sz w:val="24"/>
          <w:szCs w:val="24"/>
        </w:rPr>
        <w:t>附件2.6 合同的授予</w:t>
      </w:r>
      <w:bookmarkEnd w:id="9"/>
    </w:p>
    <w:p>
      <w:pPr>
        <w:pStyle w:val="18"/>
        <w:pageBreakBefore w:val="0"/>
        <w:widowControl w:val="0"/>
        <w:kinsoku/>
        <w:wordWrap/>
        <w:overflowPunct/>
        <w:topLinePunct w:val="0"/>
        <w:autoSpaceDE/>
        <w:autoSpaceDN/>
        <w:bidi w:val="0"/>
        <w:snapToGrid w:val="0"/>
        <w:spacing w:line="400" w:lineRule="exact"/>
        <w:ind w:left="0" w:right="0" w:firstLine="426" w:firstLineChars="177"/>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19、成交通知书</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19.1 采购人按磋商小组推荐的成交候选供应商名单确定排序第一的供应商为成交供应商，确定成交</w:t>
      </w:r>
      <w:r>
        <w:rPr>
          <w:rFonts w:hint="eastAsia" w:ascii="仿宋_GB2312" w:hAnsi="仿宋_GB2312" w:eastAsia="仿宋_GB2312" w:cs="仿宋_GB2312"/>
          <w:spacing w:val="-3"/>
          <w:sz w:val="24"/>
          <w:szCs w:val="24"/>
        </w:rPr>
        <w:t>供应商后，</w:t>
      </w:r>
      <w:r>
        <w:rPr>
          <w:rFonts w:hint="eastAsia" w:ascii="仿宋_GB2312" w:hAnsi="仿宋_GB2312" w:eastAsia="仿宋_GB2312" w:cs="仿宋_GB2312"/>
          <w:sz w:val="24"/>
          <w:szCs w:val="24"/>
        </w:rPr>
        <w:t>按照相关规定向成交供应商发出成交通知书。</w:t>
      </w:r>
    </w:p>
    <w:p>
      <w:pPr>
        <w:pStyle w:val="7"/>
        <w:pageBreakBefore w:val="0"/>
        <w:widowControl w:val="0"/>
        <w:kinsoku/>
        <w:wordWrap/>
        <w:overflowPunct/>
        <w:topLinePunct w:val="0"/>
        <w:autoSpaceDE/>
        <w:autoSpaceDN/>
        <w:bidi w:val="0"/>
        <w:snapToGrid w:val="0"/>
        <w:spacing w:after="0" w:line="400" w:lineRule="exact"/>
        <w:ind w:left="0" w:right="0" w:firstLine="424" w:firstLineChars="177"/>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19.2 采购人不对成交或未成交原因作出解释，也不退还响应文件。</w:t>
      </w:r>
    </w:p>
    <w:p>
      <w:pPr>
        <w:pStyle w:val="18"/>
        <w:pageBreakBefore w:val="0"/>
        <w:widowControl w:val="0"/>
        <w:kinsoku/>
        <w:wordWrap/>
        <w:overflowPunct/>
        <w:topLinePunct w:val="0"/>
        <w:autoSpaceDE/>
        <w:autoSpaceDN/>
        <w:bidi w:val="0"/>
        <w:snapToGrid w:val="0"/>
        <w:spacing w:line="400" w:lineRule="exact"/>
        <w:ind w:left="0" w:right="0" w:firstLine="426" w:firstLineChars="177"/>
        <w:jc w:val="both"/>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20．采购终止</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竞争性磋商中出现下列情形之一，采购人有权予以终止： </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出现影响采购公正的违法、违规行为；</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供应商的报价超过了采购预算，采购人不能支付；</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 供应商</w:t>
      </w:r>
      <w:r>
        <w:rPr>
          <w:rFonts w:hint="eastAsia" w:ascii="仿宋_GB2312" w:hAnsi="仿宋_GB2312" w:eastAsia="仿宋_GB2312" w:cs="仿宋_GB2312"/>
          <w:sz w:val="24"/>
          <w:szCs w:val="24"/>
          <w:lang w:val="en-US" w:eastAsia="zh-CN"/>
        </w:rPr>
        <w:t>不足三家进行流标处理</w:t>
      </w:r>
      <w:r>
        <w:rPr>
          <w:rFonts w:hint="eastAsia" w:ascii="仿宋_GB2312" w:hAnsi="仿宋_GB2312" w:eastAsia="仿宋_GB2312" w:cs="仿宋_GB2312"/>
          <w:sz w:val="24"/>
          <w:szCs w:val="24"/>
        </w:rPr>
        <w:t>；</w:t>
      </w:r>
    </w:p>
    <w:p>
      <w:pPr>
        <w:pStyle w:val="7"/>
        <w:pageBreakBefore w:val="0"/>
        <w:widowControl w:val="0"/>
        <w:kinsoku/>
        <w:wordWrap/>
        <w:overflowPunct/>
        <w:topLinePunct w:val="0"/>
        <w:autoSpaceDE/>
        <w:autoSpaceDN/>
        <w:bidi w:val="0"/>
        <w:snapToGrid w:val="0"/>
        <w:spacing w:after="0" w:line="400" w:lineRule="exact"/>
        <w:ind w:left="0" w:right="0" w:firstLine="424" w:firstLineChars="177"/>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 因重大变故，采购任务取消。</w:t>
      </w:r>
      <w:r>
        <w:rPr>
          <w:rFonts w:hint="eastAsia" w:ascii="仿宋_GB2312" w:hAnsi="仿宋_GB2312" w:eastAsia="仿宋_GB2312" w:cs="仿宋_GB2312"/>
          <w:sz w:val="24"/>
          <w:szCs w:val="24"/>
        </w:rPr>
        <w:br w:type="page"/>
      </w:r>
      <w:bookmarkStart w:id="10" w:name="_Toc1876"/>
    </w:p>
    <w:p>
      <w:pPr>
        <w:pStyle w:val="2"/>
        <w:pageBreakBefore/>
        <w:tabs>
          <w:tab w:val="left" w:pos="425"/>
          <w:tab w:val="left" w:pos="4265"/>
        </w:tabs>
        <w:ind w:left="210" w:leftChars="100" w:firstLine="1205" w:firstLineChars="500"/>
        <w:jc w:val="left"/>
        <w:rPr>
          <w:rFonts w:hint="eastAsia" w:ascii="仿宋_GB2312" w:hAnsi="仿宋_GB2312" w:eastAsia="仿宋_GB2312" w:cs="仿宋_GB2312"/>
          <w:bCs w:val="0"/>
          <w:sz w:val="24"/>
          <w:szCs w:val="24"/>
        </w:rPr>
      </w:pPr>
      <w:bookmarkStart w:id="11" w:name="_Toc17217"/>
      <w:r>
        <w:rPr>
          <w:rFonts w:hint="eastAsia" w:ascii="仿宋_GB2312" w:hAnsi="仿宋_GB2312" w:eastAsia="仿宋_GB2312" w:cs="仿宋_GB2312"/>
          <w:color w:val="auto"/>
          <w:sz w:val="24"/>
          <w:szCs w:val="24"/>
        </w:rPr>
        <w:t>第三</w:t>
      </w:r>
      <w:r>
        <w:rPr>
          <w:rFonts w:hint="eastAsia" w:ascii="仿宋_GB2312" w:hAnsi="仿宋_GB2312" w:eastAsia="仿宋_GB2312" w:cs="仿宋_GB2312"/>
          <w:bCs w:val="0"/>
          <w:sz w:val="24"/>
          <w:szCs w:val="24"/>
        </w:rPr>
        <w:t xml:space="preserve">章  </w:t>
      </w:r>
      <w:bookmarkEnd w:id="10"/>
      <w:r>
        <w:rPr>
          <w:rFonts w:hint="eastAsia" w:ascii="仿宋_GB2312" w:hAnsi="仿宋_GB2312" w:eastAsia="仿宋_GB2312" w:cs="仿宋_GB2312"/>
          <w:bCs w:val="0"/>
          <w:sz w:val="24"/>
          <w:szCs w:val="24"/>
        </w:rPr>
        <w:t>确定参加采购活动供应商的方式</w:t>
      </w:r>
      <w:bookmarkEnd w:id="11"/>
    </w:p>
    <w:p>
      <w:pPr>
        <w:pStyle w:val="7"/>
        <w:spacing w:before="8"/>
        <w:rPr>
          <w:rFonts w:hint="eastAsia" w:ascii="仿宋_GB2312" w:hAnsi="仿宋_GB2312" w:eastAsia="仿宋_GB2312" w:cs="仿宋_GB2312"/>
          <w:b/>
          <w:sz w:val="24"/>
          <w:szCs w:val="24"/>
        </w:rPr>
      </w:pPr>
    </w:p>
    <w:tbl>
      <w:tblPr>
        <w:tblStyle w:val="14"/>
        <w:tblW w:w="8819" w:type="dxa"/>
        <w:tblInd w:w="11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85"/>
        <w:gridCol w:w="553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55" w:hRule="exact"/>
        </w:trPr>
        <w:tc>
          <w:tcPr>
            <w:tcW w:w="3285" w:type="dxa"/>
            <w:vAlign w:val="center"/>
          </w:tcPr>
          <w:p>
            <w:pPr>
              <w:pStyle w:val="20"/>
              <w:spacing w:line="276" w:lineRule="exact"/>
              <w:jc w:val="center"/>
              <w:rPr>
                <w:rFonts w:hint="eastAsia" w:ascii="仿宋_GB2312" w:hAnsi="仿宋_GB2312" w:eastAsia="仿宋_GB2312" w:cs="仿宋_GB2312"/>
                <w:i w:val="0"/>
                <w:iCs w:val="0"/>
                <w:color w:val="000000" w:themeColor="text1"/>
                <w:sz w:val="24"/>
                <w:szCs w:val="24"/>
                <w14:textFill>
                  <w14:solidFill>
                    <w14:schemeClr w14:val="tx1"/>
                  </w14:solidFill>
                </w14:textFill>
              </w:rPr>
            </w:pPr>
            <w:r>
              <w:rPr>
                <w:rFonts w:hint="eastAsia" w:ascii="仿宋_GB2312" w:hAnsi="仿宋_GB2312" w:eastAsia="仿宋_GB2312" w:cs="仿宋_GB2312"/>
                <w:i w:val="0"/>
                <w:iCs w:val="0"/>
                <w:color w:val="000000" w:themeColor="text1"/>
                <w:sz w:val="24"/>
                <w:szCs w:val="24"/>
                <w14:textFill>
                  <w14:solidFill>
                    <w14:schemeClr w14:val="tx1"/>
                  </w14:solidFill>
                </w14:textFill>
              </w:rPr>
              <w:t>采购</w:t>
            </w:r>
            <w:r>
              <w:rPr>
                <w:rFonts w:hint="eastAsia" w:ascii="仿宋_GB2312" w:hAnsi="仿宋_GB2312" w:eastAsia="仿宋_GB2312" w:cs="仿宋_GB2312"/>
                <w:i w:val="0"/>
                <w:iCs w:val="0"/>
                <w:color w:val="000000" w:themeColor="text1"/>
                <w:sz w:val="24"/>
                <w:szCs w:val="24"/>
                <w:lang w:eastAsia="zh-CN"/>
                <w14:textFill>
                  <w14:solidFill>
                    <w14:schemeClr w14:val="tx1"/>
                  </w14:solidFill>
                </w14:textFill>
              </w:rPr>
              <w:t>项目</w:t>
            </w:r>
          </w:p>
        </w:tc>
        <w:tc>
          <w:tcPr>
            <w:tcW w:w="5534" w:type="dxa"/>
            <w:vAlign w:val="center"/>
          </w:tcPr>
          <w:p>
            <w:pPr>
              <w:pStyle w:val="20"/>
              <w:spacing w:line="276" w:lineRule="exact"/>
              <w:ind w:left="100"/>
              <w:jc w:val="center"/>
              <w:rPr>
                <w:rFonts w:hint="eastAsia" w:ascii="仿宋_GB2312" w:hAnsi="仿宋_GB2312" w:eastAsia="仿宋_GB2312" w:cs="仿宋_GB2312"/>
                <w:i w:val="0"/>
                <w:iCs w:val="0"/>
                <w:color w:val="000000" w:themeColor="text1"/>
                <w:sz w:val="24"/>
                <w:szCs w:val="24"/>
                <w:lang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lang w:eastAsia="zh-CN"/>
                <w14:textFill>
                  <w14:solidFill>
                    <w14:schemeClr w14:val="tx1"/>
                  </w14:solidFill>
                </w14:textFill>
              </w:rPr>
              <w:t>供应商来源方式：</w:t>
            </w:r>
            <w:r>
              <w:rPr>
                <w:rFonts w:hint="eastAsia" w:ascii="仿宋_GB2312" w:hAnsi="仿宋_GB2312" w:eastAsia="仿宋_GB2312" w:cs="仿宋_GB2312"/>
                <w:i w:val="0"/>
                <w:iCs w:val="0"/>
                <w:color w:val="000000" w:themeColor="text1"/>
                <w:sz w:val="24"/>
                <w:szCs w:val="24"/>
                <w:lang w:val="en-US" w:eastAsia="zh-CN" w:bidi="ar-SA"/>
                <w14:textFill>
                  <w14:solidFill>
                    <w14:schemeClr w14:val="tx1"/>
                  </w14:solidFill>
                </w14:textFill>
              </w:rPr>
              <w:t>公开征集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5" w:hRule="exact"/>
        </w:trPr>
        <w:tc>
          <w:tcPr>
            <w:tcW w:w="3285" w:type="dxa"/>
            <w:vAlign w:val="center"/>
          </w:tcPr>
          <w:p>
            <w:pPr>
              <w:pStyle w:val="20"/>
              <w:spacing w:before="154"/>
              <w:ind w:left="103"/>
              <w:jc w:val="both"/>
              <w:rPr>
                <w:rFonts w:hint="eastAsia" w:ascii="仿宋_GB2312" w:hAnsi="仿宋_GB2312" w:eastAsia="仿宋_GB2312" w:cs="仿宋_GB2312"/>
                <w:i w:val="0"/>
                <w:iCs w:val="0"/>
                <w:color w:val="000000" w:themeColor="text1"/>
                <w:sz w:val="24"/>
                <w:szCs w:val="24"/>
                <w:lang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lang w:eastAsia="zh-CN"/>
                <w14:textFill>
                  <w14:solidFill>
                    <w14:schemeClr w14:val="tx1"/>
                  </w14:solidFill>
                </w14:textFill>
              </w:rPr>
              <w:t>人保财险西藏阿里分公司公务、农险、理赔用车车辆定点维修保养服务采购项目</w:t>
            </w:r>
          </w:p>
        </w:tc>
        <w:tc>
          <w:tcPr>
            <w:tcW w:w="5534" w:type="dxa"/>
            <w:vAlign w:val="center"/>
          </w:tcPr>
          <w:p>
            <w:pPr>
              <w:pStyle w:val="20"/>
              <w:keepNext w:val="0"/>
              <w:keepLines w:val="0"/>
              <w:pageBreakBefore w:val="0"/>
              <w:widowControl w:val="0"/>
              <w:kinsoku/>
              <w:wordWrap w:val="0"/>
              <w:overflowPunct/>
              <w:topLinePunct/>
              <w:autoSpaceDE/>
              <w:autoSpaceDN/>
              <w:bidi w:val="0"/>
              <w:adjustRightInd/>
              <w:snapToGrid/>
              <w:spacing w:line="274" w:lineRule="exact"/>
              <w:textAlignment w:val="auto"/>
              <w:rPr>
                <w:rFonts w:hint="eastAsia" w:ascii="仿宋_GB2312" w:hAnsi="仿宋_GB2312" w:eastAsia="仿宋_GB2312" w:cs="仿宋_GB2312"/>
                <w:b/>
                <w:i w:val="0"/>
                <w:iCs w:val="0"/>
                <w:color w:val="000000" w:themeColor="text1"/>
                <w:sz w:val="24"/>
                <w:szCs w:val="24"/>
                <w:lang w:val="en-GB" w:eastAsia="zh-CN"/>
                <w14:textFill>
                  <w14:solidFill>
                    <w14:schemeClr w14:val="tx1"/>
                  </w14:solidFill>
                </w14:textFill>
              </w:rPr>
            </w:pPr>
            <w:r>
              <w:rPr>
                <w:rFonts w:hint="eastAsia" w:ascii="仿宋_GB2312" w:hAnsi="仿宋_GB2312" w:eastAsia="仿宋_GB2312" w:cs="仿宋_GB2312"/>
                <w:i w:val="0"/>
                <w:iCs w:val="0"/>
                <w:color w:val="000000" w:themeColor="text1"/>
                <w:sz w:val="24"/>
                <w:szCs w:val="24"/>
                <w:lang w:eastAsia="zh-CN"/>
                <w14:textFill>
                  <w14:solidFill>
                    <w14:schemeClr w14:val="tx1"/>
                  </w14:solidFill>
                </w14:textFill>
              </w:rPr>
              <w:t>通过人保集团人保e采官网https://ec.picc.com/公开征集</w:t>
            </w:r>
          </w:p>
          <w:p>
            <w:pPr>
              <w:pStyle w:val="20"/>
              <w:spacing w:line="274" w:lineRule="exact"/>
              <w:ind w:firstLine="480" w:firstLineChars="200"/>
              <w:rPr>
                <w:rFonts w:hint="eastAsia" w:ascii="仿宋_GB2312" w:hAnsi="仿宋_GB2312" w:eastAsia="仿宋_GB2312" w:cs="仿宋_GB2312"/>
                <w:i w:val="0"/>
                <w:iCs w:val="0"/>
                <w:color w:val="000000" w:themeColor="text1"/>
                <w:sz w:val="24"/>
                <w:szCs w:val="24"/>
                <w:lang w:val="en-GB" w:eastAsia="zh-CN"/>
                <w14:textFill>
                  <w14:solidFill>
                    <w14:schemeClr w14:val="tx1"/>
                  </w14:solidFill>
                </w14:textFill>
              </w:rPr>
            </w:pPr>
          </w:p>
        </w:tc>
      </w:tr>
    </w:tbl>
    <w:p>
      <w:pPr>
        <w:pStyle w:val="2"/>
        <w:pageBreakBefore/>
        <w:tabs>
          <w:tab w:val="left" w:pos="425"/>
          <w:tab w:val="left" w:pos="4265"/>
        </w:tabs>
        <w:ind w:left="0" w:firstLine="0"/>
        <w:rPr>
          <w:rFonts w:hint="eastAsia" w:ascii="仿宋_GB2312" w:hAnsi="仿宋_GB2312" w:eastAsia="仿宋_GB2312" w:cs="仿宋_GB2312"/>
          <w:color w:val="auto"/>
          <w:sz w:val="24"/>
          <w:szCs w:val="24"/>
        </w:rPr>
      </w:pPr>
      <w:bookmarkStart w:id="12" w:name="_Toc6957"/>
      <w:bookmarkStart w:id="13" w:name="_Toc8109"/>
      <w:r>
        <w:rPr>
          <w:rFonts w:hint="eastAsia" w:ascii="仿宋_GB2312" w:hAnsi="仿宋_GB2312" w:eastAsia="仿宋_GB2312" w:cs="仿宋_GB2312"/>
          <w:color w:val="auto"/>
          <w:sz w:val="24"/>
          <w:szCs w:val="24"/>
        </w:rPr>
        <w:t>第四章  资格证明材料</w:t>
      </w:r>
      <w:bookmarkEnd w:id="12"/>
      <w:bookmarkEnd w:id="13"/>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供应商必须按磋商文件中的要求提交相关证明文件，并作为其响应文件的一部分，以证明其有资格参加竞争性磋商和成交后有履行合同的能力。</w:t>
      </w:r>
    </w:p>
    <w:p>
      <w:pPr>
        <w:pStyle w:val="18"/>
        <w:keepNext w:val="0"/>
        <w:keepLines w:val="0"/>
        <w:pageBreakBefore w:val="0"/>
        <w:widowControl w:val="0"/>
        <w:numPr>
          <w:ilvl w:val="0"/>
          <w:numId w:val="1"/>
        </w:numPr>
        <w:tabs>
          <w:tab w:val="left" w:pos="977"/>
        </w:tabs>
        <w:kinsoku/>
        <w:wordWrap/>
        <w:overflowPunct/>
        <w:topLinePunct w:val="0"/>
        <w:autoSpaceDE/>
        <w:autoSpaceDN/>
        <w:bidi w:val="0"/>
        <w:adjustRightInd/>
        <w:snapToGrid w:val="0"/>
        <w:spacing w:line="360" w:lineRule="auto"/>
        <w:ind w:left="0" w:leftChars="0" w:right="0" w:firstLine="482" w:firstLineChars="200"/>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供应商应当提供的资格证明材料及其他类似效力要求的相关证明材料：</w:t>
      </w:r>
    </w:p>
    <w:p>
      <w:pPr>
        <w:pStyle w:val="18"/>
        <w:keepNext w:val="0"/>
        <w:keepLines w:val="0"/>
        <w:pageBreakBefore w:val="0"/>
        <w:widowControl w:val="0"/>
        <w:numPr>
          <w:ilvl w:val="0"/>
          <w:numId w:val="2"/>
        </w:numPr>
        <w:tabs>
          <w:tab w:val="left" w:pos="977"/>
        </w:tabs>
        <w:kinsoku/>
        <w:wordWrap/>
        <w:overflowPunct/>
        <w:topLinePunct w:val="0"/>
        <w:autoSpaceDE/>
        <w:autoSpaceDN/>
        <w:bidi w:val="0"/>
        <w:adjustRightInd/>
        <w:snapToGrid w:val="0"/>
        <w:spacing w:line="360" w:lineRule="auto"/>
        <w:ind w:left="0" w:leftChars="0" w:right="0" w:firstLine="482" w:firstLineChars="200"/>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资格要求相关证明材料</w:t>
      </w:r>
    </w:p>
    <w:p>
      <w:pPr>
        <w:pStyle w:val="18"/>
        <w:keepNext w:val="0"/>
        <w:keepLines w:val="0"/>
        <w:pageBreakBefore w:val="0"/>
        <w:widowControl w:val="0"/>
        <w:tabs>
          <w:tab w:val="left" w:pos="977"/>
        </w:tabs>
        <w:kinsoku/>
        <w:wordWrap/>
        <w:overflowPunct/>
        <w:topLinePunct w:val="0"/>
        <w:autoSpaceDE/>
        <w:autoSpaceDN/>
        <w:bidi w:val="0"/>
        <w:adjustRightInd/>
        <w:snapToGrid w:val="0"/>
        <w:spacing w:line="360" w:lineRule="auto"/>
        <w:ind w:left="0" w:leftChars="0" w:right="0" w:firstLine="482" w:firstLineChars="200"/>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 xml:space="preserve"> 基础资质条件证明材料</w:t>
      </w:r>
    </w:p>
    <w:p>
      <w:pPr>
        <w:pStyle w:val="18"/>
        <w:keepNext w:val="0"/>
        <w:keepLines w:val="0"/>
        <w:pageBreakBefore w:val="0"/>
        <w:widowControl w:val="0"/>
        <w:tabs>
          <w:tab w:val="left" w:pos="977"/>
        </w:tabs>
        <w:kinsoku/>
        <w:wordWrap/>
        <w:overflowPunct/>
        <w:topLinePunct w:val="0"/>
        <w:autoSpaceDE/>
        <w:autoSpaceDN/>
        <w:bidi w:val="0"/>
        <w:adjustRightInd/>
        <w:snapToGrid w:val="0"/>
        <w:spacing w:line="360" w:lineRule="auto"/>
        <w:ind w:left="0" w:leftChars="0" w:right="0" w:firstLine="482" w:firstLineChars="200"/>
        <w:textAlignment w:val="auto"/>
        <w:outlineLvl w:val="9"/>
        <w:rPr>
          <w:rFonts w:hint="eastAsia" w:ascii="仿宋_GB2312" w:hAnsi="仿宋_GB2312" w:eastAsia="仿宋_GB2312" w:cs="仿宋_GB2312"/>
          <w:bCs w:val="0"/>
          <w:sz w:val="24"/>
          <w:szCs w:val="24"/>
          <w:lang w:eastAsia="zh-CN"/>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具有独立承担民事责任的能力；</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供应商若为企业法人：提供“统一社会信用代码营业执照”；未换证的提供“营业执照、税务登记证、组织机构代码证或三证合一的营业执照”；</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若为事业法人：提供“统一社会信用代码法人登记证书”；未换证的提交“事业法人登记证书、组织机构代码证”；</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若为其他组织：提供“对应主管部门颁发的准许执业证明文件或营业执照”；</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4</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若为自然人：提供“身份证明材料”。</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sz w:val="24"/>
          <w:szCs w:val="24"/>
        </w:rPr>
        <w:t>以上均提供复印件加盖公司鲜章，供应商</w:t>
      </w:r>
      <w:r>
        <w:rPr>
          <w:rFonts w:hint="eastAsia" w:ascii="仿宋_GB2312" w:hAnsi="仿宋_GB2312" w:eastAsia="仿宋_GB2312" w:cs="仿宋_GB2312"/>
          <w:b/>
          <w:bCs/>
          <w:sz w:val="24"/>
          <w:szCs w:val="24"/>
        </w:rPr>
        <w:t>可根据实际情况据实提供以上资料或提供承诺函。</w:t>
      </w:r>
    </w:p>
    <w:p>
      <w:pPr>
        <w:pStyle w:val="19"/>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仿宋_GB2312" w:hAnsi="仿宋_GB2312" w:eastAsia="仿宋_GB2312" w:cs="仿宋_GB2312"/>
          <w:b/>
          <w:sz w:val="24"/>
          <w:szCs w:val="24"/>
          <w:lang w:val="en-GB"/>
        </w:rPr>
      </w:pPr>
      <w:r>
        <w:rPr>
          <w:rFonts w:hint="eastAsia" w:ascii="仿宋_GB2312" w:hAnsi="仿宋_GB2312" w:eastAsia="仿宋_GB2312" w:cs="仿宋_GB2312"/>
          <w:b/>
          <w:sz w:val="24"/>
          <w:szCs w:val="24"/>
          <w:lang w:val="en-US" w:eastAsia="zh-CN"/>
        </w:rPr>
        <w:t>2.</w:t>
      </w:r>
      <w:r>
        <w:rPr>
          <w:rFonts w:hint="eastAsia" w:ascii="仿宋_GB2312" w:hAnsi="仿宋_GB2312" w:eastAsia="仿宋_GB2312" w:cs="仿宋_GB2312"/>
          <w:b/>
          <w:sz w:val="24"/>
          <w:szCs w:val="24"/>
        </w:rPr>
        <w:t>具有良好的商业信誉和健全的财务会计制度</w:t>
      </w:r>
      <w:r>
        <w:rPr>
          <w:rFonts w:hint="eastAsia" w:ascii="仿宋_GB2312" w:hAnsi="仿宋_GB2312" w:eastAsia="仿宋_GB2312" w:cs="仿宋_GB2312"/>
          <w:b/>
          <w:sz w:val="24"/>
          <w:szCs w:val="24"/>
          <w:lang w:val="en-GB"/>
        </w:rPr>
        <w:t>:</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可提供至磋商当年度前2年度内任意1年度经审计的财务报告（包含审计报告和审计报告中所涉及的财务报表和报表附注）；</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可提供至磋商当年度前2年度内任意1年度供应商内部的财务报表复印件（至少包含资产负债表、利润表、现金流量表）；</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3</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可提供距响应文件递交截止日一年内银行出具的资信证明；</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4</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可提供承诺函；</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5</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供应商注册时间至响应文件递交截止日不足一年的，也可提供在工商备案的公司章程；</w:t>
      </w:r>
    </w:p>
    <w:p>
      <w:pPr>
        <w:pStyle w:val="19"/>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6</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如果供应商为事业单位，根据实际情况提供证明材料。</w:t>
      </w:r>
    </w:p>
    <w:p>
      <w:pPr>
        <w:pStyle w:val="19"/>
        <w:keepNext w:val="0"/>
        <w:keepLines w:val="0"/>
        <w:pageBreakBefore w:val="0"/>
        <w:widowControl w:val="0"/>
        <w:kinsoku/>
        <w:wordWrap/>
        <w:overflowPunct/>
        <w:topLinePunct w:val="0"/>
        <w:autoSpaceDE/>
        <w:autoSpaceDN/>
        <w:bidi w:val="0"/>
        <w:adjustRightInd/>
        <w:snapToGrid w:val="0"/>
        <w:spacing w:line="360" w:lineRule="auto"/>
        <w:ind w:left="0" w:leftChars="0" w:right="0"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sz w:val="24"/>
          <w:szCs w:val="24"/>
        </w:rPr>
        <w:t>以上均提供复印件加盖公司鲜章，供应商</w:t>
      </w:r>
      <w:r>
        <w:rPr>
          <w:rFonts w:hint="eastAsia" w:ascii="仿宋_GB2312" w:hAnsi="仿宋_GB2312" w:eastAsia="仿宋_GB2312" w:cs="仿宋_GB2312"/>
          <w:b/>
          <w:bCs/>
          <w:sz w:val="24"/>
          <w:szCs w:val="24"/>
        </w:rPr>
        <w:t>可根据实际情况据实任选其一提供。</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3.</w:t>
      </w:r>
      <w:r>
        <w:rPr>
          <w:rFonts w:hint="eastAsia" w:ascii="仿宋_GB2312" w:hAnsi="仿宋_GB2312" w:eastAsia="仿宋_GB2312" w:cs="仿宋_GB2312"/>
          <w:b/>
          <w:sz w:val="24"/>
          <w:szCs w:val="24"/>
        </w:rPr>
        <w:t>具有履行合同所必需的专业技术能力证明材料</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提供资质证书（若有）或承诺函，加盖公司鲜章。 </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4.</w:t>
      </w:r>
      <w:r>
        <w:rPr>
          <w:rFonts w:hint="eastAsia" w:ascii="仿宋_GB2312" w:hAnsi="仿宋_GB2312" w:eastAsia="仿宋_GB2312" w:cs="仿宋_GB2312"/>
          <w:b/>
          <w:sz w:val="24"/>
          <w:szCs w:val="24"/>
        </w:rPr>
        <w:t>有依法缴纳税收和社会保障资金的良好记录</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可提供磋商当日前6个月内任意</w:t>
      </w:r>
      <w:r>
        <w:rPr>
          <w:rFonts w:hint="eastAsia" w:ascii="仿宋_GB2312" w:hAnsi="仿宋_GB2312" w:eastAsia="仿宋_GB2312" w:cs="仿宋_GB2312"/>
          <w:sz w:val="24"/>
          <w:szCs w:val="24"/>
          <w:lang w:eastAsia="zh-CN"/>
        </w:rPr>
        <w:t>三个</w:t>
      </w:r>
      <w:r>
        <w:rPr>
          <w:rFonts w:hint="eastAsia" w:ascii="仿宋_GB2312" w:hAnsi="仿宋_GB2312" w:eastAsia="仿宋_GB2312" w:cs="仿宋_GB2312"/>
          <w:sz w:val="24"/>
          <w:szCs w:val="24"/>
        </w:rPr>
        <w:t>月缴纳税收的凭证复印件（缴纳凭证复印件须清晰可辨，并能显示出税种种类，单位代扣代缴的个人所得税不能作为单位纳税的凭证。依法免税的供应商，应提供相应文件证明其依法免税）、磋商当日前6个月内任意</w:t>
      </w:r>
      <w:r>
        <w:rPr>
          <w:rFonts w:hint="eastAsia" w:ascii="仿宋_GB2312" w:hAnsi="仿宋_GB2312" w:eastAsia="仿宋_GB2312" w:cs="仿宋_GB2312"/>
          <w:sz w:val="24"/>
          <w:szCs w:val="24"/>
          <w:lang w:eastAsia="zh-CN"/>
        </w:rPr>
        <w:t>三个</w:t>
      </w:r>
      <w:r>
        <w:rPr>
          <w:rFonts w:hint="eastAsia" w:ascii="仿宋_GB2312" w:hAnsi="仿宋_GB2312" w:eastAsia="仿宋_GB2312" w:cs="仿宋_GB2312"/>
          <w:sz w:val="24"/>
          <w:szCs w:val="24"/>
        </w:rPr>
        <w:t>月依法缴纳社会保障资金的入账票据凭证（按月缴纳）或提供参加本次采购活动上一年度缴纳社会保障资金的入账票据凭证（按年度缴纳）复印件（依法不需要缴纳社会保障资金的或由第三方机构代缴的，应提供相应文件说明）；</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2</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可提供承诺函加盖公司鲜章；</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5.</w:t>
      </w:r>
      <w:r>
        <w:rPr>
          <w:rFonts w:hint="eastAsia" w:ascii="仿宋_GB2312" w:hAnsi="仿宋_GB2312" w:eastAsia="仿宋_GB2312" w:cs="仿宋_GB2312"/>
          <w:b/>
          <w:sz w:val="24"/>
          <w:szCs w:val="24"/>
        </w:rPr>
        <w:t>经营状况良好，且近三年内无重大违法违规记录或失信行为，没有骗取中标和严重违约的行为；</w:t>
      </w:r>
    </w:p>
    <w:p>
      <w:pPr>
        <w:pStyle w:val="7"/>
        <w:keepNext w:val="0"/>
        <w:keepLines w:val="0"/>
        <w:pageBreakBefore w:val="0"/>
        <w:widowControl w:val="0"/>
        <w:kinsoku/>
        <w:wordWrap w:val="0"/>
        <w:overflowPunct/>
        <w:topLinePunct/>
        <w:autoSpaceDE/>
        <w:autoSpaceDN/>
        <w:bidi w:val="0"/>
        <w:adjustRightInd/>
        <w:snapToGrid w:val="0"/>
        <w:spacing w:after="0" w:line="360" w:lineRule="auto"/>
        <w:ind w:left="0" w:leftChars="0" w:right="0" w:firstLine="480" w:firstLineChars="200"/>
        <w:textAlignment w:val="auto"/>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lang w:val="en-US" w:eastAsia="zh-CN"/>
        </w:rPr>
        <w:t>1</w:t>
      </w:r>
      <w:r>
        <w:rPr>
          <w:rFonts w:hint="eastAsia" w:ascii="仿宋_GB2312" w:hAnsi="仿宋_GB2312" w:eastAsia="仿宋_GB2312" w:cs="仿宋_GB2312"/>
          <w:bCs/>
          <w:sz w:val="24"/>
          <w:szCs w:val="24"/>
          <w:lang w:eastAsia="zh-CN"/>
        </w:rPr>
        <w:t>）</w:t>
      </w:r>
      <w:r>
        <w:rPr>
          <w:rFonts w:hint="eastAsia" w:ascii="仿宋_GB2312" w:hAnsi="仿宋_GB2312" w:eastAsia="仿宋_GB2312" w:cs="仿宋_GB2312"/>
          <w:bCs/>
          <w:sz w:val="24"/>
          <w:szCs w:val="24"/>
        </w:rPr>
        <w:t>可提供自磋商公告发布之日至响应截止之日期间对以上三项内容的查询截图并加盖公章。信用中国查询网址：https://www.creditchina.gov.cn/xinyongfuwu/?navPage=5；</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提供承诺函加盖公司鲜章。</w:t>
      </w:r>
    </w:p>
    <w:p>
      <w:pPr>
        <w:pStyle w:val="7"/>
        <w:keepNext w:val="0"/>
        <w:keepLines w:val="0"/>
        <w:pageBreakBefore w:val="0"/>
        <w:widowControl w:val="0"/>
        <w:kinsoku/>
        <w:wordWrap/>
        <w:overflowPunct/>
        <w:topLinePunct w:val="0"/>
        <w:autoSpaceDE/>
        <w:autoSpaceDN/>
        <w:bidi w:val="0"/>
        <w:adjustRightInd/>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6.</w:t>
      </w:r>
      <w:r>
        <w:rPr>
          <w:rFonts w:hint="eastAsia" w:ascii="仿宋_GB2312" w:hAnsi="仿宋_GB2312" w:eastAsia="仿宋_GB2312" w:cs="仿宋_GB2312"/>
          <w:b/>
          <w:sz w:val="24"/>
          <w:szCs w:val="24"/>
        </w:rPr>
        <w:t>未被列入公司供应商黑名单或已不在禁入期内；</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提供承诺函加盖公司鲜章。</w:t>
      </w:r>
    </w:p>
    <w:p>
      <w:pPr>
        <w:pStyle w:val="7"/>
        <w:keepNext w:val="0"/>
        <w:keepLines w:val="0"/>
        <w:pageBreakBefore w:val="0"/>
        <w:widowControl w:val="0"/>
        <w:kinsoku/>
        <w:wordWrap/>
        <w:overflowPunct/>
        <w:topLinePunct w:val="0"/>
        <w:autoSpaceDE/>
        <w:autoSpaceDN/>
        <w:bidi w:val="0"/>
        <w:adjustRightInd/>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lang w:val="en-US" w:eastAsia="zh-CN"/>
        </w:rPr>
        <w:t>7.</w:t>
      </w:r>
      <w:r>
        <w:rPr>
          <w:rFonts w:hint="eastAsia" w:ascii="仿宋_GB2312" w:hAnsi="仿宋_GB2312" w:eastAsia="仿宋_GB2312" w:cs="仿宋_GB2312"/>
          <w:b/>
          <w:sz w:val="24"/>
          <w:szCs w:val="24"/>
        </w:rPr>
        <w:t>单位负责人为同一人或存在控股、管理关系的不同单位，不得参加同一采购项目；</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提供承诺函加盖公司鲜章。</w:t>
      </w:r>
    </w:p>
    <w:p>
      <w:pPr>
        <w:pStyle w:val="7"/>
        <w:keepNext w:val="0"/>
        <w:keepLines w:val="0"/>
        <w:pageBreakBefore w:val="0"/>
        <w:widowControl w:val="0"/>
        <w:kinsoku/>
        <w:wordWrap/>
        <w:overflowPunct/>
        <w:topLinePunct w:val="0"/>
        <w:autoSpaceDE/>
        <w:autoSpaceDN/>
        <w:bidi w:val="0"/>
        <w:adjustRightInd/>
        <w:ind w:left="0" w:leftChars="0" w:right="0" w:firstLine="482" w:firstLineChars="200"/>
        <w:textAlignment w:val="auto"/>
        <w:rPr>
          <w:rFonts w:hint="eastAsia" w:ascii="仿宋_GB2312" w:hAnsi="仿宋_GB2312" w:eastAsia="仿宋_GB2312" w:cs="仿宋_GB2312"/>
          <w:b/>
          <w:sz w:val="24"/>
          <w:szCs w:val="24"/>
          <w:lang w:val="en-US" w:eastAsia="zh-CN"/>
        </w:rPr>
      </w:pPr>
      <w:r>
        <w:rPr>
          <w:rFonts w:hint="eastAsia" w:ascii="仿宋_GB2312" w:hAnsi="仿宋_GB2312" w:eastAsia="仿宋_GB2312" w:cs="仿宋_GB2312"/>
          <w:b/>
          <w:sz w:val="24"/>
          <w:szCs w:val="24"/>
          <w:lang w:val="en-US" w:eastAsia="zh-CN"/>
        </w:rPr>
        <w:t>8.</w:t>
      </w:r>
      <w:r>
        <w:rPr>
          <w:rFonts w:hint="eastAsia" w:ascii="仿宋_GB2312" w:hAnsi="仿宋_GB2312" w:eastAsia="仿宋_GB2312" w:cs="仿宋_GB2312"/>
          <w:b/>
          <w:sz w:val="24"/>
          <w:szCs w:val="24"/>
        </w:rPr>
        <w:t>本项目不接受联合体</w:t>
      </w:r>
      <w:r>
        <w:rPr>
          <w:rFonts w:hint="eastAsia" w:ascii="仿宋_GB2312" w:hAnsi="仿宋_GB2312" w:eastAsia="仿宋_GB2312" w:cs="仿宋_GB2312"/>
          <w:b/>
          <w:sz w:val="24"/>
          <w:szCs w:val="24"/>
          <w:lang w:val="en-US" w:eastAsia="zh-CN"/>
        </w:rPr>
        <w:t>及不得分包、转包。</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提供承诺函加盖公司鲜章。</w:t>
      </w:r>
    </w:p>
    <w:p>
      <w:pPr>
        <w:pStyle w:val="7"/>
        <w:keepNext w:val="0"/>
        <w:keepLines w:val="0"/>
        <w:pageBreakBefore w:val="0"/>
        <w:widowControl w:val="0"/>
        <w:kinsoku/>
        <w:wordWrap/>
        <w:overflowPunct/>
        <w:topLinePunct w:val="0"/>
        <w:autoSpaceDE/>
        <w:autoSpaceDN/>
        <w:bidi w:val="0"/>
        <w:adjustRightInd/>
        <w:snapToGrid w:val="0"/>
        <w:spacing w:after="0" w:line="360" w:lineRule="auto"/>
        <w:ind w:left="0" w:leftChars="0" w:right="0" w:firstLine="482" w:firstLineChars="200"/>
        <w:textAlignment w:val="auto"/>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（二）其他</w:t>
      </w:r>
      <w:r>
        <w:rPr>
          <w:rFonts w:hint="eastAsia" w:ascii="仿宋_GB2312" w:hAnsi="仿宋_GB2312" w:eastAsia="仿宋_GB2312" w:cs="仿宋_GB2312"/>
          <w:b/>
          <w:sz w:val="24"/>
          <w:szCs w:val="24"/>
          <w:lang w:val="en-GB"/>
        </w:rPr>
        <w:t>需提供</w:t>
      </w:r>
      <w:r>
        <w:rPr>
          <w:rFonts w:hint="eastAsia" w:ascii="仿宋_GB2312" w:hAnsi="仿宋_GB2312" w:eastAsia="仿宋_GB2312" w:cs="仿宋_GB2312"/>
          <w:b/>
          <w:sz w:val="24"/>
          <w:szCs w:val="24"/>
        </w:rPr>
        <w:t>材料：</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1.法定代表人身份证复印件或护照复印件［注：①法定代表人身份证复印件（在有效期内、两面均应复印）或护照复印件（法定代表人为外籍人士的，按此提供）；②复印件加盖公章]。</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2.授权代表身份证复印件（身份证两面均应复印）（注：①在有效期内；②复印件加盖公章；③由供应商法定代表人签署所有磋商文件并参加磋商的，则可不提供）。</w:t>
      </w:r>
    </w:p>
    <w:p>
      <w:pPr>
        <w:keepNext w:val="0"/>
        <w:keepLines w:val="0"/>
        <w:pageBreakBefore w:val="0"/>
        <w:widowControl w:val="0"/>
        <w:kinsoku/>
        <w:wordWrap/>
        <w:overflowPunct/>
        <w:topLinePunct w:val="0"/>
        <w:autoSpaceDE/>
        <w:autoSpaceDN/>
        <w:bidi w:val="0"/>
        <w:adjustRightInd/>
        <w:snapToGrid w:val="0"/>
        <w:spacing w:line="360" w:lineRule="auto"/>
        <w:ind w:left="0" w:leftChars="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3.法定代表人授权书原件（法定代表人不参与磋商而委托授权代表磋商适用）或法定代表人身份证明原件（法定代表人磋商而非委托授权代表磋商适用）。</w:t>
      </w: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pPr>
        <w:pStyle w:val="3"/>
        <w:tabs>
          <w:tab w:val="left" w:pos="720"/>
        </w:tabs>
        <w:adjustRightInd w:val="0"/>
        <w:snapToGrid w:val="0"/>
        <w:spacing w:before="0" w:after="0"/>
        <w:rPr>
          <w:rFonts w:hint="eastAsia" w:ascii="仿宋_GB2312" w:hAnsi="仿宋_GB2312" w:eastAsia="仿宋_GB2312" w:cs="仿宋_GB2312"/>
          <w:sz w:val="24"/>
          <w:szCs w:val="24"/>
        </w:rPr>
      </w:pPr>
      <w:bookmarkStart w:id="14" w:name="_Toc21484"/>
      <w:r>
        <w:rPr>
          <w:rFonts w:hint="eastAsia" w:ascii="仿宋_GB2312" w:hAnsi="仿宋_GB2312" w:eastAsia="仿宋_GB2312" w:cs="仿宋_GB2312"/>
          <w:sz w:val="24"/>
          <w:szCs w:val="24"/>
        </w:rPr>
        <w:t>附件4.1书面承诺函</w:t>
      </w:r>
      <w:bookmarkEnd w:id="14"/>
      <w:r>
        <w:rPr>
          <w:rFonts w:hint="eastAsia" w:ascii="仿宋_GB2312" w:hAnsi="仿宋_GB2312" w:eastAsia="仿宋_GB2312" w:cs="仿宋_GB2312"/>
          <w:sz w:val="24"/>
          <w:szCs w:val="24"/>
        </w:rPr>
        <w:t xml:space="preserve"> </w:t>
      </w:r>
    </w:p>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书面承诺</w:t>
      </w:r>
    </w:p>
    <w:p>
      <w:pPr>
        <w:tabs>
          <w:tab w:val="left" w:pos="5580"/>
        </w:tabs>
        <w:spacing w:line="360" w:lineRule="auto"/>
        <w:rPr>
          <w:rFonts w:hint="eastAsia" w:ascii="仿宋_GB2312" w:hAnsi="仿宋_GB2312" w:eastAsia="仿宋_GB2312" w:cs="仿宋_GB2312"/>
          <w:sz w:val="24"/>
          <w:szCs w:val="24"/>
        </w:rPr>
      </w:pPr>
    </w:p>
    <w:p>
      <w:pPr>
        <w:tabs>
          <w:tab w:val="left" w:pos="5580"/>
        </w:tabs>
        <w:spacing w:line="360" w:lineRule="auto"/>
        <w:rPr>
          <w:rFonts w:hint="eastAsia" w:ascii="仿宋_GB2312" w:hAnsi="仿宋_GB2312" w:eastAsia="仿宋_GB2312" w:cs="仿宋_GB2312"/>
          <w:i/>
          <w:color w:val="0000CC"/>
          <w:sz w:val="24"/>
          <w:szCs w:val="24"/>
        </w:rPr>
      </w:pPr>
      <w:r>
        <w:rPr>
          <w:rFonts w:hint="eastAsia" w:ascii="仿宋_GB2312" w:hAnsi="仿宋_GB2312" w:eastAsia="仿宋_GB2312" w:cs="仿宋_GB2312"/>
          <w:sz w:val="24"/>
          <w:szCs w:val="24"/>
        </w:rPr>
        <w:t>致：</w:t>
      </w:r>
      <w:r>
        <w:rPr>
          <w:rFonts w:hint="eastAsia" w:ascii="仿宋_GB2312" w:hAnsi="仿宋_GB2312" w:eastAsia="仿宋_GB2312" w:cs="仿宋_GB2312"/>
          <w:sz w:val="24"/>
          <w:szCs w:val="24"/>
          <w:u w:val="single"/>
        </w:rPr>
        <w:t>中国人民财产保险股份有限公司</w:t>
      </w:r>
      <w:r>
        <w:rPr>
          <w:rFonts w:hint="eastAsia" w:ascii="仿宋_GB2312" w:hAnsi="仿宋_GB2312" w:eastAsia="仿宋_GB2312" w:cs="仿宋_GB2312"/>
          <w:sz w:val="24"/>
          <w:szCs w:val="24"/>
          <w:u w:val="single"/>
          <w:lang w:val="en-US" w:eastAsia="zh-CN"/>
        </w:rPr>
        <w:t>阿里</w:t>
      </w:r>
      <w:r>
        <w:rPr>
          <w:rFonts w:hint="eastAsia" w:ascii="仿宋_GB2312" w:hAnsi="仿宋_GB2312" w:eastAsia="仿宋_GB2312" w:cs="仿宋_GB2312"/>
          <w:sz w:val="24"/>
          <w:szCs w:val="24"/>
          <w:u w:val="single"/>
        </w:rPr>
        <w:t>分公司</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我公司承诺如下：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1、我公司具备具有履行合同所必需的设备和专业技术能力；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2、我公司经营状况良好，在参加此项采购活动前三年内（</w:t>
      </w:r>
      <w:r>
        <w:rPr>
          <w:rFonts w:hint="eastAsia" w:ascii="仿宋_GB2312" w:hAnsi="仿宋_GB2312" w:eastAsia="仿宋_GB2312" w:cs="仿宋_GB2312"/>
          <w:sz w:val="24"/>
          <w:szCs w:val="24"/>
          <w:lang w:val="en-US" w:eastAsia="zh-CN"/>
        </w:rPr>
        <w:t>2022</w:t>
      </w:r>
      <w:r>
        <w:rPr>
          <w:rFonts w:hint="eastAsia" w:ascii="仿宋_GB2312" w:hAnsi="仿宋_GB2312" w:eastAsia="仿宋_GB2312" w:cs="仿宋_GB2312"/>
          <w:sz w:val="24"/>
          <w:szCs w:val="24"/>
        </w:rPr>
        <w:t>年</w:t>
      </w: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31</w:t>
      </w:r>
      <w:r>
        <w:rPr>
          <w:rFonts w:hint="eastAsia" w:ascii="仿宋_GB2312" w:hAnsi="仿宋_GB2312" w:eastAsia="仿宋_GB2312" w:cs="仿宋_GB2312"/>
          <w:sz w:val="24"/>
          <w:szCs w:val="24"/>
        </w:rPr>
        <w:t>日至磋商当日），在经营活动中没有重大违法记录（重大违法记录是指因违法经营受到刑事处罚或者责令停产停业、吊销许可证或者执照、较大数额罚款等行政处罚）、没有骗取中标和严重违约的行为；</w:t>
      </w:r>
    </w:p>
    <w:p>
      <w:pPr>
        <w:pStyle w:val="7"/>
        <w:keepNext w:val="0"/>
        <w:keepLines w:val="0"/>
        <w:pageBreakBefore w:val="0"/>
        <w:widowControl w:val="0"/>
        <w:kinsoku/>
        <w:wordWrap/>
        <w:overflowPunct/>
        <w:topLinePunct w:val="0"/>
        <w:autoSpaceDE/>
        <w:autoSpaceDN/>
        <w:bidi w:val="0"/>
        <w:adjustRightInd/>
        <w:snapToGrid/>
        <w:spacing w:after="0"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3、我公司承诺与参与本项目的其他供应商单位负责人非同一人、不存在控股、管理关系；</w:t>
      </w:r>
    </w:p>
    <w:p>
      <w:pPr>
        <w:pStyle w:val="7"/>
        <w:keepNext w:val="0"/>
        <w:keepLines w:val="0"/>
        <w:pageBreakBefore w:val="0"/>
        <w:widowControl w:val="0"/>
        <w:kinsoku/>
        <w:wordWrap/>
        <w:overflowPunct/>
        <w:topLinePunct w:val="0"/>
        <w:autoSpaceDE/>
        <w:autoSpaceDN/>
        <w:bidi w:val="0"/>
        <w:adjustRightInd/>
        <w:snapToGrid/>
        <w:spacing w:after="0"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4、我公司承诺未被贵公司列入供应商黑名单、不在供应商禁入期内；</w:t>
      </w:r>
    </w:p>
    <w:p>
      <w:pPr>
        <w:pStyle w:val="7"/>
        <w:keepNext w:val="0"/>
        <w:keepLines w:val="0"/>
        <w:pageBreakBefore w:val="0"/>
        <w:widowControl w:val="0"/>
        <w:kinsoku/>
        <w:wordWrap/>
        <w:overflowPunct/>
        <w:topLinePunct w:val="0"/>
        <w:autoSpaceDE/>
        <w:autoSpaceDN/>
        <w:bidi w:val="0"/>
        <w:adjustRightInd/>
        <w:snapToGrid/>
        <w:spacing w:after="0" w:line="360" w:lineRule="auto"/>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5、我公司承诺非联合体参与项目采购；</w:t>
      </w:r>
    </w:p>
    <w:p>
      <w:pPr>
        <w:pStyle w:val="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仿宋_GB2312" w:hAnsi="仿宋_GB2312" w:eastAsia="仿宋_GB2312" w:cs="仿宋_GB2312"/>
          <w:i w:val="0"/>
          <w:iCs/>
          <w:color w:val="0000CC"/>
          <w:sz w:val="24"/>
          <w:szCs w:val="24"/>
        </w:rPr>
      </w:pPr>
      <w:r>
        <w:rPr>
          <w:rFonts w:hint="eastAsia" w:ascii="仿宋_GB2312" w:hAnsi="仿宋_GB2312" w:eastAsia="仿宋_GB2312" w:cs="仿宋_GB2312"/>
          <w:sz w:val="24"/>
          <w:szCs w:val="24"/>
        </w:rPr>
        <w:t>6、具有良好的商业信誉和健全的财务会计制度；</w:t>
      </w:r>
    </w:p>
    <w:p>
      <w:pPr>
        <w:pStyle w:val="7"/>
        <w:keepNext w:val="0"/>
        <w:keepLines w:val="0"/>
        <w:pageBreakBefore w:val="0"/>
        <w:widowControl w:val="0"/>
        <w:kinsoku/>
        <w:wordWrap/>
        <w:overflowPunct/>
        <w:topLinePunct w:val="0"/>
        <w:autoSpaceDE/>
        <w:autoSpaceDN/>
        <w:bidi w:val="0"/>
        <w:adjustRightInd/>
        <w:snapToGrid/>
        <w:spacing w:after="0" w:line="360" w:lineRule="auto"/>
        <w:ind w:firstLine="480" w:firstLineChars="200"/>
        <w:textAlignment w:val="auto"/>
        <w:rPr>
          <w:rFonts w:hint="eastAsia" w:ascii="仿宋_GB2312" w:hAnsi="仿宋_GB2312" w:eastAsia="仿宋_GB2312" w:cs="仿宋_GB2312"/>
          <w:i w:val="0"/>
          <w:iCs/>
          <w:color w:val="0000CC"/>
          <w:sz w:val="24"/>
          <w:szCs w:val="24"/>
        </w:rPr>
      </w:pPr>
      <w:r>
        <w:rPr>
          <w:rFonts w:hint="eastAsia" w:ascii="仿宋_GB2312" w:hAnsi="仿宋_GB2312" w:eastAsia="仿宋_GB2312" w:cs="仿宋_GB2312"/>
          <w:sz w:val="24"/>
          <w:szCs w:val="24"/>
        </w:rPr>
        <w:t>7、有依法缴纳税收和社会保障资金的良好记录；</w:t>
      </w:r>
    </w:p>
    <w:p>
      <w:pPr>
        <w:spacing w:line="360" w:lineRule="auto"/>
        <w:ind w:firstLine="48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若我公司不符合上述要求，我公司将无条件地退出本项目，并承担因此引起的一切后果。特此声明。</w:t>
      </w:r>
    </w:p>
    <w:p>
      <w:pPr>
        <w:spacing w:line="360" w:lineRule="auto"/>
        <w:rPr>
          <w:rFonts w:hint="eastAsia" w:ascii="仿宋_GB2312" w:hAnsi="仿宋_GB2312" w:eastAsia="仿宋_GB2312" w:cs="仿宋_GB2312"/>
          <w:sz w:val="24"/>
          <w:szCs w:val="24"/>
        </w:rPr>
      </w:pPr>
    </w:p>
    <w:p>
      <w:pPr>
        <w:pStyle w:val="21"/>
        <w:adjustRightInd/>
        <w:snapToGrid/>
        <w:spacing w:after="0"/>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供应商名称：</w:t>
      </w:r>
      <w:r>
        <w:rPr>
          <w:rFonts w:hint="eastAsia" w:ascii="仿宋_GB2312" w:hAnsi="仿宋_GB2312" w:eastAsia="仿宋_GB2312" w:cs="仿宋_GB2312"/>
          <w:sz w:val="24"/>
          <w:szCs w:val="24"/>
          <w:u w:val="single"/>
        </w:rPr>
        <w:t>公章</w:t>
      </w:r>
    </w:p>
    <w:p>
      <w:pPr>
        <w:spacing w:line="360" w:lineRule="auto"/>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 xml:space="preserve">法定代表人或其授权代表签字或签章：       </w:t>
      </w:r>
    </w:p>
    <w:p>
      <w:pPr>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日期：</w:t>
      </w:r>
    </w:p>
    <w:p>
      <w:pPr>
        <w:rPr>
          <w:rFonts w:hint="eastAsia" w:ascii="仿宋_GB2312" w:hAnsi="仿宋_GB2312" w:eastAsia="仿宋_GB2312" w:cs="仿宋_GB2312"/>
          <w:sz w:val="24"/>
          <w:szCs w:val="24"/>
        </w:rPr>
      </w:pPr>
    </w:p>
    <w:p>
      <w:pPr>
        <w:pStyle w:val="2"/>
        <w:pageBreakBefore/>
        <w:tabs>
          <w:tab w:val="left" w:pos="425"/>
          <w:tab w:val="left" w:pos="4265"/>
        </w:tabs>
        <w:ind w:left="0" w:firstLine="2626" w:firstLineChars="1090"/>
        <w:jc w:val="left"/>
        <w:rPr>
          <w:rFonts w:hint="eastAsia" w:ascii="仿宋_GB2312" w:hAnsi="仿宋_GB2312" w:eastAsia="仿宋_GB2312" w:cs="仿宋_GB2312"/>
          <w:color w:val="auto"/>
          <w:sz w:val="24"/>
          <w:szCs w:val="24"/>
        </w:rPr>
      </w:pPr>
      <w:bookmarkStart w:id="15" w:name="_Toc32086"/>
      <w:bookmarkStart w:id="16" w:name="_Toc4181"/>
      <w:r>
        <w:rPr>
          <w:rFonts w:hint="eastAsia" w:ascii="仿宋_GB2312" w:hAnsi="仿宋_GB2312" w:eastAsia="仿宋_GB2312" w:cs="仿宋_GB2312"/>
          <w:color w:val="auto"/>
          <w:sz w:val="24"/>
          <w:szCs w:val="24"/>
        </w:rPr>
        <w:t>第五章 采购项目要求</w:t>
      </w:r>
      <w:bookmarkEnd w:id="15"/>
      <w:bookmarkEnd w:id="16"/>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一、采购项目背景</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随着公司业务的不断拓展，人保财险</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阿里</w:t>
      </w:r>
      <w:r>
        <w:rPr>
          <w:rFonts w:hint="eastAsia" w:ascii="仿宋_GB2312" w:hAnsi="仿宋_GB2312" w:eastAsia="仿宋_GB2312" w:cs="仿宋_GB2312"/>
          <w:i w:val="0"/>
          <w:iCs/>
          <w:color w:val="000000" w:themeColor="text1"/>
          <w:sz w:val="24"/>
          <w:szCs w:val="24"/>
          <w14:textFill>
            <w14:solidFill>
              <w14:schemeClr w14:val="tx1"/>
            </w14:solidFill>
          </w14:textFill>
        </w:rPr>
        <w:t>分公司公车使用频率增加，车辆损耗加剧，对维修和保养服务的需求日益迫切。为确保公车安全、稳定运行，保障公司业务正常开展，需采购专业、优质的公车维修和保养服务。</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二、采购内容</w:t>
      </w:r>
    </w:p>
    <w:p>
      <w:pPr>
        <w:spacing w:line="360" w:lineRule="auto"/>
        <w:ind w:firstLine="480" w:firstLineChars="200"/>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1.拟</w:t>
      </w:r>
      <w:r>
        <w:rPr>
          <w:rFonts w:hint="eastAsia" w:ascii="仿宋_GB2312" w:hAnsi="仿宋_GB2312" w:eastAsia="仿宋_GB2312" w:cs="仿宋_GB2312"/>
          <w:i w:val="0"/>
          <w:iCs/>
          <w:color w:val="000000" w:themeColor="text1"/>
          <w:sz w:val="24"/>
          <w:szCs w:val="24"/>
          <w14:textFill>
            <w14:solidFill>
              <w14:schemeClr w14:val="tx1"/>
            </w14:solidFill>
          </w14:textFill>
        </w:rPr>
        <w:t>对</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阿里</w:t>
      </w:r>
      <w:r>
        <w:rPr>
          <w:rFonts w:hint="eastAsia" w:ascii="仿宋_GB2312" w:hAnsi="仿宋_GB2312" w:eastAsia="仿宋_GB2312" w:cs="仿宋_GB2312"/>
          <w:i w:val="0"/>
          <w:iCs/>
          <w:color w:val="000000" w:themeColor="text1"/>
          <w:sz w:val="24"/>
          <w:szCs w:val="24"/>
          <w14:textFill>
            <w14:solidFill>
              <w14:schemeClr w14:val="tx1"/>
            </w14:solidFill>
          </w14:textFill>
        </w:rPr>
        <w:t>分公司公务用车及农险、理赔共</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19</w:t>
      </w:r>
      <w:r>
        <w:rPr>
          <w:rFonts w:hint="eastAsia" w:ascii="仿宋_GB2312" w:hAnsi="仿宋_GB2312" w:eastAsia="仿宋_GB2312" w:cs="仿宋_GB2312"/>
          <w:i w:val="0"/>
          <w:iCs/>
          <w:color w:val="000000" w:themeColor="text1"/>
          <w:sz w:val="24"/>
          <w:szCs w:val="24"/>
          <w14:textFill>
            <w14:solidFill>
              <w14:schemeClr w14:val="tx1"/>
            </w14:solidFill>
          </w14:textFill>
        </w:rPr>
        <w:t>台车进行日常保养、故障维修、零部件更换、紧急救援等服务采购</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1</w:t>
      </w:r>
      <w:r>
        <w:rPr>
          <w:rFonts w:hint="eastAsia" w:ascii="仿宋_GB2312" w:hAnsi="仿宋_GB2312" w:eastAsia="仿宋_GB2312" w:cs="仿宋_GB2312"/>
          <w:i w:val="0"/>
          <w:iCs/>
          <w:color w:val="000000" w:themeColor="text1"/>
          <w:sz w:val="24"/>
          <w:szCs w:val="24"/>
          <w14:textFill>
            <w14:solidFill>
              <w14:schemeClr w14:val="tx1"/>
            </w14:solidFill>
          </w14:textFill>
        </w:rPr>
        <w:t>家维修服务商作为协议合作方</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p>
    <w:p>
      <w:pPr>
        <w:pStyle w:val="7"/>
        <w:ind w:firstLine="480" w:firstLineChars="200"/>
        <w:rPr>
          <w:rFonts w:hint="eastAsia" w:ascii="仿宋_GB2312" w:hAnsi="仿宋_GB2312" w:eastAsia="仿宋_GB2312" w:cs="仿宋_GB2312"/>
          <w:i w:val="0"/>
          <w:iCs/>
          <w:color w:val="000000" w:themeColor="text1"/>
          <w:kern w:val="2"/>
          <w:sz w:val="24"/>
          <w:szCs w:val="24"/>
          <w:lang w:val="en-US" w:eastAsia="zh-CN" w:bidi="ar-SA"/>
          <w14:textFill>
            <w14:solidFill>
              <w14:schemeClr w14:val="tx1"/>
            </w14:solidFill>
          </w14:textFill>
        </w:rPr>
      </w:pPr>
      <w:r>
        <w:rPr>
          <w:rFonts w:hint="eastAsia" w:ascii="仿宋_GB2312" w:hAnsi="仿宋_GB2312" w:eastAsia="仿宋_GB2312" w:cs="仿宋_GB2312"/>
          <w:i w:val="0"/>
          <w:iCs/>
          <w:color w:val="000000" w:themeColor="text1"/>
          <w:kern w:val="2"/>
          <w:sz w:val="24"/>
          <w:szCs w:val="24"/>
          <w:lang w:val="en-US" w:eastAsia="zh-CN" w:bidi="ar-SA"/>
          <w14:textFill>
            <w14:solidFill>
              <w14:schemeClr w14:val="tx1"/>
            </w14:solidFill>
          </w14:textFill>
        </w:rPr>
        <w:t>2.供应商使用规则说明：中标供应商提供服务。</w:t>
      </w:r>
    </w:p>
    <w:p>
      <w:pPr>
        <w:pStyle w:val="7"/>
        <w:ind w:left="479" w:leftChars="228" w:firstLine="0" w:firstLineChars="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kern w:val="2"/>
          <w:sz w:val="24"/>
          <w:szCs w:val="24"/>
          <w:lang w:val="en-US" w:eastAsia="zh-CN" w:bidi="ar-SA"/>
          <w14:textFill>
            <w14:solidFill>
              <w14:schemeClr w14:val="tx1"/>
            </w14:solidFill>
          </w14:textFill>
        </w:rPr>
        <w:t>3.该项目不接受供应商再进行分包或转包。  </w:t>
      </w:r>
      <w:r>
        <w:rPr>
          <w:rFonts w:hint="eastAsia" w:ascii="仿宋_GB2312" w:hAnsi="仿宋_GB2312" w:eastAsia="仿宋_GB2312" w:cs="仿宋_GB2312"/>
          <w:i w:val="0"/>
          <w:iCs/>
          <w:color w:val="000000" w:themeColor="text1"/>
          <w:kern w:val="2"/>
          <w:sz w:val="24"/>
          <w:szCs w:val="24"/>
          <w:lang w:val="en-US" w:eastAsia="zh-CN" w:bidi="ar-SA"/>
          <w14:textFill>
            <w14:solidFill>
              <w14:schemeClr w14:val="tx1"/>
            </w14:solidFill>
          </w14:textFill>
        </w:rPr>
        <w:br w:type="textWrapping"/>
      </w:r>
      <w:r>
        <w:rPr>
          <w:rFonts w:hint="eastAsia" w:ascii="仿宋_GB2312" w:hAnsi="仿宋_GB2312" w:eastAsia="仿宋_GB2312" w:cs="仿宋_GB2312"/>
          <w:i w:val="0"/>
          <w:iCs/>
          <w:color w:val="000000" w:themeColor="text1"/>
          <w:kern w:val="2"/>
          <w:sz w:val="24"/>
          <w:szCs w:val="24"/>
          <w:lang w:val="en-US" w:eastAsia="zh-CN" w:bidi="ar-SA"/>
          <w14:textFill>
            <w14:solidFill>
              <w14:schemeClr w14:val="tx1"/>
            </w14:solidFill>
          </w14:textFill>
        </w:rPr>
        <w:t xml:space="preserve"> </w:t>
      </w:r>
      <w:r>
        <w:rPr>
          <w:rFonts w:hint="eastAsia" w:ascii="仿宋_GB2312" w:hAnsi="仿宋_GB2312" w:eastAsia="仿宋_GB2312" w:cs="仿宋_GB2312"/>
          <w:i w:val="0"/>
          <w:iCs/>
          <w:color w:val="000000" w:themeColor="text1"/>
          <w:sz w:val="24"/>
          <w:szCs w:val="24"/>
          <w14:textFill>
            <w14:solidFill>
              <w14:schemeClr w14:val="tx1"/>
            </w14:solidFill>
          </w14:textFill>
        </w:rPr>
        <w:t>三、采购数量</w:t>
      </w:r>
    </w:p>
    <w:p>
      <w:pPr>
        <w:spacing w:line="360" w:lineRule="auto"/>
        <w:ind w:firstLine="480" w:firstLineChars="200"/>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拟采购1家修理厂商作为我公司定点修理厂。</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四、付款方式</w:t>
      </w:r>
    </w:p>
    <w:p>
      <w:pPr>
        <w:spacing w:line="360" w:lineRule="auto"/>
        <w:ind w:firstLine="480" w:firstLineChars="200"/>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对公转账方式</w:t>
      </w:r>
    </w:p>
    <w:p>
      <w:pPr>
        <w:spacing w:line="360" w:lineRule="auto"/>
        <w:ind w:firstLine="480" w:firstLineChars="200"/>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五、规格型号/技术/服务要求</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详见车辆清单</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p>
    <w:p>
      <w:pPr>
        <w:pStyle w:val="7"/>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 xml:space="preserve">    </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drawing>
          <wp:inline distT="0" distB="0" distL="114300" distR="114300">
            <wp:extent cx="4556760" cy="2418080"/>
            <wp:effectExtent l="0" t="0" r="15240" b="1270"/>
            <wp:docPr id="2" name="图片 2" descr="企业微信截图_1758251778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企业微信截图_1758251778154"/>
                    <pic:cNvPicPr>
                      <a:picLocks noChangeAspect="1"/>
                    </pic:cNvPicPr>
                  </pic:nvPicPr>
                  <pic:blipFill>
                    <a:blip r:embed="rId12"/>
                    <a:stretch>
                      <a:fillRect/>
                    </a:stretch>
                  </pic:blipFill>
                  <pic:spPr>
                    <a:xfrm>
                      <a:off x="0" y="0"/>
                      <a:ext cx="4556760" cy="2418080"/>
                    </a:xfrm>
                    <a:prstGeom prst="rect">
                      <a:avLst/>
                    </a:prstGeom>
                  </pic:spPr>
                </pic:pic>
              </a:graphicData>
            </a:graphic>
          </wp:inline>
        </w:drawing>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（一）公务用车维修和保养服务项目服务范围拟定</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1.车辆维修：包含日常故障维修，快速诊断处理发动机、变速箱、制动系统、电气设备等常见故障；进行各类突发紧急故障抢修，在车辆抛锚等情况下，24小时响应并快速到达现场提供救援维修（对甲方故障车辆实施快速施救措施，在距乙方所在100公里范围内，由乙方派修理人员，免费施救及拖车）；负责车辆大修，对发动机、底盘等关键部件进行全面拆解、维修与更换，恢复车辆整体性能。以及其他车辆维修情况。</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2.车辆保养：落实定期保养，按照车辆行驶里程和使用时间，进行机油更换、滤清器更换、轮胎换位、各部件检查调整等基础保养工作；执行季节性保养，针对冬夏不同季节特点，进行冷却液、空调系统、电瓶等专项检查维护；提供新车磨合期保养，指导驾驶注意事项并进行关键部位检查调整。以及其他车辆保养情况。</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3.零部件更换：依据车辆维修需求，选用符合质量标准的原厂或优质品牌零部件进行更换；建立零部件库存管理机制，对常用零部件保持一定库存，确保及时供应，避免维修延误。</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4.车辆检测：开展安全性能检测，对制动、转向、灯光等涉及行车安全的系统进行检测；进行尾气排放检测，确保车辆尾气排放达标；利用专业设备进行综合性能检测，评估车辆整体技术状况并提供详细检测报告。</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5.增值服务：提供免费洗车服务，在车辆维修保养后对外观和内饰进行清洁；开通24小时救援热线，提供道路救援，包括拖车、搭电、换胎等服务；建立车辆维修保养档案，记录车辆维修保养历史，方便查询和跟踪车辆状况。</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（二）服务要求</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1.供应商（下称乙方）对分公司（下称甲方）维修的车辆，保质保量同时尽量降低修车费用。所采用的零部件、配件等材料必须符合国家标准，不得使用假冒伪劣产品以次充好，乙方报价（含零配件，工时费）必须合理</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另：</w:t>
      </w:r>
      <w:r>
        <w:rPr>
          <w:rFonts w:hint="eastAsia" w:ascii="仿宋_GB2312" w:hAnsi="仿宋_GB2312" w:eastAsia="仿宋_GB2312" w:cs="仿宋_GB2312"/>
          <w:i w:val="0"/>
          <w:iCs/>
          <w:color w:val="000000" w:themeColor="text1"/>
          <w:sz w:val="24"/>
          <w:szCs w:val="24"/>
          <w14:textFill>
            <w14:solidFill>
              <w14:schemeClr w14:val="tx1"/>
            </w14:solidFill>
          </w14:textFill>
        </w:rPr>
        <w:t>车辆配件</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定为</w:t>
      </w:r>
      <w:r>
        <w:rPr>
          <w:rFonts w:hint="eastAsia" w:ascii="仿宋_GB2312" w:hAnsi="仿宋_GB2312" w:eastAsia="仿宋_GB2312" w:cs="仿宋_GB2312"/>
          <w:i w:val="0"/>
          <w:iCs/>
          <w:color w:val="000000" w:themeColor="text1"/>
          <w:sz w:val="24"/>
          <w:szCs w:val="24"/>
          <w14:textFill>
            <w14:solidFill>
              <w14:schemeClr w14:val="tx1"/>
            </w14:solidFill>
          </w14:textFill>
        </w:rPr>
        <w:t>原厂件非原包配件</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r>
        <w:rPr>
          <w:rFonts w:hint="eastAsia" w:ascii="仿宋_GB2312" w:hAnsi="仿宋_GB2312" w:eastAsia="仿宋_GB2312" w:cs="仿宋_GB2312"/>
          <w:i w:val="0"/>
          <w:iCs/>
          <w:color w:val="000000" w:themeColor="text1"/>
          <w:sz w:val="24"/>
          <w:szCs w:val="24"/>
          <w14:textFill>
            <w14:solidFill>
              <w14:schemeClr w14:val="tx1"/>
            </w14:solidFill>
          </w14:textFill>
        </w:rPr>
        <w:t>车辆维修时所需配件验件由</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分公司理赔中心</w:t>
      </w:r>
      <w:r>
        <w:rPr>
          <w:rFonts w:hint="eastAsia" w:ascii="仿宋_GB2312" w:hAnsi="仿宋_GB2312" w:eastAsia="仿宋_GB2312" w:cs="仿宋_GB2312"/>
          <w:i w:val="0"/>
          <w:iCs/>
          <w:color w:val="000000" w:themeColor="text1"/>
          <w:sz w:val="24"/>
          <w:szCs w:val="24"/>
          <w14:textFill>
            <w14:solidFill>
              <w14:schemeClr w14:val="tx1"/>
            </w14:solidFill>
          </w14:textFill>
        </w:rPr>
        <w:t>负责</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2.乙方在接收到甲方送修人员提供的加盖部门印章的车辆维修审批单后，对照车辆维修审批单申请的维修内容进行维修。维修时需增加项目，必须由送修人员重新提供加盖部门印章或者责任部门主要负责人签字的车辆维修审批单，不得擅自扩大修理范围。</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3.乙方要切实维护甲方利益，并妥善保管好更好的旧件，出厂时交送修方处理，未经送修方同意，在10个工作日内不得擅自丢弃。杜绝出现有损于客户单位和集体利益的各类言行。</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4.据国家规定并结合乙方实际，乙方对车辆总成件大修（在正常操作使用的情况下）保修里程为20000KM或100天，二次保养车辆保修为5000公里或三个月，一级维护、小修及专项修理质量保证期为车辆行驶2000公里或者10日（以先到者为准）。另外，若甲方车辆在补漆或烤漆后在半年内出现裂纹、变色、脱落等自然情况，由乙方保修，其余保修情况具体在合同中约定。</w:t>
      </w:r>
    </w:p>
    <w:p>
      <w:pPr>
        <w:spacing w:line="360" w:lineRule="auto"/>
        <w:ind w:firstLine="480" w:firstLineChars="200"/>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5.甲方在合同条款范围内涉及到的其他服务要求。</w:t>
      </w:r>
    </w:p>
    <w:p>
      <w:pPr>
        <w:spacing w:line="360" w:lineRule="auto"/>
        <w:ind w:firstLine="482" w:firstLineChars="200"/>
        <w:rPr>
          <w:rFonts w:hint="eastAsia" w:ascii="仿宋_GB2312" w:hAnsi="仿宋_GB2312" w:eastAsia="仿宋_GB2312" w:cs="仿宋_GB2312"/>
          <w:b/>
          <w:bCs/>
          <w:i w:val="0"/>
          <w:iCs/>
          <w:color w:val="000000" w:themeColor="text1"/>
          <w:sz w:val="24"/>
          <w:szCs w:val="24"/>
          <w14:textFill>
            <w14:solidFill>
              <w14:schemeClr w14:val="tx1"/>
            </w14:solidFill>
          </w14:textFill>
        </w:rPr>
      </w:pPr>
      <w:r>
        <w:rPr>
          <w:rFonts w:hint="eastAsia" w:ascii="仿宋_GB2312" w:hAnsi="仿宋_GB2312" w:eastAsia="仿宋_GB2312" w:cs="仿宋_GB2312"/>
          <w:b/>
          <w:bCs/>
          <w:i w:val="0"/>
          <w:iCs/>
          <w:color w:val="000000" w:themeColor="text1"/>
          <w:sz w:val="24"/>
          <w:szCs w:val="24"/>
          <w14:textFill>
            <w14:solidFill>
              <w14:schemeClr w14:val="tx1"/>
            </w14:solidFill>
          </w14:textFill>
        </w:rPr>
        <w:t>注：涉及的服务和要求更为详尽要求在后续合同中体现，同时因标准合同为框架合同，相关条款由甲乙双方商议拟定后报区分公司法规部审定。</w:t>
      </w:r>
    </w:p>
    <w:p>
      <w:pPr>
        <w:pStyle w:val="2"/>
        <w:pageBreakBefore/>
        <w:tabs>
          <w:tab w:val="left" w:pos="425"/>
          <w:tab w:val="left" w:pos="4265"/>
        </w:tabs>
        <w:ind w:left="0" w:firstLine="1542" w:firstLineChars="640"/>
        <w:jc w:val="left"/>
        <w:rPr>
          <w:rFonts w:hint="eastAsia" w:ascii="仿宋_GB2312" w:hAnsi="仿宋_GB2312" w:eastAsia="仿宋_GB2312" w:cs="仿宋_GB2312"/>
          <w:color w:val="auto"/>
          <w:sz w:val="24"/>
          <w:szCs w:val="24"/>
        </w:rPr>
      </w:pPr>
      <w:bookmarkStart w:id="17" w:name="_Toc1689"/>
      <w:bookmarkStart w:id="18" w:name="_Toc9891"/>
      <w:r>
        <w:rPr>
          <w:rFonts w:hint="eastAsia" w:ascii="仿宋_GB2312" w:hAnsi="仿宋_GB2312" w:eastAsia="仿宋_GB2312" w:cs="仿宋_GB2312"/>
          <w:color w:val="auto"/>
          <w:sz w:val="24"/>
          <w:szCs w:val="24"/>
        </w:rPr>
        <w:t>第六章 供应商响应文件相关文书格式</w:t>
      </w:r>
      <w:bookmarkEnd w:id="17"/>
      <w:bookmarkEnd w:id="18"/>
    </w:p>
    <w:p>
      <w:pPr>
        <w:adjustRightInd w:val="0"/>
        <w:snapToGrid w:val="0"/>
        <w:spacing w:line="360" w:lineRule="auto"/>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响应文件格式和表格</w:t>
      </w:r>
    </w:p>
    <w:p>
      <w:pPr>
        <w:adjustRightInd w:val="0"/>
        <w:snapToGrid w:val="0"/>
        <w:spacing w:line="360" w:lineRule="auto"/>
        <w:jc w:val="center"/>
        <w:rPr>
          <w:rFonts w:hint="eastAsia" w:ascii="仿宋_GB2312" w:hAnsi="仿宋_GB2312" w:eastAsia="仿宋_GB2312" w:cs="仿宋_GB2312"/>
          <w:sz w:val="24"/>
          <w:szCs w:val="24"/>
        </w:rPr>
      </w:pPr>
    </w:p>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目 录</w:t>
      </w:r>
    </w:p>
    <w:p>
      <w:pPr>
        <w:adjustRightInd w:val="0"/>
        <w:snapToGrid w:val="0"/>
        <w:spacing w:line="360" w:lineRule="auto"/>
        <w:rPr>
          <w:rFonts w:hint="eastAsia" w:ascii="仿宋_GB2312" w:hAnsi="仿宋_GB2312" w:eastAsia="仿宋_GB2312" w:cs="仿宋_GB2312"/>
          <w:sz w:val="24"/>
          <w:szCs w:val="24"/>
        </w:rPr>
      </w:pP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附件6.1 承诺与声明</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附件6.2 法人代表授权书</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附件6.3 应答函</w:t>
      </w:r>
    </w:p>
    <w:p>
      <w:pPr>
        <w:adjustRightInd w:val="0"/>
        <w:snapToGrid w:val="0"/>
        <w:spacing w:line="360" w:lineRule="auto"/>
        <w:rPr>
          <w:rFonts w:hint="eastAsia" w:ascii="仿宋_GB2312" w:hAnsi="仿宋_GB2312" w:eastAsia="仿宋_GB2312" w:cs="仿宋_GB2312"/>
          <w:i w:val="0"/>
          <w:iCs w:val="0"/>
          <w:sz w:val="24"/>
          <w:szCs w:val="24"/>
        </w:rPr>
      </w:pPr>
      <w:r>
        <w:rPr>
          <w:rFonts w:hint="eastAsia" w:ascii="仿宋_GB2312" w:hAnsi="仿宋_GB2312" w:eastAsia="仿宋_GB2312" w:cs="仿宋_GB2312"/>
          <w:sz w:val="24"/>
          <w:szCs w:val="24"/>
        </w:rPr>
        <w:t>附件6.4 报价一览表</w:t>
      </w:r>
    </w:p>
    <w:p>
      <w:pPr>
        <w:adjustRightInd w:val="0"/>
        <w:snapToGrid w:val="0"/>
        <w:spacing w:line="360" w:lineRule="auto"/>
        <w:rPr>
          <w:rFonts w:hint="eastAsia" w:ascii="仿宋_GB2312" w:hAnsi="仿宋_GB2312" w:eastAsia="仿宋_GB2312" w:cs="仿宋_GB2312"/>
          <w:i w:val="0"/>
          <w:iCs w:val="0"/>
          <w:sz w:val="24"/>
          <w:szCs w:val="24"/>
        </w:rPr>
      </w:pPr>
      <w:r>
        <w:rPr>
          <w:rFonts w:hint="eastAsia" w:ascii="仿宋_GB2312" w:hAnsi="仿宋_GB2312" w:eastAsia="仿宋_GB2312" w:cs="仿宋_GB2312"/>
          <w:i w:val="0"/>
          <w:iCs w:val="0"/>
          <w:sz w:val="24"/>
          <w:szCs w:val="24"/>
        </w:rPr>
        <w:t>附件6.5 分项报价表</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附件6.6 商务条款偏离表</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附件6.7 技术规格偏离表</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附件6.8 已完成类似项目一览表</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附件6.9 服务或技术响应方案</w:t>
      </w:r>
    </w:p>
    <w:p>
      <w:pPr>
        <w:pStyle w:val="3"/>
        <w:tabs>
          <w:tab w:val="left" w:pos="720"/>
        </w:tabs>
        <w:rPr>
          <w:rFonts w:hint="eastAsia" w:ascii="仿宋_GB2312" w:hAnsi="仿宋_GB2312" w:eastAsia="仿宋_GB2312" w:cs="仿宋_GB2312"/>
          <w:b/>
          <w:bCs/>
          <w:sz w:val="24"/>
          <w:szCs w:val="24"/>
        </w:rPr>
      </w:pPr>
      <w:r>
        <w:rPr>
          <w:rFonts w:hint="eastAsia" w:ascii="仿宋_GB2312" w:hAnsi="仿宋_GB2312" w:eastAsia="仿宋_GB2312" w:cs="仿宋_GB2312"/>
          <w:sz w:val="24"/>
          <w:szCs w:val="24"/>
        </w:rPr>
        <w:br w:type="page"/>
      </w:r>
      <w:bookmarkStart w:id="19" w:name="_Toc6400"/>
      <w:r>
        <w:rPr>
          <w:rFonts w:hint="eastAsia" w:ascii="仿宋_GB2312" w:hAnsi="仿宋_GB2312" w:eastAsia="仿宋_GB2312" w:cs="仿宋_GB2312"/>
          <w:sz w:val="24"/>
          <w:szCs w:val="24"/>
        </w:rPr>
        <w:t>附件6.1 承诺与声明格式</w:t>
      </w:r>
      <w:bookmarkEnd w:id="19"/>
    </w:p>
    <w:p>
      <w:pPr>
        <w:adjustRightInd w:val="0"/>
        <w:snapToGrid w:val="0"/>
        <w:spacing w:line="360" w:lineRule="auto"/>
        <w:ind w:firstLine="300"/>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承诺与声明</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致：中国人民财产保险股份有限公司</w:t>
      </w:r>
      <w:r>
        <w:rPr>
          <w:rFonts w:hint="eastAsia" w:ascii="仿宋_GB2312" w:hAnsi="仿宋_GB2312" w:eastAsia="仿宋_GB2312" w:cs="仿宋_GB2312"/>
          <w:sz w:val="24"/>
          <w:szCs w:val="24"/>
          <w:lang w:val="en-US" w:eastAsia="zh-CN"/>
        </w:rPr>
        <w:t>阿里</w:t>
      </w:r>
      <w:r>
        <w:rPr>
          <w:rFonts w:hint="eastAsia" w:ascii="仿宋_GB2312" w:hAnsi="仿宋_GB2312" w:eastAsia="仿宋_GB2312" w:cs="仿宋_GB2312"/>
          <w:sz w:val="24"/>
          <w:szCs w:val="24"/>
        </w:rPr>
        <w:t>分公司</w:t>
      </w:r>
    </w:p>
    <w:p>
      <w:pPr>
        <w:adjustRightInd w:val="0"/>
        <w:snapToGri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本公司特承诺并声明如下：</w:t>
      </w:r>
    </w:p>
    <w:p>
      <w:pPr>
        <w:adjustRightInd w:val="0"/>
        <w:snapToGri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一、我公司认识到贵公司采购行为为企业采购，非政府采购与磋商。</w:t>
      </w:r>
    </w:p>
    <w:p>
      <w:pPr>
        <w:adjustRightInd w:val="0"/>
        <w:snapToGri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二、我公司己认真阅读采购文件，并完全理解采购文件的内容。</w:t>
      </w:r>
    </w:p>
    <w:p>
      <w:pPr>
        <w:adjustRightInd w:val="0"/>
        <w:snapToGri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三、我公司保证所递交的响应文件、资格证明、产品资料、合同等文件内容的真实性、有效性。</w:t>
      </w:r>
    </w:p>
    <w:p>
      <w:pPr>
        <w:adjustRightInd w:val="0"/>
        <w:snapToGri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我公司愿意承担虚构数据及伪造资格证明、合同和检测报告等有损诚信行为导致的一切不利后果。</w:t>
      </w:r>
    </w:p>
    <w:p>
      <w:pPr>
        <w:adjustRightInd w:val="0"/>
        <w:snapToGri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四、本次采购涉及函件往来时请使用我公司以下地址及联系方式：</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公司名称（全称）：___________________</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法定代表人姓名、职务：_________________</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地址：___________________ </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邮编：___________________</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电话：___________________ 　　　　　　　　　　　　　　　　　　</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公司名称（盖章）： </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法定代表人签字： </w:t>
      </w: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年 月 日</w:t>
      </w:r>
    </w:p>
    <w:p>
      <w:pPr>
        <w:pStyle w:val="3"/>
        <w:tabs>
          <w:tab w:val="left" w:pos="720"/>
        </w:tabs>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bookmarkStart w:id="20" w:name="_Toc104714658"/>
      <w:bookmarkEnd w:id="20"/>
      <w:bookmarkStart w:id="21" w:name="_Toc125183169"/>
      <w:bookmarkEnd w:id="21"/>
      <w:bookmarkStart w:id="22" w:name="_Toc137965305"/>
      <w:bookmarkStart w:id="23" w:name="_Toc23337"/>
      <w:r>
        <w:rPr>
          <w:rFonts w:hint="eastAsia" w:ascii="仿宋_GB2312" w:hAnsi="仿宋_GB2312" w:eastAsia="仿宋_GB2312" w:cs="仿宋_GB2312"/>
          <w:sz w:val="24"/>
          <w:szCs w:val="24"/>
        </w:rPr>
        <w:t>附件6.2</w:t>
      </w:r>
      <w:bookmarkEnd w:id="22"/>
      <w:r>
        <w:rPr>
          <w:rFonts w:hint="eastAsia" w:ascii="仿宋_GB2312" w:hAnsi="仿宋_GB2312" w:eastAsia="仿宋_GB2312" w:cs="仿宋_GB2312"/>
          <w:sz w:val="24"/>
          <w:szCs w:val="24"/>
        </w:rPr>
        <w:t xml:space="preserve"> 法人代表授权书格式</w:t>
      </w:r>
      <w:bookmarkEnd w:id="23"/>
    </w:p>
    <w:p>
      <w:pPr>
        <w:adjustRightInd w:val="0"/>
        <w:snapToGrid w:val="0"/>
        <w:spacing w:line="360" w:lineRule="auto"/>
        <w:rPr>
          <w:rFonts w:hint="eastAsia" w:ascii="仿宋_GB2312" w:hAnsi="仿宋_GB2312" w:eastAsia="仿宋_GB2312" w:cs="仿宋_GB2312"/>
          <w:sz w:val="24"/>
          <w:szCs w:val="24"/>
        </w:rPr>
      </w:pPr>
    </w:p>
    <w:p>
      <w:pPr>
        <w:adjustRightInd w:val="0"/>
        <w:snapToGrid w:val="0"/>
        <w:spacing w:line="360" w:lineRule="auto"/>
        <w:jc w:val="center"/>
        <w:rPr>
          <w:rFonts w:hint="eastAsia" w:ascii="仿宋_GB2312" w:hAnsi="仿宋_GB2312" w:eastAsia="仿宋_GB2312" w:cs="仿宋_GB2312"/>
          <w:b/>
          <w:bCs/>
          <w:snapToGrid w:val="0"/>
          <w:sz w:val="24"/>
          <w:szCs w:val="24"/>
        </w:rPr>
      </w:pPr>
      <w:r>
        <w:rPr>
          <w:rFonts w:hint="eastAsia" w:ascii="仿宋_GB2312" w:hAnsi="仿宋_GB2312" w:eastAsia="仿宋_GB2312" w:cs="仿宋_GB2312"/>
          <w:b/>
          <w:bCs/>
          <w:snapToGrid w:val="0"/>
          <w:sz w:val="24"/>
          <w:szCs w:val="24"/>
        </w:rPr>
        <w:t>法人代表授权书</w:t>
      </w:r>
    </w:p>
    <w:p>
      <w:pPr>
        <w:adjustRightInd w:val="0"/>
        <w:snapToGrid w:val="0"/>
        <w:spacing w:line="360" w:lineRule="auto"/>
        <w:rPr>
          <w:rFonts w:hint="eastAsia" w:ascii="仿宋_GB2312" w:hAnsi="仿宋_GB2312" w:eastAsia="仿宋_GB2312" w:cs="仿宋_GB2312"/>
          <w:snapToGrid w:val="0"/>
          <w:sz w:val="24"/>
          <w:szCs w:val="24"/>
        </w:rPr>
      </w:pP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本授权书声明：注册于</w:t>
      </w:r>
      <w:r>
        <w:rPr>
          <w:rFonts w:hint="eastAsia" w:ascii="仿宋_GB2312" w:hAnsi="仿宋_GB2312" w:eastAsia="仿宋_GB2312" w:cs="仿宋_GB2312"/>
          <w:sz w:val="24"/>
          <w:szCs w:val="24"/>
          <w:u w:val="single"/>
        </w:rPr>
        <w:t xml:space="preserve"> （国家或地区的名称） </w:t>
      </w:r>
      <w:r>
        <w:rPr>
          <w:rFonts w:hint="eastAsia" w:ascii="仿宋_GB2312" w:hAnsi="仿宋_GB2312" w:eastAsia="仿宋_GB2312" w:cs="仿宋_GB2312"/>
          <w:sz w:val="24"/>
          <w:szCs w:val="24"/>
        </w:rPr>
        <w:t>的</w:t>
      </w:r>
      <w:r>
        <w:rPr>
          <w:rFonts w:hint="eastAsia" w:ascii="仿宋_GB2312" w:hAnsi="仿宋_GB2312" w:eastAsia="仿宋_GB2312" w:cs="仿宋_GB2312"/>
          <w:sz w:val="24"/>
          <w:szCs w:val="24"/>
          <w:u w:val="single"/>
        </w:rPr>
        <w:t xml:space="preserve"> （公司名称）</w:t>
      </w:r>
      <w:r>
        <w:rPr>
          <w:rFonts w:hint="eastAsia" w:ascii="仿宋_GB2312" w:hAnsi="仿宋_GB2312" w:eastAsia="仿宋_GB2312" w:cs="仿宋_GB2312"/>
          <w:sz w:val="24"/>
          <w:szCs w:val="24"/>
        </w:rPr>
        <w:t>的在下面签字的</w:t>
      </w:r>
      <w:r>
        <w:rPr>
          <w:rFonts w:hint="eastAsia" w:ascii="仿宋_GB2312" w:hAnsi="仿宋_GB2312" w:eastAsia="仿宋_GB2312" w:cs="仿宋_GB2312"/>
          <w:sz w:val="24"/>
          <w:szCs w:val="24"/>
          <w:u w:val="single"/>
        </w:rPr>
        <w:t xml:space="preserve"> （法定代表人姓名、职务） </w:t>
      </w:r>
      <w:r>
        <w:rPr>
          <w:rFonts w:hint="eastAsia" w:ascii="仿宋_GB2312" w:hAnsi="仿宋_GB2312" w:eastAsia="仿宋_GB2312" w:cs="仿宋_GB2312"/>
          <w:sz w:val="24"/>
          <w:szCs w:val="24"/>
        </w:rPr>
        <w:t xml:space="preserve">代表本公司授权 </w:t>
      </w:r>
      <w:r>
        <w:rPr>
          <w:rFonts w:hint="eastAsia" w:ascii="仿宋_GB2312" w:hAnsi="仿宋_GB2312" w:eastAsia="仿宋_GB2312" w:cs="仿宋_GB2312"/>
          <w:sz w:val="24"/>
          <w:szCs w:val="24"/>
          <w:u w:val="single"/>
        </w:rPr>
        <w:t xml:space="preserve">（公司名称） </w:t>
      </w:r>
      <w:r>
        <w:rPr>
          <w:rFonts w:hint="eastAsia" w:ascii="仿宋_GB2312" w:hAnsi="仿宋_GB2312" w:eastAsia="仿宋_GB2312" w:cs="仿宋_GB2312"/>
          <w:sz w:val="24"/>
          <w:szCs w:val="24"/>
        </w:rPr>
        <w:t>的在下面签字的</w:t>
      </w:r>
      <w:r>
        <w:rPr>
          <w:rFonts w:hint="eastAsia" w:ascii="仿宋_GB2312" w:hAnsi="仿宋_GB2312" w:eastAsia="仿宋_GB2312" w:cs="仿宋_GB2312"/>
          <w:sz w:val="24"/>
          <w:szCs w:val="24"/>
          <w:u w:val="single"/>
        </w:rPr>
        <w:t xml:space="preserve"> （被授权人的姓名、职务） </w:t>
      </w:r>
      <w:r>
        <w:rPr>
          <w:rFonts w:hint="eastAsia" w:ascii="仿宋_GB2312" w:hAnsi="仿宋_GB2312" w:eastAsia="仿宋_GB2312" w:cs="仿宋_GB2312"/>
          <w:sz w:val="24"/>
          <w:szCs w:val="24"/>
        </w:rPr>
        <w:t>为本公司的合法代理人，就</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u w:val="single"/>
          <w:lang w:eastAsia="zh-CN"/>
        </w:rPr>
        <w:t>人保财险西藏阿里分公司公务、农险、理赔用车车辆定点维修保养服务采购项目</w:t>
      </w:r>
      <w:r>
        <w:rPr>
          <w:rFonts w:hint="eastAsia" w:ascii="仿宋_GB2312" w:hAnsi="仿宋_GB2312" w:eastAsia="仿宋_GB2312" w:cs="仿宋_GB2312"/>
          <w:sz w:val="24"/>
          <w:szCs w:val="24"/>
          <w:u w:val="single"/>
        </w:rPr>
        <w:t>）</w:t>
      </w:r>
      <w:r>
        <w:rPr>
          <w:rFonts w:hint="eastAsia" w:ascii="仿宋_GB2312" w:hAnsi="仿宋_GB2312" w:eastAsia="仿宋_GB2312" w:cs="仿宋_GB2312"/>
          <w:sz w:val="24"/>
          <w:szCs w:val="24"/>
        </w:rPr>
        <w:t>投标，以本公司名义处理一切与之有关的事务。</w:t>
      </w:r>
    </w:p>
    <w:p>
      <w:pPr>
        <w:adjustRightInd w:val="0"/>
        <w:snapToGrid w:val="0"/>
        <w:spacing w:line="360" w:lineRule="auto"/>
        <w:rPr>
          <w:rFonts w:hint="eastAsia" w:ascii="仿宋_GB2312" w:hAnsi="仿宋_GB2312" w:eastAsia="仿宋_GB2312" w:cs="仿宋_GB2312"/>
          <w:snapToGrid w:val="0"/>
          <w:sz w:val="24"/>
          <w:szCs w:val="24"/>
        </w:rPr>
      </w:pPr>
    </w:p>
    <w:p>
      <w:pPr>
        <w:adjustRightInd w:val="0"/>
        <w:snapToGrid w:val="0"/>
        <w:spacing w:line="360" w:lineRule="auto"/>
        <w:rPr>
          <w:rFonts w:hint="eastAsia" w:ascii="仿宋_GB2312" w:hAnsi="仿宋_GB2312" w:eastAsia="仿宋_GB2312" w:cs="仿宋_GB2312"/>
          <w:snapToGrid w:val="0"/>
          <w:sz w:val="24"/>
          <w:szCs w:val="24"/>
        </w:rPr>
      </w:pPr>
    </w:p>
    <w:p>
      <w:pPr>
        <w:adjustRightInd w:val="0"/>
        <w:snapToGrid w:val="0"/>
        <w:spacing w:line="360" w:lineRule="auto"/>
        <w:ind w:firstLine="480"/>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本授权书自</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年</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月</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日至</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年</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月</w:t>
      </w:r>
      <w:r>
        <w:rPr>
          <w:rFonts w:hint="eastAsia" w:ascii="仿宋_GB2312" w:hAnsi="仿宋_GB2312" w:eastAsia="仿宋_GB2312" w:cs="仿宋_GB2312"/>
          <w:snapToGrid w:val="0"/>
          <w:sz w:val="24"/>
          <w:szCs w:val="24"/>
          <w:u w:val="single"/>
        </w:rPr>
        <w:t xml:space="preserve"> </w:t>
      </w:r>
      <w:r>
        <w:rPr>
          <w:rFonts w:hint="eastAsia" w:ascii="仿宋_GB2312" w:hAnsi="仿宋_GB2312" w:eastAsia="仿宋_GB2312" w:cs="仿宋_GB2312"/>
          <w:snapToGrid w:val="0"/>
          <w:sz w:val="24"/>
          <w:szCs w:val="24"/>
        </w:rPr>
        <w:t>日有效，特此声明。</w:t>
      </w:r>
    </w:p>
    <w:p>
      <w:pPr>
        <w:adjustRightInd w:val="0"/>
        <w:snapToGrid w:val="0"/>
        <w:spacing w:line="360" w:lineRule="auto"/>
        <w:rPr>
          <w:rFonts w:hint="eastAsia" w:ascii="仿宋_GB2312" w:hAnsi="仿宋_GB2312" w:eastAsia="仿宋_GB2312" w:cs="仿宋_GB2312"/>
          <w:snapToGrid w:val="0"/>
          <w:sz w:val="24"/>
          <w:szCs w:val="24"/>
        </w:rPr>
      </w:pPr>
    </w:p>
    <w:p>
      <w:pPr>
        <w:adjustRightInd w:val="0"/>
        <w:snapToGrid w:val="0"/>
        <w:spacing w:line="360" w:lineRule="auto"/>
        <w:rPr>
          <w:rFonts w:hint="eastAsia" w:ascii="仿宋_GB2312" w:hAnsi="仿宋_GB2312" w:eastAsia="仿宋_GB2312" w:cs="仿宋_GB2312"/>
          <w:snapToGrid w:val="0"/>
          <w:sz w:val="24"/>
          <w:szCs w:val="24"/>
        </w:rPr>
      </w:pPr>
    </w:p>
    <w:p>
      <w:pPr>
        <w:adjustRightInd w:val="0"/>
        <w:snapToGrid w:val="0"/>
        <w:spacing w:line="360" w:lineRule="auto"/>
        <w:rPr>
          <w:rFonts w:hint="eastAsia" w:ascii="仿宋_GB2312" w:hAnsi="仿宋_GB2312" w:eastAsia="仿宋_GB2312" w:cs="仿宋_GB2312"/>
          <w:snapToGrid w:val="0"/>
          <w:sz w:val="24"/>
          <w:szCs w:val="24"/>
        </w:rPr>
      </w:pPr>
    </w:p>
    <w:p>
      <w:pPr>
        <w:adjustRightInd w:val="0"/>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法定代表人签字：</w:t>
      </w:r>
      <w:r>
        <w:rPr>
          <w:rFonts w:hint="eastAsia" w:ascii="仿宋_GB2312" w:hAnsi="仿宋_GB2312" w:eastAsia="仿宋_GB2312" w:cs="仿宋_GB2312"/>
          <w:snapToGrid w:val="0"/>
          <w:sz w:val="24"/>
          <w:szCs w:val="24"/>
          <w:u w:val="single"/>
        </w:rPr>
        <w:t xml:space="preserve"> </w:t>
      </w:r>
    </w:p>
    <w:p>
      <w:pPr>
        <w:adjustRightInd w:val="0"/>
        <w:snapToGrid w:val="0"/>
        <w:spacing w:line="360" w:lineRule="auto"/>
        <w:rPr>
          <w:rFonts w:hint="eastAsia" w:ascii="仿宋_GB2312" w:hAnsi="仿宋_GB2312" w:eastAsia="仿宋_GB2312" w:cs="仿宋_GB2312"/>
          <w:snapToGrid w:val="0"/>
          <w:sz w:val="24"/>
          <w:szCs w:val="24"/>
        </w:rPr>
      </w:pPr>
      <w:r>
        <w:rPr>
          <w:rFonts w:hint="eastAsia" w:ascii="仿宋_GB2312" w:hAnsi="仿宋_GB2312" w:eastAsia="仿宋_GB2312" w:cs="仿宋_GB2312"/>
          <w:snapToGrid w:val="0"/>
          <w:sz w:val="24"/>
          <w:szCs w:val="24"/>
        </w:rPr>
        <w:t xml:space="preserve">被授权人签字： </w:t>
      </w:r>
    </w:p>
    <w:p>
      <w:pPr>
        <w:adjustRightInd w:val="0"/>
        <w:snapToGrid w:val="0"/>
        <w:spacing w:line="360" w:lineRule="auto"/>
        <w:rPr>
          <w:rFonts w:hint="eastAsia" w:ascii="仿宋_GB2312" w:hAnsi="仿宋_GB2312" w:eastAsia="仿宋_GB2312" w:cs="仿宋_GB2312"/>
          <w:sz w:val="24"/>
          <w:szCs w:val="24"/>
        </w:rPr>
      </w:pPr>
    </w:p>
    <w:p>
      <w:pPr>
        <w:adjustRightInd w:val="0"/>
        <w:snapToGrid w:val="0"/>
        <w:spacing w:line="360" w:lineRule="auto"/>
        <w:rPr>
          <w:rFonts w:hint="eastAsia" w:ascii="仿宋_GB2312" w:hAnsi="仿宋_GB2312" w:eastAsia="仿宋_GB2312" w:cs="仿宋_GB2312"/>
          <w:color w:val="FF0000"/>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3"/>
        <w:tabs>
          <w:tab w:val="left" w:pos="720"/>
        </w:tabs>
        <w:rPr>
          <w:rFonts w:hint="eastAsia" w:ascii="仿宋_GB2312" w:hAnsi="仿宋_GB2312" w:eastAsia="仿宋_GB2312" w:cs="仿宋_GB2312"/>
          <w:sz w:val="24"/>
          <w:szCs w:val="24"/>
        </w:rPr>
      </w:pPr>
      <w:r>
        <w:rPr>
          <w:rFonts w:hint="eastAsia" w:ascii="仿宋_GB2312" w:hAnsi="仿宋_GB2312" w:eastAsia="仿宋_GB2312" w:cs="仿宋_GB2312"/>
          <w:i/>
          <w:sz w:val="24"/>
          <w:szCs w:val="24"/>
        </w:rPr>
        <w:br w:type="page"/>
      </w:r>
      <w:bookmarkStart w:id="24" w:name="_Toc23744"/>
      <w:r>
        <w:rPr>
          <w:rFonts w:hint="eastAsia" w:ascii="仿宋_GB2312" w:hAnsi="仿宋_GB2312" w:eastAsia="仿宋_GB2312" w:cs="仿宋_GB2312"/>
          <w:sz w:val="24"/>
          <w:szCs w:val="24"/>
        </w:rPr>
        <w:t>附件6.3 应答函格式</w:t>
      </w:r>
      <w:bookmarkEnd w:id="24"/>
    </w:p>
    <w:p>
      <w:pPr>
        <w:adjustRightInd w:val="0"/>
        <w:snapToGrid w:val="0"/>
        <w:spacing w:line="360" w:lineRule="auto"/>
        <w:ind w:firstLine="630"/>
        <w:jc w:val="center"/>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应答函</w:t>
      </w:r>
    </w:p>
    <w:p>
      <w:pPr>
        <w:adjustRightInd w:val="0"/>
        <w:snapToGrid w:val="0"/>
        <w:spacing w:line="360" w:lineRule="auto"/>
        <w:rPr>
          <w:rFonts w:hint="eastAsia" w:ascii="仿宋_GB2312" w:hAnsi="仿宋_GB2312" w:eastAsia="仿宋_GB2312" w:cs="仿宋_GB2312"/>
          <w:sz w:val="24"/>
          <w:szCs w:val="24"/>
          <w:u w:val="single"/>
        </w:rPr>
      </w:pPr>
    </w:p>
    <w:p>
      <w:pPr>
        <w:adjustRightInd w:val="0"/>
        <w:snapToGrid w:val="0"/>
        <w:spacing w:line="360" w:lineRule="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致：</w:t>
      </w:r>
      <w:r>
        <w:rPr>
          <w:rFonts w:hint="eastAsia" w:ascii="仿宋_GB2312" w:hAnsi="仿宋_GB2312" w:eastAsia="仿宋_GB2312" w:cs="仿宋_GB2312"/>
          <w:sz w:val="24"/>
          <w:szCs w:val="24"/>
          <w:lang w:eastAsia="zh-CN"/>
        </w:rPr>
        <w:t>中国人民财产保险股份有限公司</w:t>
      </w:r>
      <w:r>
        <w:rPr>
          <w:rFonts w:hint="eastAsia" w:ascii="仿宋_GB2312" w:hAnsi="仿宋_GB2312" w:eastAsia="仿宋_GB2312" w:cs="仿宋_GB2312"/>
          <w:sz w:val="24"/>
          <w:szCs w:val="24"/>
          <w:lang w:val="en-US" w:eastAsia="zh-CN"/>
        </w:rPr>
        <w:t>阿里</w:t>
      </w:r>
      <w:r>
        <w:rPr>
          <w:rFonts w:hint="eastAsia" w:ascii="仿宋_GB2312" w:hAnsi="仿宋_GB2312" w:eastAsia="仿宋_GB2312" w:cs="仿宋_GB2312"/>
          <w:sz w:val="24"/>
          <w:szCs w:val="24"/>
          <w:lang w:eastAsia="zh-CN"/>
        </w:rPr>
        <w:t>分公司</w:t>
      </w:r>
    </w:p>
    <w:p>
      <w:pPr>
        <w:adjustRightInd w:val="0"/>
        <w:snapToGrid w:val="0"/>
        <w:spacing w:line="360" w:lineRule="auto"/>
        <w:rPr>
          <w:rFonts w:hint="eastAsia" w:ascii="仿宋_GB2312" w:hAnsi="仿宋_GB2312" w:eastAsia="仿宋_GB2312" w:cs="仿宋_GB2312"/>
          <w:sz w:val="24"/>
          <w:szCs w:val="24"/>
        </w:rPr>
      </w:pPr>
    </w:p>
    <w:p>
      <w:pPr>
        <w:adjustRightInd w:val="0"/>
        <w:snapToGrid w:val="0"/>
        <w:spacing w:line="360" w:lineRule="auto"/>
        <w:ind w:firstLine="48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根据贵方</w:t>
      </w:r>
      <w:r>
        <w:rPr>
          <w:rFonts w:hint="eastAsia" w:ascii="仿宋_GB2312" w:hAnsi="仿宋_GB2312" w:eastAsia="仿宋_GB2312" w:cs="仿宋_GB2312"/>
          <w:sz w:val="24"/>
          <w:szCs w:val="24"/>
          <w:u w:val="single"/>
          <w:lang w:eastAsia="zh-CN"/>
        </w:rPr>
        <w:t>人保财险西藏阿里分公司公务、农险、理赔用车车辆定点维修保养服务采购项目</w:t>
      </w:r>
      <w:r>
        <w:rPr>
          <w:rFonts w:hint="eastAsia" w:ascii="仿宋_GB2312" w:hAnsi="仿宋_GB2312" w:eastAsia="仿宋_GB2312" w:cs="仿宋_GB2312"/>
          <w:sz w:val="24"/>
          <w:szCs w:val="24"/>
        </w:rPr>
        <w:t>的磋商邀请，签字代表</w:t>
      </w:r>
      <w:r>
        <w:rPr>
          <w:rFonts w:hint="eastAsia" w:ascii="仿宋_GB2312" w:hAnsi="仿宋_GB2312" w:eastAsia="仿宋_GB2312" w:cs="仿宋_GB2312"/>
          <w:sz w:val="24"/>
          <w:szCs w:val="24"/>
          <w:u w:val="single"/>
        </w:rPr>
        <w:t xml:space="preserve"> （全名、职务） </w:t>
      </w:r>
      <w:r>
        <w:rPr>
          <w:rFonts w:hint="eastAsia" w:ascii="仿宋_GB2312" w:hAnsi="仿宋_GB2312" w:eastAsia="仿宋_GB2312" w:cs="仿宋_GB2312"/>
          <w:sz w:val="24"/>
          <w:szCs w:val="24"/>
        </w:rPr>
        <w:t>经正式授权并代表供应商</w:t>
      </w:r>
      <w:r>
        <w:rPr>
          <w:rFonts w:hint="eastAsia" w:ascii="仿宋_GB2312" w:hAnsi="仿宋_GB2312" w:eastAsia="仿宋_GB2312" w:cs="仿宋_GB2312"/>
          <w:sz w:val="24"/>
          <w:szCs w:val="24"/>
          <w:u w:val="single"/>
        </w:rPr>
        <w:t xml:space="preserve"> （供应商名称、地址） </w:t>
      </w:r>
      <w:r>
        <w:rPr>
          <w:rFonts w:hint="eastAsia" w:ascii="仿宋_GB2312" w:hAnsi="仿宋_GB2312" w:eastAsia="仿宋_GB2312" w:cs="仿宋_GB2312"/>
          <w:sz w:val="24"/>
          <w:szCs w:val="24"/>
        </w:rPr>
        <w:t>提交下述文件正本一份、副本</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份及一份电子文档：</w:t>
      </w:r>
    </w:p>
    <w:p>
      <w:pPr>
        <w:numPr>
          <w:ilvl w:val="0"/>
          <w:numId w:val="3"/>
        </w:numPr>
        <w:adjustRightInd w:val="0"/>
        <w:snapToGrid w:val="0"/>
        <w:spacing w:line="360" w:lineRule="auto"/>
        <w:jc w:val="both"/>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分项报价表</w:t>
      </w:r>
    </w:p>
    <w:p>
      <w:pPr>
        <w:numPr>
          <w:ilvl w:val="0"/>
          <w:numId w:val="3"/>
        </w:numPr>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商务偏离表</w:t>
      </w:r>
    </w:p>
    <w:p>
      <w:pPr>
        <w:numPr>
          <w:ilvl w:val="0"/>
          <w:numId w:val="3"/>
        </w:numPr>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技术偏离表</w:t>
      </w:r>
    </w:p>
    <w:p>
      <w:pPr>
        <w:numPr>
          <w:ilvl w:val="0"/>
          <w:numId w:val="3"/>
        </w:numPr>
        <w:adjustRightInd w:val="0"/>
        <w:snapToGrid w:val="0"/>
        <w:spacing w:line="360" w:lineRule="auto"/>
        <w:jc w:val="both"/>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按磋商文件要求提供的有关文件</w:t>
      </w:r>
    </w:p>
    <w:p>
      <w:pPr>
        <w:adjustRightInd w:val="0"/>
        <w:snapToGrid w:val="0"/>
        <w:spacing w:line="360" w:lineRule="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353"/>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据此函，供应商和签字代表宣布同意如下：</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7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1.所附磋商价格表中规定的应提交和提供的货物和服务磋商详见报价一览表。</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7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2.我公司按磋商文件的规定履行合同责任和义务。</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7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3.我公司已详细审查全部磋商文件，我们完全理解并同意放弃对这方面有不明及误解的权力。</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7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5.如果在规定的递交《响应文件》截止后，供应商在报价有效期内撤回《响应文件》，或成交后不签约，其磋商保证金（如有）将不予退还或按照《磋商文件》规定处理。</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firstLine="47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6.供应商同意提供，按照贵方要求与磋商应答有关的一切数据或资料，理解贵方不一定接受最低的报价或收到的任何报价。</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供应商名称：_______________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地址：_______________ </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邮编：________________</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电话：________________</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传真：________________</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授权代表签字：________________</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职务：_________________</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电话：_________________</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公章：_________________</w:t>
      </w:r>
    </w:p>
    <w:p>
      <w:pPr>
        <w:adjustRightInd w:val="0"/>
        <w:snapToGrid w:val="0"/>
        <w:spacing w:line="360" w:lineRule="auto"/>
        <w:rPr>
          <w:rFonts w:hint="eastAsia" w:ascii="仿宋_GB2312" w:hAnsi="仿宋_GB2312" w:eastAsia="仿宋_GB2312" w:cs="仿宋_GB2312"/>
          <w:sz w:val="24"/>
          <w:szCs w:val="24"/>
        </w:rPr>
      </w:pPr>
    </w:p>
    <w:p>
      <w:pPr>
        <w:adjustRightInd w:val="0"/>
        <w:snapToGrid w:val="0"/>
        <w:spacing w:line="360" w:lineRule="auto"/>
        <w:rPr>
          <w:rFonts w:hint="eastAsia" w:ascii="仿宋_GB2312" w:hAnsi="仿宋_GB2312" w:eastAsia="仿宋_GB2312" w:cs="仿宋_GB2312"/>
          <w:b/>
          <w:bCs/>
          <w:snapToGrid w:val="0"/>
          <w:sz w:val="24"/>
          <w:szCs w:val="24"/>
        </w:rPr>
      </w:pPr>
      <w:r>
        <w:rPr>
          <w:rFonts w:hint="eastAsia" w:ascii="仿宋_GB2312" w:hAnsi="仿宋_GB2312" w:eastAsia="仿宋_GB2312" w:cs="仿宋_GB2312"/>
          <w:i w:val="0"/>
          <w:iCs/>
          <w:color w:val="000000" w:themeColor="text1"/>
          <w:sz w:val="24"/>
          <w:szCs w:val="24"/>
          <w:u w:val="single"/>
          <w14:textFill>
            <w14:solidFill>
              <w14:schemeClr w14:val="tx1"/>
            </w14:solidFill>
          </w14:textFill>
        </w:rPr>
        <w:br w:type="page"/>
      </w:r>
      <w:r>
        <w:rPr>
          <w:rFonts w:hint="eastAsia" w:ascii="仿宋_GB2312" w:hAnsi="仿宋_GB2312" w:eastAsia="仿宋_GB2312" w:cs="仿宋_GB2312"/>
          <w:b/>
          <w:kern w:val="2"/>
          <w:sz w:val="24"/>
          <w:szCs w:val="24"/>
          <w:lang w:val="en-US" w:eastAsia="zh-CN" w:bidi="ar-SA"/>
        </w:rPr>
        <w:t>附件6.4 分项报价表</w:t>
      </w:r>
    </w:p>
    <w:p>
      <w:pPr>
        <w:adjustRightInd w:val="0"/>
        <w:snapToGrid w:val="0"/>
        <w:spacing w:line="360" w:lineRule="auto"/>
        <w:rPr>
          <w:rFonts w:hint="eastAsia" w:ascii="仿宋_GB2312" w:hAnsi="仿宋_GB2312" w:eastAsia="仿宋_GB2312" w:cs="仿宋_GB2312"/>
          <w:i w:val="0"/>
          <w:iCs/>
          <w:color w:val="000000" w:themeColor="text1"/>
          <w:sz w:val="24"/>
          <w:szCs w:val="24"/>
          <w14:textFill>
            <w14:solidFill>
              <w14:schemeClr w14:val="tx1"/>
            </w14:solidFill>
          </w14:textFill>
        </w:rPr>
      </w:pPr>
    </w:p>
    <w:p>
      <w:pPr>
        <w:adjustRightInd w:val="0"/>
        <w:snapToGrid w:val="0"/>
        <w:spacing w:line="360" w:lineRule="auto"/>
        <w:ind w:firstLine="3840" w:firstLineChars="1600"/>
        <w:rPr>
          <w:rFonts w:hint="eastAsia" w:ascii="仿宋_GB2312" w:hAnsi="仿宋_GB2312" w:eastAsia="仿宋_GB2312" w:cs="仿宋_GB2312"/>
          <w:b/>
          <w:bCs/>
          <w:snapToGrid w:val="0"/>
          <w:sz w:val="24"/>
          <w:szCs w:val="24"/>
        </w:rPr>
      </w:pPr>
      <w:r>
        <w:rPr>
          <w:rFonts w:hint="eastAsia" w:ascii="仿宋_GB2312" w:hAnsi="仿宋_GB2312" w:eastAsia="仿宋_GB2312" w:cs="仿宋_GB2312"/>
          <w:i w:val="0"/>
          <w:iCs/>
          <w:color w:val="000000" w:themeColor="text1"/>
          <w:sz w:val="24"/>
          <w:szCs w:val="24"/>
          <w14:textFill>
            <w14:solidFill>
              <w14:schemeClr w14:val="tx1"/>
            </w14:solidFill>
          </w14:textFill>
        </w:rPr>
        <w:t>分项报价表</w:t>
      </w:r>
    </w:p>
    <w:p>
      <w:pPr>
        <w:adjustRightInd w:val="0"/>
        <w:snapToGrid w:val="0"/>
        <w:spacing w:line="360" w:lineRule="auto"/>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 xml:space="preserve">供应商名称： </w:t>
      </w:r>
    </w:p>
    <w:p>
      <w:pPr>
        <w:pStyle w:val="7"/>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项目名称：</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人保财险西藏阿里分公司公务、农险、理赔用车车辆定点维修保养服务采购项目</w:t>
      </w:r>
    </w:p>
    <w:p>
      <w:pPr>
        <w:adjustRightInd w:val="0"/>
        <w:snapToGrid w:val="0"/>
        <w:spacing w:line="360" w:lineRule="auto"/>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分项报价表</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p>
    <w:tbl>
      <w:tblPr>
        <w:tblStyle w:val="15"/>
        <w:tblW w:w="905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1545"/>
        <w:gridCol w:w="1560"/>
        <w:gridCol w:w="1860"/>
        <w:gridCol w:w="2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1" w:hRule="atLeast"/>
        </w:trPr>
        <w:tc>
          <w:tcPr>
            <w:tcW w:w="1883"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主要车型</w:t>
            </w:r>
          </w:p>
        </w:tc>
        <w:tc>
          <w:tcPr>
            <w:tcW w:w="154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配件类型</w:t>
            </w:r>
          </w:p>
        </w:tc>
        <w:tc>
          <w:tcPr>
            <w:tcW w:w="156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原厂非原包件优惠比例（%）</w:t>
            </w:r>
          </w:p>
        </w:tc>
        <w:tc>
          <w:tcPr>
            <w:tcW w:w="186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工时优惠比例（%）</w:t>
            </w:r>
          </w:p>
        </w:tc>
        <w:tc>
          <w:tcPr>
            <w:tcW w:w="220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报价依据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5" w:hRule="atLeast"/>
        </w:trPr>
        <w:tc>
          <w:tcPr>
            <w:tcW w:w="1883"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具体依照5.5车辆清单中车型</w:t>
            </w:r>
          </w:p>
        </w:tc>
        <w:tc>
          <w:tcPr>
            <w:tcW w:w="154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零件</w:t>
            </w:r>
          </w:p>
        </w:tc>
        <w:tc>
          <w:tcPr>
            <w:tcW w:w="156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14:textFill>
                  <w14:solidFill>
                    <w14:schemeClr w14:val="tx1"/>
                  </w14:solidFill>
                </w14:textFill>
              </w:rPr>
            </w:pPr>
          </w:p>
        </w:tc>
        <w:tc>
          <w:tcPr>
            <w:tcW w:w="186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14:textFill>
                  <w14:solidFill>
                    <w14:schemeClr w14:val="tx1"/>
                  </w14:solidFill>
                </w14:textFill>
              </w:rPr>
            </w:pPr>
          </w:p>
        </w:tc>
        <w:tc>
          <w:tcPr>
            <w:tcW w:w="220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以O类市场原厂件价格（A类修理厂）为准，在此基础上优惠比例</w:t>
            </w:r>
          </w:p>
        </w:tc>
      </w:tr>
    </w:tbl>
    <w:tbl>
      <w:tblPr>
        <w:tblStyle w:val="15"/>
        <w:tblpPr w:leftFromText="180" w:rightFromText="180" w:vertAnchor="text" w:horzAnchor="page" w:tblpX="1560" w:tblpY="101"/>
        <w:tblOverlap w:val="never"/>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83"/>
        <w:gridCol w:w="2655"/>
        <w:gridCol w:w="2100"/>
        <w:gridCol w:w="24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883"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kern w:val="2"/>
                <w:sz w:val="24"/>
                <w:szCs w:val="24"/>
                <w:vertAlign w:val="baseline"/>
                <w:lang w:val="en-US" w:eastAsia="zh-CN" w:bidi="ar-SA"/>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主要车型</w:t>
            </w: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保养项目</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单次保养价格（元）</w:t>
            </w:r>
          </w:p>
        </w:tc>
        <w:tc>
          <w:tcPr>
            <w:tcW w:w="2432"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83" w:type="dxa"/>
            <w:vMerge w:val="restart"/>
            <w:vAlign w:val="center"/>
          </w:tcPr>
          <w:p>
            <w:pPr>
              <w:adjustRightInd w:val="0"/>
              <w:snapToGrid w:val="0"/>
              <w:spacing w:line="360" w:lineRule="auto"/>
              <w:jc w:val="center"/>
              <w:rPr>
                <w:rFonts w:hint="eastAsia" w:ascii="仿宋_GB2312" w:hAnsi="仿宋_GB2312" w:eastAsia="仿宋_GB2312" w:cs="仿宋_GB2312"/>
                <w:i w:val="0"/>
                <w:iCs/>
                <w:color w:val="000000" w:themeColor="text1"/>
                <w:kern w:val="2"/>
                <w:sz w:val="24"/>
                <w:szCs w:val="24"/>
                <w:vertAlign w:val="baseline"/>
                <w:lang w:val="en-US" w:eastAsia="zh-CN" w:bidi="ar-SA"/>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具体依照5.5车辆清单中车型</w:t>
            </w: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机油</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所有车型总额</w:t>
            </w:r>
          </w:p>
        </w:tc>
        <w:tc>
          <w:tcPr>
            <w:tcW w:w="2432" w:type="dxa"/>
            <w:vMerge w:val="restart"/>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保养费用必须符合市场价格，如评审认定保养费用超出市场10%以上或低于30%时，要求供应商现场澄清成本构成，无法说明则按无效标处理（如某供应商低于市场40%时，需解释是否存在赔本抢标风险）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83" w:type="dxa"/>
            <w:vMerge w:val="continue"/>
            <w:vAlign w:val="top"/>
          </w:tcPr>
          <w:p>
            <w:pP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防冻液</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432" w:type="dxa"/>
            <w:vMerge w:val="continue"/>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83" w:type="dxa"/>
            <w:vMerge w:val="continue"/>
            <w:vAlign w:val="top"/>
          </w:tcPr>
          <w:p>
            <w:pP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冷媒</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432" w:type="dxa"/>
            <w:vMerge w:val="continue"/>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83" w:type="dxa"/>
            <w:vMerge w:val="continue"/>
            <w:vAlign w:val="top"/>
          </w:tcPr>
          <w:p>
            <w:pP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变速箱</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432" w:type="dxa"/>
            <w:vMerge w:val="continue"/>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83" w:type="dxa"/>
            <w:vMerge w:val="continue"/>
            <w:vAlign w:val="top"/>
          </w:tcPr>
          <w:p>
            <w:pP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齿轮油</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432" w:type="dxa"/>
            <w:vMerge w:val="continue"/>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83" w:type="dxa"/>
            <w:vMerge w:val="continue"/>
            <w:vAlign w:val="top"/>
          </w:tcPr>
          <w:p>
            <w:pP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方向机油</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432" w:type="dxa"/>
            <w:vMerge w:val="continue"/>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1883" w:type="dxa"/>
            <w:vMerge w:val="continue"/>
            <w:vAlign w:val="top"/>
          </w:tcPr>
          <w:p>
            <w:pP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助力油</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432" w:type="dxa"/>
            <w:vMerge w:val="continue"/>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 w:hRule="atLeast"/>
        </w:trPr>
        <w:tc>
          <w:tcPr>
            <w:tcW w:w="1883" w:type="dxa"/>
            <w:vMerge w:val="continue"/>
            <w:vAlign w:val="top"/>
          </w:tcPr>
          <w:p>
            <w:pP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空调加氟</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432" w:type="dxa"/>
            <w:vMerge w:val="continue"/>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1883" w:type="dxa"/>
            <w:vMerge w:val="continue"/>
            <w:vAlign w:val="top"/>
          </w:tcPr>
          <w:p>
            <w:pP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655"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t>刹车油</w:t>
            </w:r>
          </w:p>
        </w:tc>
        <w:tc>
          <w:tcPr>
            <w:tcW w:w="2100" w:type="dxa"/>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c>
          <w:tcPr>
            <w:tcW w:w="2432" w:type="dxa"/>
            <w:vMerge w:val="continue"/>
            <w:vAlign w:val="center"/>
          </w:tcPr>
          <w:p>
            <w:pPr>
              <w:adjustRightInd w:val="0"/>
              <w:snapToGrid w:val="0"/>
              <w:spacing w:line="360" w:lineRule="auto"/>
              <w:jc w:val="center"/>
              <w:rPr>
                <w:rFonts w:hint="eastAsia" w:ascii="仿宋_GB2312" w:hAnsi="仿宋_GB2312" w:eastAsia="仿宋_GB2312" w:cs="仿宋_GB2312"/>
                <w:i w:val="0"/>
                <w:iCs/>
                <w:color w:val="000000" w:themeColor="text1"/>
                <w:sz w:val="24"/>
                <w:szCs w:val="24"/>
                <w:vertAlign w:val="baseline"/>
                <w:lang w:val="en-US" w:eastAsia="zh-CN"/>
                <w14:textFill>
                  <w14:solidFill>
                    <w14:schemeClr w14:val="tx1"/>
                  </w14:solidFill>
                </w14:textFill>
              </w:rPr>
            </w:pPr>
          </w:p>
        </w:tc>
      </w:tr>
    </w:tbl>
    <w:p>
      <w:pPr>
        <w:adjustRightInd w:val="0"/>
        <w:snapToGrid w:val="0"/>
        <w:spacing w:line="360" w:lineRule="auto"/>
        <w:rPr>
          <w:rFonts w:hint="eastAsia" w:ascii="仿宋_GB2312" w:hAnsi="仿宋_GB2312" w:eastAsia="仿宋_GB2312" w:cs="仿宋_GB2312"/>
          <w:b/>
          <w:bCs/>
          <w:i w:val="0"/>
          <w:iCs/>
          <w:color w:val="000000" w:themeColor="text1"/>
          <w:sz w:val="24"/>
          <w:szCs w:val="24"/>
          <w14:textFill>
            <w14:solidFill>
              <w14:schemeClr w14:val="tx1"/>
            </w14:solidFill>
          </w14:textFill>
        </w:rPr>
      </w:pPr>
      <w:r>
        <w:rPr>
          <w:rFonts w:hint="eastAsia" w:ascii="仿宋_GB2312" w:hAnsi="仿宋_GB2312" w:eastAsia="仿宋_GB2312" w:cs="仿宋_GB2312"/>
          <w:b/>
          <w:bCs/>
          <w:i w:val="0"/>
          <w:iCs/>
          <w:color w:val="000000" w:themeColor="text1"/>
          <w:sz w:val="24"/>
          <w:szCs w:val="24"/>
          <w14:textFill>
            <w14:solidFill>
              <w14:schemeClr w14:val="tx1"/>
            </w14:solidFill>
          </w14:textFill>
        </w:rPr>
        <w:t>注：</w:t>
      </w:r>
    </w:p>
    <w:p>
      <w:pPr>
        <w:adjustRightInd w:val="0"/>
        <w:snapToGrid w:val="0"/>
        <w:spacing w:line="360" w:lineRule="auto"/>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1.按车辆清单中所有车型统一提供折扣率。</w:t>
      </w:r>
    </w:p>
    <w:p>
      <w:pPr>
        <w:adjustRightInd w:val="0"/>
        <w:snapToGrid w:val="0"/>
        <w:spacing w:line="360" w:lineRule="auto"/>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2.保养费用按上表项目以车辆清单中所有车型依次报价。</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br w:type="textWrapping"/>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3.原厂非原包配件需在响应文件中附品牌授权书或检测报告。</w:t>
      </w:r>
    </w:p>
    <w:p>
      <w:pPr>
        <w:adjustRightInd w:val="0"/>
        <w:snapToGrid w:val="0"/>
        <w:spacing w:line="360" w:lineRule="auto"/>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4.优惠比例</w:t>
      </w:r>
      <w:r>
        <w:rPr>
          <w:rFonts w:hint="eastAsia" w:ascii="仿宋_GB2312" w:hAnsi="仿宋_GB2312" w:eastAsia="仿宋_GB2312" w:cs="仿宋_GB2312"/>
          <w:i w:val="0"/>
          <w:iCs/>
          <w:color w:val="000000" w:themeColor="text1"/>
          <w:sz w:val="24"/>
          <w:szCs w:val="24"/>
          <w14:textFill>
            <w14:solidFill>
              <w14:schemeClr w14:val="tx1"/>
            </w14:solidFill>
          </w14:textFill>
        </w:rPr>
        <w:t>＞</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3</w:t>
      </w:r>
      <w:r>
        <w:rPr>
          <w:rFonts w:hint="eastAsia" w:ascii="仿宋_GB2312" w:hAnsi="仿宋_GB2312" w:eastAsia="仿宋_GB2312" w:cs="仿宋_GB2312"/>
          <w:i w:val="0"/>
          <w:iCs/>
          <w:color w:val="000000" w:themeColor="text1"/>
          <w:sz w:val="24"/>
          <w:szCs w:val="24"/>
          <w14:textFill>
            <w14:solidFill>
              <w14:schemeClr w14:val="tx1"/>
            </w14:solidFill>
          </w14:textFill>
        </w:rPr>
        <w:t>0%的供应商需附《高原成本构成表》，列明运输、人工等高原成本占比</w:t>
      </w:r>
    </w:p>
    <w:p>
      <w:pPr>
        <w:adjustRightInd w:val="0"/>
        <w:snapToGrid w:val="0"/>
        <w:spacing w:line="360" w:lineRule="auto"/>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5</w:t>
      </w:r>
      <w:r>
        <w:rPr>
          <w:rFonts w:hint="eastAsia" w:ascii="仿宋_GB2312" w:hAnsi="仿宋_GB2312" w:eastAsia="仿宋_GB2312" w:cs="仿宋_GB2312"/>
          <w:i w:val="0"/>
          <w:iCs/>
          <w:color w:val="000000" w:themeColor="text1"/>
          <w:sz w:val="24"/>
          <w:szCs w:val="24"/>
          <w14:textFill>
            <w14:solidFill>
              <w14:schemeClr w14:val="tx1"/>
            </w14:solidFill>
          </w14:textFill>
        </w:rPr>
        <w:t>.分项报价表单独密封提交。</w:t>
      </w:r>
    </w:p>
    <w:p>
      <w:pPr>
        <w:adjustRightInd w:val="0"/>
        <w:snapToGrid w:val="0"/>
        <w:spacing w:line="360" w:lineRule="auto"/>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6</w:t>
      </w:r>
      <w:r>
        <w:rPr>
          <w:rFonts w:hint="eastAsia" w:ascii="仿宋_GB2312" w:hAnsi="仿宋_GB2312" w:eastAsia="仿宋_GB2312" w:cs="仿宋_GB2312"/>
          <w:i w:val="0"/>
          <w:iCs/>
          <w:color w:val="000000" w:themeColor="text1"/>
          <w:sz w:val="24"/>
          <w:szCs w:val="24"/>
          <w14:textFill>
            <w14:solidFill>
              <w14:schemeClr w14:val="tx1"/>
            </w14:solidFill>
          </w14:textFill>
        </w:rPr>
        <w:t>.供应商每次报价均需提供本表的电子版（excel格式，可复制），以供统计使用。</w:t>
      </w:r>
    </w:p>
    <w:p>
      <w:pPr>
        <w:adjustRightInd w:val="0"/>
        <w:snapToGrid w:val="0"/>
        <w:spacing w:line="360" w:lineRule="auto"/>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7</w:t>
      </w:r>
      <w:r>
        <w:rPr>
          <w:rFonts w:hint="eastAsia" w:ascii="仿宋_GB2312" w:hAnsi="仿宋_GB2312" w:eastAsia="仿宋_GB2312" w:cs="仿宋_GB2312"/>
          <w:i w:val="0"/>
          <w:iCs/>
          <w:color w:val="000000" w:themeColor="text1"/>
          <w:sz w:val="24"/>
          <w:szCs w:val="24"/>
          <w14:textFill>
            <w14:solidFill>
              <w14:schemeClr w14:val="tx1"/>
            </w14:solidFill>
          </w14:textFill>
        </w:rPr>
        <w:t>.如果按单价计算的结果与总价不一致，以单价为准修正总价。</w:t>
      </w:r>
    </w:p>
    <w:p>
      <w:pPr>
        <w:adjustRightInd w:val="0"/>
        <w:snapToGrid w:val="0"/>
        <w:spacing w:line="360" w:lineRule="auto"/>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8</w:t>
      </w:r>
      <w:r>
        <w:rPr>
          <w:rFonts w:hint="eastAsia" w:ascii="仿宋_GB2312" w:hAnsi="仿宋_GB2312" w:eastAsia="仿宋_GB2312" w:cs="仿宋_GB2312"/>
          <w:i w:val="0"/>
          <w:iCs/>
          <w:color w:val="000000" w:themeColor="text1"/>
          <w:sz w:val="24"/>
          <w:szCs w:val="24"/>
          <w14:textFill>
            <w14:solidFill>
              <w14:schemeClr w14:val="tx1"/>
            </w14:solidFill>
          </w14:textFill>
        </w:rPr>
        <w:t>.</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其中</w:t>
      </w:r>
      <w:r>
        <w:rPr>
          <w:rFonts w:hint="eastAsia" w:ascii="仿宋_GB2312" w:hAnsi="仿宋_GB2312" w:eastAsia="仿宋_GB2312" w:cs="仿宋_GB2312"/>
          <w:sz w:val="24"/>
          <w:szCs w:val="24"/>
        </w:rPr>
        <w:t>没有在附表里</w:t>
      </w:r>
      <w:r>
        <w:rPr>
          <w:rFonts w:hint="eastAsia" w:ascii="仿宋_GB2312" w:hAnsi="仿宋_GB2312" w:eastAsia="仿宋_GB2312" w:cs="仿宋_GB2312"/>
          <w:sz w:val="24"/>
          <w:szCs w:val="24"/>
          <w:lang w:val="en-US" w:eastAsia="zh-CN"/>
        </w:rPr>
        <w:t>列明</w:t>
      </w:r>
      <w:r>
        <w:rPr>
          <w:rFonts w:hint="eastAsia" w:ascii="仿宋_GB2312" w:hAnsi="仿宋_GB2312" w:eastAsia="仿宋_GB2312" w:cs="仿宋_GB2312"/>
          <w:sz w:val="24"/>
          <w:szCs w:val="24"/>
        </w:rPr>
        <w:t>出来的项目，结算时</w:t>
      </w:r>
      <w:r>
        <w:rPr>
          <w:rFonts w:hint="eastAsia" w:ascii="仿宋_GB2312" w:hAnsi="仿宋_GB2312" w:eastAsia="仿宋_GB2312" w:cs="仿宋_GB2312"/>
          <w:sz w:val="24"/>
          <w:szCs w:val="24"/>
          <w:lang w:val="en-US" w:eastAsia="zh-CN"/>
        </w:rPr>
        <w:t>依旧按照该车型</w:t>
      </w:r>
      <w:r>
        <w:rPr>
          <w:rFonts w:hint="eastAsia" w:ascii="仿宋_GB2312" w:hAnsi="仿宋_GB2312" w:eastAsia="仿宋_GB2312" w:cs="仿宋_GB2312"/>
          <w:sz w:val="24"/>
          <w:szCs w:val="24"/>
        </w:rPr>
        <w:t>按折扣率</w:t>
      </w:r>
      <w:r>
        <w:rPr>
          <w:rFonts w:hint="eastAsia" w:ascii="仿宋_GB2312" w:hAnsi="仿宋_GB2312" w:eastAsia="仿宋_GB2312" w:cs="仿宋_GB2312"/>
          <w:sz w:val="24"/>
          <w:szCs w:val="24"/>
          <w:lang w:val="en-US" w:eastAsia="zh-CN"/>
        </w:rPr>
        <w:t>计算。</w:t>
      </w:r>
    </w:p>
    <w:p>
      <w:pPr>
        <w:adjustRightInd w:val="0"/>
        <w:snapToGrid w:val="0"/>
        <w:spacing w:line="360" w:lineRule="auto"/>
        <w:rPr>
          <w:rFonts w:hint="eastAsia" w:ascii="仿宋_GB2312" w:hAnsi="仿宋_GB2312" w:eastAsia="仿宋_GB2312" w:cs="仿宋_GB2312"/>
          <w:i w:val="0"/>
          <w:iCs/>
          <w:color w:val="000000" w:themeColor="text1"/>
          <w:sz w:val="24"/>
          <w:szCs w:val="24"/>
          <w:u w:val="single"/>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授权代表签字并加盖公章</w:t>
      </w:r>
      <w:r>
        <w:rPr>
          <w:rFonts w:hint="eastAsia" w:ascii="仿宋_GB2312" w:hAnsi="仿宋_GB2312" w:eastAsia="仿宋_GB2312" w:cs="仿宋_GB2312"/>
          <w:i w:val="0"/>
          <w:iCs/>
          <w:color w:val="000000" w:themeColor="text1"/>
          <w:sz w:val="24"/>
          <w:szCs w:val="24"/>
          <w:u w:val="single"/>
          <w14:textFill>
            <w14:solidFill>
              <w14:schemeClr w14:val="tx1"/>
            </w14:solidFill>
          </w14:textFill>
        </w:rPr>
        <w:t xml:space="preserve"> </w:t>
      </w:r>
    </w:p>
    <w:p>
      <w:pPr>
        <w:adjustRightInd w:val="0"/>
        <w:snapToGrid w:val="0"/>
        <w:spacing w:line="360" w:lineRule="auto"/>
        <w:rPr>
          <w:rFonts w:hint="eastAsia" w:ascii="仿宋_GB2312" w:hAnsi="仿宋_GB2312" w:eastAsia="仿宋_GB2312" w:cs="仿宋_GB2312"/>
          <w:b/>
          <w:bCs/>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日期：</w:t>
      </w:r>
      <w:r>
        <w:rPr>
          <w:rFonts w:hint="eastAsia" w:ascii="仿宋_GB2312" w:hAnsi="仿宋_GB2312" w:eastAsia="仿宋_GB2312" w:cs="仿宋_GB2312"/>
          <w:i w:val="0"/>
          <w:iCs/>
          <w:color w:val="000000" w:themeColor="text1"/>
          <w:sz w:val="24"/>
          <w:szCs w:val="24"/>
          <w:u w:val="single"/>
          <w14:textFill>
            <w14:solidFill>
              <w14:schemeClr w14:val="tx1"/>
            </w14:solidFill>
          </w14:textFill>
        </w:rPr>
        <w:t xml:space="preserve"> </w:t>
      </w:r>
      <w:bookmarkStart w:id="25" w:name="_Toc127761806"/>
      <w:bookmarkEnd w:id="25"/>
      <w:bookmarkStart w:id="26" w:name="_Toc125183170"/>
      <w:bookmarkEnd w:id="26"/>
      <w:bookmarkStart w:id="27" w:name="_Toc104714659"/>
      <w:bookmarkEnd w:id="27"/>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pPr>
        <w:pStyle w:val="3"/>
        <w:tabs>
          <w:tab w:val="left" w:pos="720"/>
        </w:tabs>
        <w:rPr>
          <w:rFonts w:hint="eastAsia" w:ascii="仿宋_GB2312" w:hAnsi="仿宋_GB2312" w:eastAsia="仿宋_GB2312" w:cs="仿宋_GB2312"/>
          <w:sz w:val="24"/>
          <w:szCs w:val="24"/>
        </w:rPr>
      </w:pPr>
      <w:bookmarkStart w:id="28" w:name="_Toc9014"/>
      <w:r>
        <w:rPr>
          <w:rFonts w:hint="eastAsia" w:ascii="仿宋_GB2312" w:hAnsi="仿宋_GB2312" w:eastAsia="仿宋_GB2312" w:cs="仿宋_GB2312"/>
          <w:sz w:val="24"/>
          <w:szCs w:val="24"/>
        </w:rPr>
        <w:t>附件6.</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 xml:space="preserve"> 商务偏离表格式</w:t>
      </w:r>
      <w:bookmarkEnd w:id="28"/>
    </w:p>
    <w:p>
      <w:pPr>
        <w:adjustRightInd w:val="0"/>
        <w:snapToGrid w:val="0"/>
        <w:spacing w:line="360" w:lineRule="auto"/>
        <w:jc w:val="center"/>
        <w:rPr>
          <w:rFonts w:hint="eastAsia" w:ascii="仿宋_GB2312" w:hAnsi="仿宋_GB2312" w:eastAsia="仿宋_GB2312" w:cs="仿宋_GB2312"/>
          <w:b/>
          <w:bCs/>
          <w:snapToGrid w:val="0"/>
          <w:sz w:val="24"/>
          <w:szCs w:val="24"/>
        </w:rPr>
      </w:pPr>
    </w:p>
    <w:p>
      <w:pPr>
        <w:adjustRightInd w:val="0"/>
        <w:snapToGrid w:val="0"/>
        <w:spacing w:line="360" w:lineRule="auto"/>
        <w:jc w:val="center"/>
        <w:rPr>
          <w:rFonts w:hint="eastAsia" w:ascii="仿宋_GB2312" w:hAnsi="仿宋_GB2312" w:eastAsia="仿宋_GB2312" w:cs="仿宋_GB2312"/>
          <w:b/>
          <w:bCs/>
          <w:snapToGrid w:val="0"/>
          <w:sz w:val="24"/>
          <w:szCs w:val="24"/>
        </w:rPr>
      </w:pPr>
      <w:r>
        <w:rPr>
          <w:rFonts w:hint="eastAsia" w:ascii="仿宋_GB2312" w:hAnsi="仿宋_GB2312" w:eastAsia="仿宋_GB2312" w:cs="仿宋_GB2312"/>
          <w:b/>
          <w:bCs/>
          <w:snapToGrid w:val="0"/>
          <w:sz w:val="24"/>
          <w:szCs w:val="24"/>
        </w:rPr>
        <w:t>商务条款偏离表</w:t>
      </w:r>
    </w:p>
    <w:p>
      <w:pPr>
        <w:adjustRightInd w:val="0"/>
        <w:snapToGrid w:val="0"/>
        <w:spacing w:line="360" w:lineRule="auto"/>
        <w:ind w:hanging="119"/>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供应商名称:</w:t>
      </w:r>
      <w:r>
        <w:rPr>
          <w:rFonts w:hint="eastAsia" w:ascii="仿宋_GB2312" w:hAnsi="仿宋_GB2312" w:eastAsia="仿宋_GB2312" w:cs="仿宋_GB2312"/>
          <w:sz w:val="24"/>
          <w:szCs w:val="24"/>
          <w:u w:val="single"/>
        </w:rPr>
        <w:t xml:space="preserve"> </w:t>
      </w:r>
    </w:p>
    <w:p>
      <w:pPr>
        <w:adjustRightInd w:val="0"/>
        <w:snapToGrid w:val="0"/>
        <w:spacing w:line="360" w:lineRule="auto"/>
        <w:ind w:hanging="119"/>
        <w:rPr>
          <w:rFonts w:hint="eastAsia" w:ascii="仿宋_GB2312" w:hAnsi="仿宋_GB2312" w:eastAsia="仿宋_GB2312" w:cs="仿宋_GB2312"/>
          <w:sz w:val="24"/>
          <w:szCs w:val="24"/>
          <w:u w:val="single"/>
          <w:lang w:eastAsia="zh-CN"/>
        </w:rPr>
      </w:pPr>
      <w:r>
        <w:rPr>
          <w:rFonts w:hint="eastAsia" w:ascii="仿宋_GB2312" w:hAnsi="仿宋_GB2312" w:eastAsia="仿宋_GB2312" w:cs="仿宋_GB2312"/>
          <w:sz w:val="24"/>
          <w:szCs w:val="24"/>
        </w:rPr>
        <w:t>项目名称：</w:t>
      </w:r>
      <w:r>
        <w:rPr>
          <w:rFonts w:hint="eastAsia" w:ascii="仿宋_GB2312" w:hAnsi="仿宋_GB2312" w:eastAsia="仿宋_GB2312" w:cs="仿宋_GB2312"/>
          <w:sz w:val="24"/>
          <w:szCs w:val="24"/>
          <w:u w:val="single"/>
          <w:lang w:eastAsia="zh-CN"/>
        </w:rPr>
        <w:t>人保财险西藏阿里分公司公务、农险、理赔用车车辆定点维修保养服务采购项目</w:t>
      </w:r>
    </w:p>
    <w:tbl>
      <w:tblPr>
        <w:tblStyle w:val="14"/>
        <w:tblW w:w="8774" w:type="dxa"/>
        <w:tblInd w:w="0" w:type="dxa"/>
        <w:tblLayout w:type="fixed"/>
        <w:tblCellMar>
          <w:top w:w="0" w:type="dxa"/>
          <w:left w:w="0" w:type="dxa"/>
          <w:bottom w:w="0" w:type="dxa"/>
          <w:right w:w="0" w:type="dxa"/>
        </w:tblCellMar>
      </w:tblPr>
      <w:tblGrid>
        <w:gridCol w:w="806"/>
        <w:gridCol w:w="2156"/>
        <w:gridCol w:w="2410"/>
        <w:gridCol w:w="2410"/>
        <w:gridCol w:w="992"/>
      </w:tblGrid>
      <w:tr>
        <w:tblPrEx>
          <w:tblCellMar>
            <w:top w:w="0" w:type="dxa"/>
            <w:left w:w="0" w:type="dxa"/>
            <w:bottom w:w="0" w:type="dxa"/>
            <w:right w:w="0" w:type="dxa"/>
          </w:tblCellMar>
        </w:tblPrEx>
        <w:tc>
          <w:tcPr>
            <w:tcW w:w="806"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2156"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磋商文件条款号</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磋商文件的合同条款</w:t>
            </w:r>
          </w:p>
        </w:tc>
        <w:tc>
          <w:tcPr>
            <w:tcW w:w="2410" w:type="dxa"/>
            <w:tcBorders>
              <w:top w:val="single" w:color="auto" w:sz="12" w:space="0"/>
              <w:left w:val="nil"/>
              <w:bottom w:val="single" w:color="auto" w:sz="8" w:space="0"/>
              <w:right w:val="single" w:color="auto" w:sz="8" w:space="0"/>
            </w:tcBorders>
            <w:tcMar>
              <w:top w:w="0" w:type="dxa"/>
              <w:left w:w="108" w:type="dxa"/>
              <w:bottom w:w="0" w:type="dxa"/>
              <w:right w:w="108" w:type="dxa"/>
            </w:tcMar>
            <w:vAlign w:val="cente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响应文件的合同条款</w:t>
            </w:r>
          </w:p>
        </w:tc>
        <w:tc>
          <w:tcPr>
            <w:tcW w:w="992" w:type="dxa"/>
            <w:tcBorders>
              <w:top w:val="single" w:color="auto" w:sz="12" w:space="0"/>
              <w:left w:val="nil"/>
              <w:bottom w:val="single" w:color="auto" w:sz="8" w:space="0"/>
              <w:right w:val="single" w:color="auto" w:sz="12" w:space="0"/>
            </w:tcBorders>
            <w:tcMar>
              <w:top w:w="0" w:type="dxa"/>
              <w:left w:w="108" w:type="dxa"/>
              <w:bottom w:w="0" w:type="dxa"/>
              <w:right w:w="108" w:type="dxa"/>
            </w:tcMar>
            <w:vAlign w:val="cente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说明</w:t>
            </w: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21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99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r>
        <w:tblPrEx>
          <w:tblCellMar>
            <w:top w:w="0" w:type="dxa"/>
            <w:left w:w="0" w:type="dxa"/>
            <w:bottom w:w="0" w:type="dxa"/>
            <w:right w:w="0" w:type="dxa"/>
          </w:tblCellMar>
        </w:tblPrEx>
        <w:tc>
          <w:tcPr>
            <w:tcW w:w="806"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2156"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410"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992" w:type="dxa"/>
            <w:tcBorders>
              <w:top w:val="nil"/>
              <w:left w:val="nil"/>
              <w:bottom w:val="single" w:color="auto" w:sz="12"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bl>
    <w:p>
      <w:pPr>
        <w:adjustRightInd w:val="0"/>
        <w:snapToGrid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供应商应对磋商文件第五章“采购项目要求”和第八章合同主要条款内容进行响应，并对偏差情况做出必要说明。供应商应对故意隐瞒商务偏差的行为承担责任。如不列出，则视为供应商完全接受《磋商文件》的商务条款。</w:t>
      </w:r>
    </w:p>
    <w:p>
      <w:pPr>
        <w:adjustRightInd w:val="0"/>
        <w:snapToGrid w:val="0"/>
        <w:spacing w:line="360" w:lineRule="auto"/>
        <w:rPr>
          <w:rFonts w:hint="eastAsia" w:ascii="仿宋_GB2312" w:hAnsi="仿宋_GB2312" w:eastAsia="仿宋_GB2312" w:cs="仿宋_GB2312"/>
          <w:sz w:val="24"/>
          <w:szCs w:val="24"/>
        </w:rPr>
      </w:pPr>
    </w:p>
    <w:p>
      <w:pPr>
        <w:adjustRightInd w:val="0"/>
        <w:snapToGrid w:val="0"/>
        <w:spacing w:line="360" w:lineRule="auto"/>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授权代表签字并加盖公章：</w:t>
      </w:r>
      <w:r>
        <w:rPr>
          <w:rFonts w:hint="eastAsia" w:ascii="仿宋_GB2312" w:hAnsi="仿宋_GB2312" w:eastAsia="仿宋_GB2312" w:cs="仿宋_GB2312"/>
          <w:sz w:val="24"/>
          <w:szCs w:val="24"/>
          <w:u w:val="single"/>
        </w:rPr>
        <w:t xml:space="preserve"> </w:t>
      </w:r>
    </w:p>
    <w:p>
      <w:pPr>
        <w:adjustRightInd w:val="0"/>
        <w:snapToGrid w:val="0"/>
        <w:spacing w:line="360" w:lineRule="auto"/>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日期：</w:t>
      </w:r>
      <w:r>
        <w:rPr>
          <w:rFonts w:hint="eastAsia" w:ascii="仿宋_GB2312" w:hAnsi="仿宋_GB2312" w:eastAsia="仿宋_GB2312" w:cs="仿宋_GB2312"/>
          <w:sz w:val="24"/>
          <w:szCs w:val="24"/>
          <w:u w:val="single"/>
        </w:rPr>
        <w:t xml:space="preserve"> </w:t>
      </w:r>
    </w:p>
    <w:p>
      <w:pPr>
        <w:pStyle w:val="3"/>
        <w:tabs>
          <w:tab w:val="left" w:pos="720"/>
        </w:tabs>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bookmarkStart w:id="29" w:name="_Toc17365"/>
      <w:r>
        <w:rPr>
          <w:rFonts w:hint="eastAsia" w:ascii="仿宋_GB2312" w:hAnsi="仿宋_GB2312" w:eastAsia="仿宋_GB2312" w:cs="仿宋_GB2312"/>
          <w:sz w:val="24"/>
          <w:szCs w:val="24"/>
        </w:rPr>
        <w:t>附件6.</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 xml:space="preserve"> 技术偏离表格式</w:t>
      </w:r>
      <w:bookmarkEnd w:id="29"/>
    </w:p>
    <w:p>
      <w:pPr>
        <w:adjustRightInd w:val="0"/>
        <w:snapToGrid w:val="0"/>
        <w:spacing w:line="360" w:lineRule="auto"/>
        <w:rPr>
          <w:rFonts w:hint="eastAsia" w:ascii="仿宋_GB2312" w:hAnsi="仿宋_GB2312" w:eastAsia="仿宋_GB2312" w:cs="仿宋_GB2312"/>
          <w:sz w:val="24"/>
          <w:szCs w:val="24"/>
        </w:rPr>
      </w:pPr>
    </w:p>
    <w:p>
      <w:pPr>
        <w:adjustRightInd w:val="0"/>
        <w:snapToGrid w:val="0"/>
        <w:spacing w:line="360" w:lineRule="auto"/>
        <w:jc w:val="center"/>
        <w:rPr>
          <w:rFonts w:hint="eastAsia" w:ascii="仿宋_GB2312" w:hAnsi="仿宋_GB2312" w:eastAsia="仿宋_GB2312" w:cs="仿宋_GB2312"/>
          <w:b/>
          <w:bCs/>
          <w:snapToGrid w:val="0"/>
          <w:sz w:val="24"/>
          <w:szCs w:val="24"/>
        </w:rPr>
      </w:pPr>
      <w:r>
        <w:rPr>
          <w:rFonts w:hint="eastAsia" w:ascii="仿宋_GB2312" w:hAnsi="仿宋_GB2312" w:eastAsia="仿宋_GB2312" w:cs="仿宋_GB2312"/>
          <w:b/>
          <w:bCs/>
          <w:snapToGrid w:val="0"/>
          <w:sz w:val="24"/>
          <w:szCs w:val="24"/>
        </w:rPr>
        <w:t>技术偏离表</w:t>
      </w:r>
    </w:p>
    <w:p>
      <w:pPr>
        <w:adjustRightInd w:val="0"/>
        <w:snapToGrid w:val="0"/>
        <w:spacing w:line="360" w:lineRule="auto"/>
        <w:ind w:hanging="119"/>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供应商名称：</w:t>
      </w:r>
      <w:r>
        <w:rPr>
          <w:rFonts w:hint="eastAsia" w:ascii="仿宋_GB2312" w:hAnsi="仿宋_GB2312" w:eastAsia="仿宋_GB2312" w:cs="仿宋_GB2312"/>
          <w:sz w:val="24"/>
          <w:szCs w:val="24"/>
          <w:u w:val="single"/>
        </w:rPr>
        <w:t xml:space="preserve"> </w:t>
      </w:r>
    </w:p>
    <w:p>
      <w:pPr>
        <w:adjustRightInd w:val="0"/>
        <w:snapToGrid w:val="0"/>
        <w:spacing w:line="360" w:lineRule="auto"/>
        <w:ind w:hanging="119"/>
        <w:rPr>
          <w:rFonts w:hint="eastAsia" w:ascii="仿宋_GB2312" w:hAnsi="仿宋_GB2312" w:eastAsia="仿宋_GB2312" w:cs="仿宋_GB2312"/>
          <w:sz w:val="24"/>
          <w:szCs w:val="24"/>
          <w:u w:val="single"/>
          <w:lang w:eastAsia="zh-CN"/>
        </w:rPr>
      </w:pPr>
      <w:r>
        <w:rPr>
          <w:rFonts w:hint="eastAsia" w:ascii="仿宋_GB2312" w:hAnsi="仿宋_GB2312" w:eastAsia="仿宋_GB2312" w:cs="仿宋_GB2312"/>
          <w:sz w:val="24"/>
          <w:szCs w:val="24"/>
        </w:rPr>
        <w:t>项目名称：</w:t>
      </w:r>
      <w:r>
        <w:rPr>
          <w:rFonts w:hint="eastAsia" w:ascii="仿宋_GB2312" w:hAnsi="仿宋_GB2312" w:eastAsia="仿宋_GB2312" w:cs="仿宋_GB2312"/>
          <w:sz w:val="24"/>
          <w:szCs w:val="24"/>
          <w:u w:val="single"/>
          <w:lang w:eastAsia="zh-CN"/>
        </w:rPr>
        <w:t>人保财险西藏阿里分公司公务、农险、理赔用车车辆定点维修保养服务采购项目</w:t>
      </w:r>
    </w:p>
    <w:tbl>
      <w:tblPr>
        <w:tblStyle w:val="14"/>
        <w:tblW w:w="8987" w:type="dxa"/>
        <w:tblInd w:w="0" w:type="dxa"/>
        <w:tblLayout w:type="fixed"/>
        <w:tblCellMar>
          <w:top w:w="0" w:type="dxa"/>
          <w:left w:w="0" w:type="dxa"/>
          <w:bottom w:w="0" w:type="dxa"/>
          <w:right w:w="0" w:type="dxa"/>
        </w:tblCellMar>
      </w:tblPr>
      <w:tblGrid>
        <w:gridCol w:w="850"/>
        <w:gridCol w:w="1984"/>
        <w:gridCol w:w="2555"/>
        <w:gridCol w:w="2556"/>
        <w:gridCol w:w="1042"/>
      </w:tblGrid>
      <w:tr>
        <w:tblPrEx>
          <w:tblCellMar>
            <w:top w:w="0" w:type="dxa"/>
            <w:left w:w="0" w:type="dxa"/>
            <w:bottom w:w="0" w:type="dxa"/>
            <w:right w:w="0" w:type="dxa"/>
          </w:tblCellMar>
        </w:tblPrEx>
        <w:trPr>
          <w:trHeight w:val="561" w:hRule="atLeast"/>
        </w:trPr>
        <w:tc>
          <w:tcPr>
            <w:tcW w:w="850" w:type="dxa"/>
            <w:tcBorders>
              <w:top w:val="single" w:color="auto" w:sz="12" w:space="0"/>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1984"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磋商文件条目号</w:t>
            </w:r>
          </w:p>
        </w:tc>
        <w:tc>
          <w:tcPr>
            <w:tcW w:w="2555"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磋商文件的技术条目</w:t>
            </w:r>
          </w:p>
        </w:tc>
        <w:tc>
          <w:tcPr>
            <w:tcW w:w="2556" w:type="dxa"/>
            <w:tcBorders>
              <w:top w:val="single" w:color="auto" w:sz="12" w:space="0"/>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响应文件的技术条目</w:t>
            </w:r>
          </w:p>
        </w:tc>
        <w:tc>
          <w:tcPr>
            <w:tcW w:w="1042" w:type="dxa"/>
            <w:tcBorders>
              <w:top w:val="single" w:color="auto" w:sz="12" w:space="0"/>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说明</w:t>
            </w: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r>
        <w:tblPrEx>
          <w:tblCellMar>
            <w:top w:w="0" w:type="dxa"/>
            <w:left w:w="0" w:type="dxa"/>
            <w:bottom w:w="0" w:type="dxa"/>
            <w:right w:w="0" w:type="dxa"/>
          </w:tblCellMar>
        </w:tblPrEx>
        <w:trPr>
          <w:trHeight w:val="477" w:hRule="atLeast"/>
        </w:trPr>
        <w:tc>
          <w:tcPr>
            <w:tcW w:w="850" w:type="dxa"/>
            <w:tcBorders>
              <w:top w:val="nil"/>
              <w:left w:val="single" w:color="auto" w:sz="12" w:space="0"/>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w:t>
            </w:r>
          </w:p>
        </w:tc>
        <w:tc>
          <w:tcPr>
            <w:tcW w:w="1984"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5"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6" w:type="dxa"/>
            <w:tcBorders>
              <w:top w:val="nil"/>
              <w:left w:val="nil"/>
              <w:bottom w:val="single" w:color="auto" w:sz="8"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1042" w:type="dxa"/>
            <w:tcBorders>
              <w:top w:val="nil"/>
              <w:left w:val="nil"/>
              <w:bottom w:val="single" w:color="auto" w:sz="8"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r>
        <w:tblPrEx>
          <w:tblCellMar>
            <w:top w:w="0" w:type="dxa"/>
            <w:left w:w="0" w:type="dxa"/>
            <w:bottom w:w="0" w:type="dxa"/>
            <w:right w:w="0" w:type="dxa"/>
          </w:tblCellMar>
        </w:tblPrEx>
        <w:trPr>
          <w:trHeight w:val="465" w:hRule="atLeast"/>
        </w:trPr>
        <w:tc>
          <w:tcPr>
            <w:tcW w:w="850" w:type="dxa"/>
            <w:tcBorders>
              <w:top w:val="nil"/>
              <w:left w:val="single" w:color="auto" w:sz="12" w:space="0"/>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w:t>
            </w:r>
          </w:p>
        </w:tc>
        <w:tc>
          <w:tcPr>
            <w:tcW w:w="1984"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5"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2556" w:type="dxa"/>
            <w:tcBorders>
              <w:top w:val="nil"/>
              <w:left w:val="nil"/>
              <w:bottom w:val="single" w:color="auto" w:sz="12" w:space="0"/>
              <w:right w:val="single" w:color="auto" w:sz="8"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c>
          <w:tcPr>
            <w:tcW w:w="1042" w:type="dxa"/>
            <w:tcBorders>
              <w:top w:val="nil"/>
              <w:left w:val="nil"/>
              <w:bottom w:val="single" w:color="auto" w:sz="12" w:space="0"/>
              <w:right w:val="single" w:color="auto" w:sz="12" w:space="0"/>
            </w:tcBorders>
            <w:tcMar>
              <w:top w:w="0" w:type="dxa"/>
              <w:left w:w="108" w:type="dxa"/>
              <w:bottom w:w="0" w:type="dxa"/>
              <w:right w:w="108" w:type="dxa"/>
            </w:tcMar>
          </w:tcPr>
          <w:p>
            <w:pPr>
              <w:adjustRightInd w:val="0"/>
              <w:snapToGrid w:val="0"/>
              <w:spacing w:line="360" w:lineRule="auto"/>
              <w:rPr>
                <w:rFonts w:hint="eastAsia" w:ascii="仿宋_GB2312" w:hAnsi="仿宋_GB2312" w:eastAsia="仿宋_GB2312" w:cs="仿宋_GB2312"/>
                <w:sz w:val="24"/>
                <w:szCs w:val="24"/>
              </w:rPr>
            </w:pPr>
          </w:p>
        </w:tc>
      </w:tr>
    </w:tbl>
    <w:p>
      <w:pPr>
        <w:adjustRightInd w:val="0"/>
        <w:snapToGrid w:val="0"/>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供应商应对磋商文件第五章“采购项目要求”内容进行响应，并对偏差情况做出必要说明，供应商应对故意隐瞒技术偏差的行为承担责任。如不列出的，视为供应商完全接受《磋商文件》的技术条款且无负偏离。</w:t>
      </w:r>
    </w:p>
    <w:p>
      <w:pPr>
        <w:adjustRightInd w:val="0"/>
        <w:snapToGrid w:val="0"/>
        <w:spacing w:line="360" w:lineRule="auto"/>
        <w:rPr>
          <w:rFonts w:hint="eastAsia" w:ascii="仿宋_GB2312" w:hAnsi="仿宋_GB2312" w:eastAsia="仿宋_GB2312" w:cs="仿宋_GB2312"/>
          <w:sz w:val="24"/>
          <w:szCs w:val="24"/>
        </w:rPr>
      </w:pPr>
    </w:p>
    <w:p>
      <w:pPr>
        <w:adjustRightInd w:val="0"/>
        <w:snapToGrid w:val="0"/>
        <w:spacing w:line="360" w:lineRule="auto"/>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授权代表签字并加盖公章：</w:t>
      </w:r>
      <w:r>
        <w:rPr>
          <w:rFonts w:hint="eastAsia" w:ascii="仿宋_GB2312" w:hAnsi="仿宋_GB2312" w:eastAsia="仿宋_GB2312" w:cs="仿宋_GB2312"/>
          <w:sz w:val="24"/>
          <w:szCs w:val="24"/>
          <w:u w:val="single"/>
        </w:rPr>
        <w:t xml:space="preserve"> </w:t>
      </w:r>
    </w:p>
    <w:p>
      <w:pPr>
        <w:adjustRightInd w:val="0"/>
        <w:snapToGrid w:val="0"/>
        <w:spacing w:line="360" w:lineRule="auto"/>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rPr>
        <w:t>日期：</w:t>
      </w:r>
      <w:r>
        <w:rPr>
          <w:rFonts w:hint="eastAsia" w:ascii="仿宋_GB2312" w:hAnsi="仿宋_GB2312" w:eastAsia="仿宋_GB2312" w:cs="仿宋_GB2312"/>
          <w:sz w:val="24"/>
          <w:szCs w:val="24"/>
          <w:u w:val="single"/>
        </w:rPr>
        <w:t xml:space="preserve"> </w:t>
      </w:r>
    </w:p>
    <w:p>
      <w:pPr>
        <w:rPr>
          <w:rFonts w:hint="eastAsia" w:ascii="仿宋_GB2312" w:hAnsi="仿宋_GB2312" w:eastAsia="仿宋_GB2312" w:cs="仿宋_GB2312"/>
          <w:sz w:val="24"/>
          <w:szCs w:val="24"/>
          <w:u w:val="single"/>
        </w:rPr>
      </w:pPr>
      <w:r>
        <w:rPr>
          <w:rFonts w:hint="eastAsia" w:ascii="仿宋_GB2312" w:hAnsi="仿宋_GB2312" w:eastAsia="仿宋_GB2312" w:cs="仿宋_GB2312"/>
          <w:sz w:val="24"/>
          <w:szCs w:val="24"/>
          <w:u w:val="single"/>
        </w:rPr>
        <w:br w:type="page"/>
      </w:r>
    </w:p>
    <w:p>
      <w:pPr>
        <w:pStyle w:val="3"/>
        <w:tabs>
          <w:tab w:val="left" w:pos="720"/>
        </w:tabs>
        <w:adjustRightInd w:val="0"/>
        <w:snapToGrid w:val="0"/>
        <w:spacing w:before="0" w:after="0"/>
        <w:rPr>
          <w:rFonts w:hint="eastAsia" w:ascii="仿宋_GB2312" w:hAnsi="仿宋_GB2312" w:eastAsia="仿宋_GB2312" w:cs="仿宋_GB2312"/>
          <w:sz w:val="24"/>
          <w:szCs w:val="24"/>
        </w:rPr>
      </w:pPr>
      <w:bookmarkStart w:id="30" w:name="_Toc17632"/>
      <w:r>
        <w:rPr>
          <w:rFonts w:hint="eastAsia" w:ascii="仿宋_GB2312" w:hAnsi="仿宋_GB2312" w:eastAsia="仿宋_GB2312" w:cs="仿宋_GB2312"/>
          <w:sz w:val="24"/>
          <w:szCs w:val="24"/>
        </w:rPr>
        <w:t>附件6.</w:t>
      </w:r>
      <w:r>
        <w:rPr>
          <w:rFonts w:hint="eastAsia" w:ascii="仿宋_GB2312" w:hAnsi="仿宋_GB2312" w:eastAsia="仿宋_GB2312" w:cs="仿宋_GB2312"/>
          <w:sz w:val="24"/>
          <w:szCs w:val="24"/>
          <w:lang w:val="en-US" w:eastAsia="zh-CN"/>
        </w:rPr>
        <w:t>7</w:t>
      </w:r>
      <w:r>
        <w:rPr>
          <w:rFonts w:hint="eastAsia" w:ascii="仿宋_GB2312" w:hAnsi="仿宋_GB2312" w:eastAsia="仿宋_GB2312" w:cs="仿宋_GB2312"/>
          <w:sz w:val="24"/>
          <w:szCs w:val="24"/>
        </w:rPr>
        <w:t>已完成类似项目一览表</w:t>
      </w:r>
      <w:bookmarkEnd w:id="30"/>
    </w:p>
    <w:tbl>
      <w:tblPr>
        <w:tblStyle w:val="14"/>
        <w:tblW w:w="5320" w:type="pct"/>
        <w:jc w:val="center"/>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Layout w:type="autofit"/>
        <w:tblCellMar>
          <w:top w:w="0" w:type="dxa"/>
          <w:left w:w="108" w:type="dxa"/>
          <w:bottom w:w="0" w:type="dxa"/>
          <w:right w:w="108" w:type="dxa"/>
        </w:tblCellMar>
      </w:tblPr>
      <w:tblGrid>
        <w:gridCol w:w="843"/>
        <w:gridCol w:w="1087"/>
        <w:gridCol w:w="881"/>
        <w:gridCol w:w="881"/>
        <w:gridCol w:w="881"/>
        <w:gridCol w:w="881"/>
        <w:gridCol w:w="2025"/>
        <w:gridCol w:w="2135"/>
      </w:tblGrid>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jc w:val="center"/>
        </w:trPr>
        <w:tc>
          <w:tcPr>
            <w:tcW w:w="439"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序号</w:t>
            </w:r>
          </w:p>
        </w:tc>
        <w:tc>
          <w:tcPr>
            <w:tcW w:w="565"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合同名称</w:t>
            </w:r>
          </w:p>
        </w:tc>
        <w:tc>
          <w:tcPr>
            <w:tcW w:w="458"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合同乙方单位名称</w:t>
            </w:r>
          </w:p>
        </w:tc>
        <w:tc>
          <w:tcPr>
            <w:tcW w:w="458"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合同标的</w:t>
            </w:r>
          </w:p>
        </w:tc>
        <w:tc>
          <w:tcPr>
            <w:tcW w:w="458"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合同金额</w:t>
            </w:r>
          </w:p>
        </w:tc>
        <w:tc>
          <w:tcPr>
            <w:tcW w:w="458"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签署日期</w:t>
            </w:r>
          </w:p>
        </w:tc>
        <w:tc>
          <w:tcPr>
            <w:tcW w:w="1053"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甲方单位名称/联系人</w:t>
            </w:r>
          </w:p>
        </w:tc>
        <w:tc>
          <w:tcPr>
            <w:tcW w:w="1110"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提供的证明文件所在响应文件中的页码</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hint="eastAsia" w:ascii="仿宋_GB2312" w:hAnsi="仿宋_GB2312" w:eastAsia="仿宋_GB2312" w:cs="仿宋_GB2312"/>
                <w:sz w:val="24"/>
                <w:szCs w:val="24"/>
              </w:rPr>
            </w:pPr>
          </w:p>
        </w:tc>
        <w:tc>
          <w:tcPr>
            <w:tcW w:w="565"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1053" w:type="pct"/>
            <w:vAlign w:val="center"/>
          </w:tcPr>
          <w:p>
            <w:pPr>
              <w:spacing w:line="360" w:lineRule="auto"/>
              <w:jc w:val="center"/>
              <w:rPr>
                <w:rFonts w:hint="eastAsia" w:ascii="仿宋_GB2312" w:hAnsi="仿宋_GB2312" w:eastAsia="仿宋_GB2312" w:cs="仿宋_GB2312"/>
                <w:sz w:val="24"/>
                <w:szCs w:val="24"/>
              </w:rPr>
            </w:pPr>
          </w:p>
        </w:tc>
        <w:tc>
          <w:tcPr>
            <w:tcW w:w="1110"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第_页至第</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hint="eastAsia" w:ascii="仿宋_GB2312" w:hAnsi="仿宋_GB2312" w:eastAsia="仿宋_GB2312" w:cs="仿宋_GB2312"/>
                <w:sz w:val="24"/>
                <w:szCs w:val="24"/>
              </w:rPr>
            </w:pPr>
          </w:p>
        </w:tc>
        <w:tc>
          <w:tcPr>
            <w:tcW w:w="565"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1053" w:type="pct"/>
            <w:vAlign w:val="center"/>
          </w:tcPr>
          <w:p>
            <w:pPr>
              <w:spacing w:line="360" w:lineRule="auto"/>
              <w:jc w:val="center"/>
              <w:rPr>
                <w:rFonts w:hint="eastAsia" w:ascii="仿宋_GB2312" w:hAnsi="仿宋_GB2312" w:eastAsia="仿宋_GB2312" w:cs="仿宋_GB2312"/>
                <w:sz w:val="24"/>
                <w:szCs w:val="24"/>
              </w:rPr>
            </w:pPr>
          </w:p>
        </w:tc>
        <w:tc>
          <w:tcPr>
            <w:tcW w:w="1110"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第_页至第</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hint="eastAsia" w:ascii="仿宋_GB2312" w:hAnsi="仿宋_GB2312" w:eastAsia="仿宋_GB2312" w:cs="仿宋_GB2312"/>
                <w:sz w:val="24"/>
                <w:szCs w:val="24"/>
              </w:rPr>
            </w:pPr>
          </w:p>
        </w:tc>
        <w:tc>
          <w:tcPr>
            <w:tcW w:w="565"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1053" w:type="pct"/>
            <w:vAlign w:val="center"/>
          </w:tcPr>
          <w:p>
            <w:pPr>
              <w:spacing w:line="360" w:lineRule="auto"/>
              <w:jc w:val="center"/>
              <w:rPr>
                <w:rFonts w:hint="eastAsia" w:ascii="仿宋_GB2312" w:hAnsi="仿宋_GB2312" w:eastAsia="仿宋_GB2312" w:cs="仿宋_GB2312"/>
                <w:sz w:val="24"/>
                <w:szCs w:val="24"/>
              </w:rPr>
            </w:pPr>
          </w:p>
        </w:tc>
        <w:tc>
          <w:tcPr>
            <w:tcW w:w="1110"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第_页至第</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hint="eastAsia" w:ascii="仿宋_GB2312" w:hAnsi="仿宋_GB2312" w:eastAsia="仿宋_GB2312" w:cs="仿宋_GB2312"/>
                <w:sz w:val="24"/>
                <w:szCs w:val="24"/>
              </w:rPr>
            </w:pPr>
          </w:p>
        </w:tc>
        <w:tc>
          <w:tcPr>
            <w:tcW w:w="565"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1053" w:type="pct"/>
            <w:vAlign w:val="center"/>
          </w:tcPr>
          <w:p>
            <w:pPr>
              <w:spacing w:line="360" w:lineRule="auto"/>
              <w:jc w:val="center"/>
              <w:rPr>
                <w:rFonts w:hint="eastAsia" w:ascii="仿宋_GB2312" w:hAnsi="仿宋_GB2312" w:eastAsia="仿宋_GB2312" w:cs="仿宋_GB2312"/>
                <w:sz w:val="24"/>
                <w:szCs w:val="24"/>
              </w:rPr>
            </w:pPr>
          </w:p>
        </w:tc>
        <w:tc>
          <w:tcPr>
            <w:tcW w:w="1110"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第_页至第</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页</w:t>
            </w:r>
          </w:p>
        </w:tc>
      </w:tr>
      <w:tr>
        <w:tblPrEx>
          <w:tblBorders>
            <w:top w:val="double" w:color="auto" w:sz="4" w:space="0"/>
            <w:left w:val="double" w:color="auto" w:sz="4" w:space="0"/>
            <w:bottom w:val="double" w:color="auto" w:sz="4" w:space="0"/>
            <w:right w:val="double" w:color="auto" w:sz="4" w:space="0"/>
            <w:insideH w:val="single" w:color="auto" w:sz="6" w:space="0"/>
            <w:insideV w:val="single" w:color="auto" w:sz="6" w:space="0"/>
          </w:tblBorders>
          <w:tblCellMar>
            <w:top w:w="0" w:type="dxa"/>
            <w:left w:w="108" w:type="dxa"/>
            <w:bottom w:w="0" w:type="dxa"/>
            <w:right w:w="108" w:type="dxa"/>
          </w:tblCellMar>
        </w:tblPrEx>
        <w:trPr>
          <w:trHeight w:val="872" w:hRule="atLeast"/>
          <w:jc w:val="center"/>
        </w:trPr>
        <w:tc>
          <w:tcPr>
            <w:tcW w:w="439" w:type="pct"/>
            <w:vAlign w:val="center"/>
          </w:tcPr>
          <w:p>
            <w:pPr>
              <w:spacing w:line="360" w:lineRule="auto"/>
              <w:jc w:val="center"/>
              <w:rPr>
                <w:rFonts w:hint="eastAsia" w:ascii="仿宋_GB2312" w:hAnsi="仿宋_GB2312" w:eastAsia="仿宋_GB2312" w:cs="仿宋_GB2312"/>
                <w:sz w:val="24"/>
                <w:szCs w:val="24"/>
              </w:rPr>
            </w:pPr>
          </w:p>
        </w:tc>
        <w:tc>
          <w:tcPr>
            <w:tcW w:w="565"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458" w:type="pct"/>
            <w:vAlign w:val="center"/>
          </w:tcPr>
          <w:p>
            <w:pPr>
              <w:spacing w:line="360" w:lineRule="auto"/>
              <w:jc w:val="center"/>
              <w:rPr>
                <w:rFonts w:hint="eastAsia" w:ascii="仿宋_GB2312" w:hAnsi="仿宋_GB2312" w:eastAsia="仿宋_GB2312" w:cs="仿宋_GB2312"/>
                <w:sz w:val="24"/>
                <w:szCs w:val="24"/>
              </w:rPr>
            </w:pPr>
          </w:p>
        </w:tc>
        <w:tc>
          <w:tcPr>
            <w:tcW w:w="1053" w:type="pct"/>
            <w:vAlign w:val="center"/>
          </w:tcPr>
          <w:p>
            <w:pPr>
              <w:spacing w:line="360" w:lineRule="auto"/>
              <w:jc w:val="center"/>
              <w:rPr>
                <w:rFonts w:hint="eastAsia" w:ascii="仿宋_GB2312" w:hAnsi="仿宋_GB2312" w:eastAsia="仿宋_GB2312" w:cs="仿宋_GB2312"/>
                <w:sz w:val="24"/>
                <w:szCs w:val="24"/>
              </w:rPr>
            </w:pPr>
          </w:p>
        </w:tc>
        <w:tc>
          <w:tcPr>
            <w:tcW w:w="1110" w:type="pct"/>
            <w:vAlign w:val="center"/>
          </w:tcPr>
          <w:p>
            <w:pPr>
              <w:spacing w:line="36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第_页至第</w:t>
            </w:r>
            <w:r>
              <w:rPr>
                <w:rFonts w:hint="eastAsia" w:ascii="仿宋_GB2312" w:hAnsi="仿宋_GB2312" w:eastAsia="仿宋_GB2312" w:cs="仿宋_GB2312"/>
                <w:sz w:val="24"/>
                <w:szCs w:val="24"/>
                <w:u w:val="single"/>
              </w:rPr>
              <w:t xml:space="preserve"> </w:t>
            </w:r>
            <w:r>
              <w:rPr>
                <w:rFonts w:hint="eastAsia" w:ascii="仿宋_GB2312" w:hAnsi="仿宋_GB2312" w:eastAsia="仿宋_GB2312" w:cs="仿宋_GB2312"/>
                <w:sz w:val="24"/>
                <w:szCs w:val="24"/>
              </w:rPr>
              <w:t>页</w:t>
            </w:r>
          </w:p>
        </w:tc>
      </w:tr>
    </w:tbl>
    <w:p>
      <w:pPr>
        <w:pStyle w:val="7"/>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注：合同关键页（根据本项目资格要求及评分标准要求提供）复印件。</w:t>
      </w: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pStyle w:val="7"/>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bookmarkStart w:id="31" w:name="_Toc229473567"/>
      <w:bookmarkStart w:id="32" w:name="_Toc330383806"/>
      <w:bookmarkStart w:id="33" w:name="_Toc269806875"/>
      <w:bookmarkStart w:id="34" w:name="_Toc174767234"/>
      <w:bookmarkStart w:id="35" w:name="_Toc95295164"/>
      <w:bookmarkStart w:id="36" w:name="_Toc415216707"/>
      <w:r>
        <w:rPr>
          <w:rFonts w:hint="eastAsia" w:ascii="仿宋_GB2312" w:hAnsi="仿宋_GB2312" w:eastAsia="仿宋_GB2312" w:cs="仿宋_GB2312"/>
          <w:sz w:val="24"/>
          <w:szCs w:val="24"/>
        </w:rPr>
        <w:br w:type="page"/>
      </w:r>
    </w:p>
    <w:p>
      <w:pPr>
        <w:pStyle w:val="3"/>
        <w:tabs>
          <w:tab w:val="left" w:pos="720"/>
        </w:tabs>
        <w:spacing w:line="240" w:lineRule="auto"/>
        <w:rPr>
          <w:rFonts w:hint="eastAsia" w:ascii="仿宋_GB2312" w:hAnsi="仿宋_GB2312" w:eastAsia="仿宋_GB2312" w:cs="仿宋_GB2312"/>
          <w:sz w:val="24"/>
          <w:szCs w:val="24"/>
        </w:rPr>
      </w:pPr>
      <w:bookmarkStart w:id="37" w:name="_Toc7225"/>
      <w:r>
        <w:rPr>
          <w:rFonts w:hint="eastAsia" w:ascii="仿宋_GB2312" w:hAnsi="仿宋_GB2312" w:eastAsia="仿宋_GB2312" w:cs="仿宋_GB2312"/>
          <w:sz w:val="24"/>
          <w:szCs w:val="24"/>
        </w:rPr>
        <w:t>附件6.</w:t>
      </w:r>
      <w:r>
        <w:rPr>
          <w:rFonts w:hint="eastAsia" w:ascii="仿宋_GB2312" w:hAnsi="仿宋_GB2312" w:eastAsia="仿宋_GB2312" w:cs="仿宋_GB2312"/>
          <w:sz w:val="24"/>
          <w:szCs w:val="24"/>
          <w:lang w:val="en-US" w:eastAsia="zh-CN"/>
        </w:rPr>
        <w:t>8</w:t>
      </w:r>
      <w:r>
        <w:rPr>
          <w:rFonts w:hint="eastAsia" w:ascii="仿宋_GB2312" w:hAnsi="仿宋_GB2312" w:eastAsia="仿宋_GB2312" w:cs="仿宋_GB2312"/>
          <w:sz w:val="24"/>
          <w:szCs w:val="24"/>
        </w:rPr>
        <w:t>服务或技术响应方案</w:t>
      </w:r>
      <w:bookmarkEnd w:id="37"/>
    </w:p>
    <w:p>
      <w:pPr>
        <w:adjustRightInd w:val="0"/>
        <w:snapToGrid w:val="0"/>
        <w:spacing w:line="360" w:lineRule="auto"/>
        <w:jc w:val="center"/>
        <w:rPr>
          <w:rFonts w:hint="eastAsia" w:ascii="仿宋_GB2312" w:hAnsi="仿宋_GB2312" w:eastAsia="仿宋_GB2312" w:cs="仿宋_GB2312"/>
          <w:b/>
          <w:sz w:val="24"/>
          <w:szCs w:val="24"/>
        </w:rPr>
      </w:pP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供应商按技术服务要求编写响应方案。</w:t>
      </w:r>
    </w:p>
    <w:p>
      <w:pPr>
        <w:adjustRightInd w:val="0"/>
        <w:snapToGrid w:val="0"/>
        <w:spacing w:line="360" w:lineRule="auto"/>
        <w:ind w:firstLine="564"/>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1.维修和保养服务项目服务范围拟定</w:t>
      </w:r>
    </w:p>
    <w:p>
      <w:pPr>
        <w:adjustRightInd w:val="0"/>
        <w:snapToGrid w:val="0"/>
        <w:spacing w:line="360" w:lineRule="auto"/>
        <w:ind w:firstLine="564"/>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1）车辆维修：包含日常故障维修，快速诊断处理发动机、变速箱、制动系统、电气设备等常见故障；进行各类突发紧急故障抢修，在车辆抛锚等情况下，24小时响应并快速到达现场提供救援维修（对甲方故障车辆实施快速施救措施，在距乙方所在100公里范围内，由乙方派修理人员，免费施救及拖车）；负责车辆大修，对发动机、底盘等关键部件进行全面拆解、维修与更换，恢复车辆整体性能。以及其他车辆维修情况。</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val="en-US" w:eastAsia="zh-CN"/>
        </w:rPr>
        <w:t>需完全满足</w:t>
      </w:r>
      <w:r>
        <w:rPr>
          <w:rFonts w:hint="eastAsia" w:ascii="仿宋_GB2312" w:hAnsi="仿宋_GB2312" w:eastAsia="仿宋_GB2312" w:cs="仿宋_GB2312"/>
          <w:b/>
          <w:bCs/>
          <w:sz w:val="24"/>
          <w:szCs w:val="24"/>
          <w:lang w:eastAsia="zh-CN"/>
        </w:rPr>
        <w:t>）</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车辆保养：落实定期保养，按照车辆行驶里程和使用时间，进行机油更换、滤清器更换、轮胎换位、各部件检查调整等基础保养工作；执行季节性保养，针对冬夏不同季节特点，进行冷却液、空调系统、电瓶等专项检查维护；提供新车磨合期保养，指导驾驶注意事项并进行关键部位检查调整。以及其他车辆保养情况。</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val="en-US" w:eastAsia="zh-CN"/>
        </w:rPr>
        <w:t>需完全满足</w:t>
      </w:r>
      <w:r>
        <w:rPr>
          <w:rFonts w:hint="eastAsia" w:ascii="仿宋_GB2312" w:hAnsi="仿宋_GB2312" w:eastAsia="仿宋_GB2312" w:cs="仿宋_GB2312"/>
          <w:b/>
          <w:bCs/>
          <w:sz w:val="24"/>
          <w:szCs w:val="24"/>
          <w:lang w:eastAsia="zh-CN"/>
        </w:rPr>
        <w:t>）</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（3）零部件更换：依据车辆维修需求，选用符合质量标准的原厂或优质品牌零部件进行更换；建立零部件库存管理机制，对常用零部件保持一定库存，确保及时供应，避免维修延误。</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车辆检测：开展安全性能检测，对制动、转向、灯光等涉及行车安全的系统进行检测；进行尾气排放检测，确保车辆尾气排放达标；利用专业设备进行综合性能检测，评估车辆整体技术状况并提供详细检测报告。</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val="en-US" w:eastAsia="zh-CN"/>
        </w:rPr>
        <w:t>需完全满足</w:t>
      </w:r>
      <w:r>
        <w:rPr>
          <w:rFonts w:hint="eastAsia" w:ascii="仿宋_GB2312" w:hAnsi="仿宋_GB2312" w:eastAsia="仿宋_GB2312" w:cs="仿宋_GB2312"/>
          <w:b/>
          <w:bCs/>
          <w:sz w:val="24"/>
          <w:szCs w:val="24"/>
          <w:lang w:eastAsia="zh-CN"/>
        </w:rPr>
        <w:t>）</w:t>
      </w:r>
    </w:p>
    <w:p>
      <w:pPr>
        <w:adjustRightInd w:val="0"/>
        <w:snapToGrid w:val="0"/>
        <w:spacing w:line="360" w:lineRule="auto"/>
        <w:ind w:firstLine="564"/>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5）增值服务：提供免费洗车服务，在车辆维修保养后对外观和内饰进行清洁；开通24小时救援热线，提供道路救援，包括拖车、搭电、换胎等服务；建立车辆维修保养档案，记录车辆维修保养历史，方便查询和跟踪车辆状况。</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val="en-US" w:eastAsia="zh-CN"/>
        </w:rPr>
        <w:t>部分满足</w:t>
      </w:r>
      <w:r>
        <w:rPr>
          <w:rFonts w:hint="eastAsia" w:ascii="仿宋_GB2312" w:hAnsi="仿宋_GB2312" w:eastAsia="仿宋_GB2312" w:cs="仿宋_GB2312"/>
          <w:b/>
          <w:bCs/>
          <w:sz w:val="24"/>
          <w:szCs w:val="24"/>
          <w:lang w:eastAsia="zh-CN"/>
        </w:rPr>
        <w:t>）</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b/>
          <w:bCs/>
          <w:sz w:val="24"/>
          <w:szCs w:val="24"/>
        </w:rPr>
        <w:t>2.服务要求</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供应商（下称乙方）对分公司（下称甲方）维修的车辆，保质保量同时尽量降低修车费用。所采用的零部件、配件等材料必须符合国家标准，不得使用假冒伪劣产品以次充好，乙方报价（含零配件，工时费）必须合理，若经经甲方市场调研，认为乙方报价高于市场价（同等质量，维修量）的情况下，甲方有权拒绝乙方维修，自行找其他厂商维修。</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在接收到甲方送修人员提供的加盖部门印章的车辆维修审批单后，对照车辆维修审批单申请的维修内容进行维修。维修时需增加项目，必须由送修人员重新提供加盖部门印章或者责任部门主要负责人签字的车辆维修审批单，不得擅自扩大修理范围。</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（3）乙方要切实维护甲方利益，并妥善保管好更好的旧件，出厂时交送修方处理，未经送修方同意，在10个工作日内不得擅自丢弃。杜绝出现有损于客户单位和集体利益的各类言行。</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据国家规定并结合乙方实际，乙方对车辆总成件大修（在正常操作使用的情况下）保修里程为20000KM或100天，二次保养车辆保修为5000公里或三个月，一级维护、小修及专项修理质量保证期为车辆行驶2000公里或者10日（以先到者为准）。另外，若甲方车辆在补漆或烤漆后在半年内出现裂纹、变色、脱落等自然情况，由乙方保修，其余保修情况具体在合同中约定。</w:t>
      </w:r>
    </w:p>
    <w:p>
      <w:pPr>
        <w:adjustRightInd w:val="0"/>
        <w:snapToGrid w:val="0"/>
        <w:spacing w:line="360" w:lineRule="auto"/>
        <w:ind w:firstLine="564"/>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（5）甲方在合同条款范围内涉及到的其他服务要求。</w:t>
      </w:r>
    </w:p>
    <w:p>
      <w:pPr>
        <w:adjustRightInd w:val="0"/>
        <w:snapToGrid w:val="0"/>
        <w:spacing w:line="360" w:lineRule="auto"/>
        <w:ind w:firstLine="564"/>
        <w:rPr>
          <w:rFonts w:hint="eastAsia" w:ascii="仿宋_GB2312" w:hAnsi="仿宋_GB2312" w:eastAsia="仿宋_GB2312" w:cs="仿宋_GB2312"/>
          <w:sz w:val="24"/>
          <w:szCs w:val="24"/>
          <w:lang w:val="en-US" w:eastAsia="zh-CN"/>
        </w:rPr>
      </w:pPr>
    </w:p>
    <w:p>
      <w:pPr>
        <w:adjustRightInd w:val="0"/>
        <w:snapToGrid w:val="0"/>
        <w:spacing w:line="360" w:lineRule="auto"/>
        <w:ind w:firstLine="564"/>
        <w:rPr>
          <w:rFonts w:hint="eastAsia" w:ascii="仿宋_GB2312" w:hAnsi="仿宋_GB2312" w:eastAsia="仿宋_GB2312" w:cs="仿宋_GB2312"/>
          <w:sz w:val="24"/>
          <w:szCs w:val="24"/>
          <w:lang w:val="en-US" w:eastAsia="zh-CN"/>
        </w:rPr>
      </w:pPr>
    </w:p>
    <w:p>
      <w:pP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br w:type="page"/>
      </w:r>
    </w:p>
    <w:p>
      <w:pPr>
        <w:adjustRightInd w:val="0"/>
        <w:snapToGrid w:val="0"/>
        <w:spacing w:line="360" w:lineRule="auto"/>
        <w:jc w:val="center"/>
        <w:rPr>
          <w:rFonts w:hint="eastAsia" w:ascii="仿宋_GB2312" w:hAnsi="仿宋_GB2312" w:eastAsia="仿宋_GB2312" w:cs="仿宋_GB2312"/>
          <w:b/>
          <w:sz w:val="24"/>
          <w:szCs w:val="24"/>
        </w:rPr>
      </w:pPr>
      <w:r>
        <w:rPr>
          <w:rFonts w:hint="eastAsia" w:ascii="仿宋_GB2312" w:hAnsi="仿宋_GB2312" w:eastAsia="仿宋_GB2312" w:cs="仿宋_GB2312"/>
          <w:b/>
          <w:sz w:val="24"/>
          <w:szCs w:val="24"/>
        </w:rPr>
        <w:t>供应商技术/服务响应方案</w:t>
      </w:r>
    </w:p>
    <w:p>
      <w:pPr>
        <w:adjustRightInd w:val="0"/>
        <w:snapToGrid w:val="0"/>
        <w:spacing w:line="360" w:lineRule="auto"/>
        <w:ind w:firstLine="564"/>
        <w:rPr>
          <w:rFonts w:hint="eastAsia" w:ascii="仿宋_GB2312" w:hAnsi="仿宋_GB2312" w:eastAsia="仿宋_GB2312" w:cs="仿宋_GB2312"/>
          <w:b/>
          <w:bCs/>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一、项目背景与服务目标</w:t>
      </w:r>
    </w:p>
    <w:p>
      <w:pPr>
        <w:adjustRightInd w:val="0"/>
        <w:snapToGrid w:val="0"/>
        <w:spacing w:line="360" w:lineRule="auto"/>
        <w:ind w:firstLine="564"/>
        <w:rPr>
          <w:rFonts w:hint="eastAsia" w:ascii="仿宋_GB2312" w:hAnsi="仿宋_GB2312" w:eastAsia="仿宋_GB2312" w:cs="仿宋_GB2312"/>
          <w:b/>
          <w:bCs/>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二、服务内容</w:t>
      </w:r>
    </w:p>
    <w:p>
      <w:pPr>
        <w:adjustRightInd w:val="0"/>
        <w:snapToGrid w:val="0"/>
        <w:spacing w:line="360" w:lineRule="auto"/>
        <w:ind w:firstLine="564"/>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（一）日常保养服务</w:t>
      </w:r>
    </w:p>
    <w:p>
      <w:pPr>
        <w:adjustRightInd w:val="0"/>
        <w:snapToGrid w:val="0"/>
        <w:spacing w:line="360" w:lineRule="auto"/>
        <w:ind w:firstLine="564"/>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（二）维修服务</w:t>
      </w:r>
    </w:p>
    <w:p>
      <w:pPr>
        <w:adjustRightInd w:val="0"/>
        <w:snapToGrid w:val="0"/>
        <w:spacing w:line="360" w:lineRule="auto"/>
        <w:ind w:firstLine="564"/>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（三）零部件供应与更换</w:t>
      </w:r>
    </w:p>
    <w:p>
      <w:pPr>
        <w:adjustRightInd w:val="0"/>
        <w:snapToGrid w:val="0"/>
        <w:spacing w:line="360" w:lineRule="auto"/>
        <w:ind w:firstLine="564"/>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w:t>
      </w:r>
    </w:p>
    <w:p>
      <w:pPr>
        <w:adjustRightInd w:val="0"/>
        <w:snapToGrid w:val="0"/>
        <w:spacing w:line="360" w:lineRule="auto"/>
        <w:ind w:firstLine="564"/>
        <w:rPr>
          <w:rFonts w:hint="eastAsia" w:ascii="仿宋_GB2312" w:hAnsi="仿宋_GB2312" w:eastAsia="仿宋_GB2312" w:cs="仿宋_GB2312"/>
          <w:b/>
          <w:bCs/>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三、技术能力与保障</w:t>
      </w:r>
    </w:p>
    <w:p>
      <w:pPr>
        <w:adjustRightInd w:val="0"/>
        <w:snapToGrid w:val="0"/>
        <w:spacing w:line="360" w:lineRule="auto"/>
        <w:ind w:firstLine="564"/>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（一）</w:t>
      </w:r>
    </w:p>
    <w:p>
      <w:pPr>
        <w:adjustRightInd w:val="0"/>
        <w:snapToGrid w:val="0"/>
        <w:spacing w:line="360" w:lineRule="auto"/>
        <w:ind w:firstLine="564"/>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w:t>
      </w:r>
    </w:p>
    <w:p>
      <w:pPr>
        <w:adjustRightInd w:val="0"/>
        <w:snapToGrid w:val="0"/>
        <w:spacing w:line="360" w:lineRule="auto"/>
        <w:ind w:firstLine="564"/>
        <w:rPr>
          <w:rFonts w:hint="eastAsia" w:ascii="仿宋_GB2312" w:hAnsi="仿宋_GB2312" w:eastAsia="仿宋_GB2312" w:cs="仿宋_GB2312"/>
          <w:b/>
          <w:bCs/>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四、服务流程</w:t>
      </w:r>
    </w:p>
    <w:p>
      <w:pPr>
        <w:adjustRightInd w:val="0"/>
        <w:snapToGrid w:val="0"/>
        <w:spacing w:line="360" w:lineRule="auto"/>
        <w:ind w:firstLine="564"/>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（一）</w:t>
      </w:r>
    </w:p>
    <w:p>
      <w:pPr>
        <w:adjustRightInd w:val="0"/>
        <w:snapToGrid w:val="0"/>
        <w:spacing w:line="360" w:lineRule="auto"/>
        <w:ind w:firstLine="564"/>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w:t>
      </w:r>
    </w:p>
    <w:p>
      <w:pPr>
        <w:adjustRightInd w:val="0"/>
        <w:snapToGrid w:val="0"/>
        <w:spacing w:line="360" w:lineRule="auto"/>
        <w:ind w:firstLine="564"/>
        <w:rPr>
          <w:rFonts w:hint="eastAsia" w:ascii="仿宋_GB2312" w:hAnsi="仿宋_GB2312" w:eastAsia="仿宋_GB2312" w:cs="仿宋_GB2312"/>
          <w:b/>
          <w:bCs/>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五、服务承诺</w:t>
      </w:r>
    </w:p>
    <w:p>
      <w:pPr>
        <w:adjustRightInd w:val="0"/>
        <w:snapToGrid w:val="0"/>
        <w:spacing w:line="360" w:lineRule="auto"/>
        <w:ind w:firstLine="564"/>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（一）</w:t>
      </w:r>
    </w:p>
    <w:p>
      <w:pPr>
        <w:adjustRightInd w:val="0"/>
        <w:snapToGrid w:val="0"/>
        <w:spacing w:line="360" w:lineRule="auto"/>
        <w:ind w:firstLine="564"/>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w:t>
      </w:r>
    </w:p>
    <w:p>
      <w:pPr>
        <w:adjustRightInd w:val="0"/>
        <w:snapToGrid w:val="0"/>
        <w:spacing w:line="360" w:lineRule="auto"/>
        <w:ind w:firstLine="564"/>
        <w:rPr>
          <w:rFonts w:hint="eastAsia" w:ascii="仿宋_GB2312" w:hAnsi="仿宋_GB2312" w:eastAsia="仿宋_GB2312" w:cs="仿宋_GB2312"/>
          <w:b/>
          <w:bCs/>
          <w:color w:val="000000" w:themeColor="text1"/>
          <w:sz w:val="24"/>
          <w:szCs w:val="24"/>
          <w14:textFill>
            <w14:solidFill>
              <w14:schemeClr w14:val="tx1"/>
            </w14:solidFill>
          </w14:textFill>
        </w:rPr>
      </w:pPr>
      <w:r>
        <w:rPr>
          <w:rFonts w:hint="eastAsia" w:ascii="仿宋_GB2312" w:hAnsi="仿宋_GB2312" w:eastAsia="仿宋_GB2312" w:cs="仿宋_GB2312"/>
          <w:b/>
          <w:bCs/>
          <w:color w:val="000000" w:themeColor="text1"/>
          <w:sz w:val="24"/>
          <w:szCs w:val="24"/>
          <w14:textFill>
            <w14:solidFill>
              <w14:schemeClr w14:val="tx1"/>
            </w14:solidFill>
          </w14:textFill>
        </w:rPr>
        <w:t>六、服务优势</w:t>
      </w:r>
    </w:p>
    <w:p>
      <w:pPr>
        <w:adjustRightInd w:val="0"/>
        <w:snapToGrid w:val="0"/>
        <w:spacing w:line="360" w:lineRule="auto"/>
        <w:ind w:firstLine="564"/>
        <w:rPr>
          <w:rFonts w:hint="eastAsia" w:ascii="仿宋_GB2312" w:hAnsi="仿宋_GB2312" w:eastAsia="仿宋_GB2312" w:cs="仿宋_GB2312"/>
          <w:color w:val="000000" w:themeColor="text1"/>
          <w:sz w:val="24"/>
          <w:szCs w:val="24"/>
          <w14:textFill>
            <w14:solidFill>
              <w14:schemeClr w14:val="tx1"/>
            </w14:solidFill>
          </w14:textFill>
        </w:rPr>
      </w:pPr>
      <w:r>
        <w:rPr>
          <w:rFonts w:hint="eastAsia" w:ascii="仿宋_GB2312" w:hAnsi="仿宋_GB2312" w:eastAsia="仿宋_GB2312" w:cs="仿宋_GB2312"/>
          <w:color w:val="000000" w:themeColor="text1"/>
          <w:sz w:val="24"/>
          <w:szCs w:val="24"/>
          <w14:textFill>
            <w14:solidFill>
              <w14:schemeClr w14:val="tx1"/>
            </w14:solidFill>
          </w14:textFill>
        </w:rPr>
        <w:t>（一）</w:t>
      </w:r>
    </w:p>
    <w:p>
      <w:pPr>
        <w:adjustRightInd w:val="0"/>
        <w:snapToGrid w:val="0"/>
        <w:spacing w:line="360" w:lineRule="auto"/>
        <w:ind w:firstLine="564"/>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w:t>
      </w:r>
    </w:p>
    <w:p>
      <w:pPr>
        <w:spacing w:line="560" w:lineRule="exact"/>
        <w:rPr>
          <w:rFonts w:hint="eastAsia" w:ascii="仿宋_GB2312" w:hAnsi="仿宋_GB2312" w:eastAsia="仿宋_GB2312" w:cs="仿宋_GB2312"/>
          <w:sz w:val="24"/>
          <w:szCs w:val="24"/>
        </w:rPr>
      </w:pPr>
    </w:p>
    <w:p>
      <w:pPr>
        <w:spacing w:line="560" w:lineRule="exact"/>
        <w:rPr>
          <w:rFonts w:hint="eastAsia" w:ascii="仿宋_GB2312" w:hAnsi="仿宋_GB2312" w:eastAsia="仿宋_GB2312" w:cs="仿宋_GB2312"/>
          <w:sz w:val="24"/>
          <w:szCs w:val="24"/>
        </w:rPr>
      </w:pPr>
    </w:p>
    <w:p>
      <w:pPr>
        <w:spacing w:line="560" w:lineRule="exact"/>
        <w:rPr>
          <w:rFonts w:hint="eastAsia" w:ascii="仿宋_GB2312" w:hAnsi="仿宋_GB2312" w:eastAsia="仿宋_GB2312" w:cs="仿宋_GB2312"/>
          <w:sz w:val="24"/>
          <w:szCs w:val="24"/>
        </w:rPr>
      </w:pPr>
    </w:p>
    <w:p>
      <w:pPr>
        <w:spacing w:line="560" w:lineRule="exact"/>
        <w:rPr>
          <w:rFonts w:hint="eastAsia" w:ascii="仿宋_GB2312" w:hAnsi="仿宋_GB2312" w:eastAsia="仿宋_GB2312" w:cs="仿宋_GB2312"/>
          <w:sz w:val="24"/>
          <w:szCs w:val="24"/>
        </w:rPr>
      </w:pPr>
    </w:p>
    <w:p>
      <w:pPr>
        <w:spacing w:line="560" w:lineRule="exact"/>
        <w:rPr>
          <w:rFonts w:hint="eastAsia" w:ascii="仿宋_GB2312" w:hAnsi="仿宋_GB2312" w:eastAsia="仿宋_GB2312" w:cs="仿宋_GB2312"/>
          <w:sz w:val="24"/>
          <w:szCs w:val="24"/>
        </w:rPr>
      </w:pPr>
    </w:p>
    <w:p>
      <w:pPr>
        <w:spacing w:line="560" w:lineRule="exact"/>
        <w:rPr>
          <w:rFonts w:hint="eastAsia" w:ascii="仿宋_GB2312" w:hAnsi="仿宋_GB2312" w:eastAsia="仿宋_GB2312" w:cs="仿宋_GB2312"/>
          <w:sz w:val="24"/>
          <w:szCs w:val="24"/>
        </w:rPr>
      </w:pPr>
    </w:p>
    <w:p>
      <w:pPr>
        <w:spacing w:line="560" w:lineRule="exact"/>
        <w:rPr>
          <w:rFonts w:hint="eastAsia" w:ascii="仿宋_GB2312" w:hAnsi="仿宋_GB2312" w:eastAsia="仿宋_GB2312" w:cs="仿宋_GB2312"/>
          <w:sz w:val="24"/>
          <w:szCs w:val="24"/>
        </w:rPr>
      </w:pPr>
    </w:p>
    <w:p>
      <w:pPr>
        <w:spacing w:line="560" w:lineRule="exact"/>
        <w:rPr>
          <w:rFonts w:hint="eastAsia" w:ascii="仿宋_GB2312" w:hAnsi="仿宋_GB2312" w:eastAsia="仿宋_GB2312" w:cs="仿宋_GB2312"/>
          <w:sz w:val="24"/>
          <w:szCs w:val="24"/>
        </w:rPr>
      </w:pPr>
    </w:p>
    <w:bookmarkEnd w:id="31"/>
    <w:bookmarkEnd w:id="32"/>
    <w:bookmarkEnd w:id="33"/>
    <w:bookmarkEnd w:id="34"/>
    <w:bookmarkEnd w:id="35"/>
    <w:bookmarkEnd w:id="36"/>
    <w:p>
      <w:pPr>
        <w:rPr>
          <w:rFonts w:hint="eastAsia" w:ascii="仿宋_GB2312" w:hAnsi="仿宋_GB2312" w:eastAsia="仿宋_GB2312" w:cs="仿宋_GB2312"/>
          <w:b/>
          <w:bCs/>
          <w:color w:val="000000"/>
          <w:sz w:val="24"/>
          <w:szCs w:val="24"/>
          <w:highlight w:val="none"/>
          <w:lang w:eastAsia="zh-CN"/>
        </w:rPr>
      </w:pPr>
      <w:bookmarkStart w:id="38" w:name="_Toc26026"/>
      <w:bookmarkStart w:id="39" w:name="_Toc461095485"/>
      <w:r>
        <w:rPr>
          <w:rFonts w:hint="eastAsia" w:ascii="仿宋_GB2312" w:hAnsi="仿宋_GB2312" w:eastAsia="仿宋_GB2312" w:cs="仿宋_GB2312"/>
          <w:b/>
          <w:bCs/>
          <w:color w:val="000000"/>
          <w:sz w:val="24"/>
          <w:szCs w:val="24"/>
          <w:highlight w:val="none"/>
          <w:lang w:eastAsia="zh-CN"/>
        </w:rPr>
        <w:br w:type="page"/>
      </w:r>
    </w:p>
    <w:p>
      <w:pPr>
        <w:spacing w:line="240" w:lineRule="auto"/>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highlight w:val="none"/>
          <w:lang w:eastAsia="zh-CN"/>
        </w:rPr>
        <w:t>附件</w:t>
      </w:r>
      <w:r>
        <w:rPr>
          <w:rFonts w:hint="eastAsia" w:ascii="仿宋_GB2312" w:hAnsi="仿宋_GB2312" w:eastAsia="仿宋_GB2312" w:cs="仿宋_GB2312"/>
          <w:b/>
          <w:bCs/>
          <w:color w:val="000000"/>
          <w:sz w:val="24"/>
          <w:szCs w:val="24"/>
          <w:highlight w:val="none"/>
          <w:lang w:val="en-US" w:eastAsia="zh-CN"/>
        </w:rPr>
        <w:t xml:space="preserve">6.9            </w:t>
      </w:r>
      <w:r>
        <w:rPr>
          <w:rFonts w:hint="eastAsia" w:ascii="仿宋_GB2312" w:hAnsi="仿宋_GB2312" w:eastAsia="仿宋_GB2312" w:cs="仿宋_GB2312"/>
          <w:b/>
          <w:bCs/>
          <w:color w:val="000000"/>
          <w:sz w:val="24"/>
          <w:szCs w:val="24"/>
          <w:highlight w:val="none"/>
        </w:rPr>
        <w:t>供应商行为准则承诺书</w:t>
      </w:r>
    </w:p>
    <w:p>
      <w:pPr>
        <w:spacing w:line="360" w:lineRule="auto"/>
        <w:ind w:firstLine="480" w:firstLineChars="200"/>
        <w:rPr>
          <w:rFonts w:hint="eastAsia" w:ascii="仿宋_GB2312" w:hAnsi="仿宋_GB2312" w:eastAsia="仿宋_GB2312" w:cs="仿宋_GB2312"/>
          <w:color w:val="000000"/>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一、参加中国人民保险集团公司、各子公司以及各级分支机构（以下简称“中国人民保险”）采购项目的供应商，不属于禁止交易的中国人民保险集团干部员工关系企业，必须维护中国人民保险的核心价值，在与中国人民保险合作时必须坚守对道德、社会及环境保护负责任的原则，促进公平和可持续发展。所有供应商（包括供应商及其员工、附属公司、关联企业及供应商分包的任何第三方在内）在与中国人民保险进行业务往来或参与任何与中国人民保险有关的活动时，都应遵守供应商行为准则（以下简称“本准则”）。</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供应商经营业务时必须遵守所有适用的法律法规及相关政策等规定。如因违反任何适用的法律、法规而可能影响其按照本准则向中国人民保险提供产品及服务的能力时，应立即通知中国人民保险。</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二、供应商应有道德地从事商业活动，坚持公平竞争原则，遵守其经营所在地及国家所有适用的反腐败法律、法规，不得有贿赂、腐败、恶意串通、恶意欺诈或其他损害中国人民保险利益的不良行为。</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三、供应商应遵守当地与环境保护相关的法律及法规，符合国家和地方的节能降耗政策，低碳运营，合规排放。鼓励供应商建立并保持环境管理体系，制定环境政策和方针，确定环境管理目标和管理方法，并在组织内进行沟通，适当时在供应链上传递组织的环境理念。</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四、供应商应遵守所有适用的有关工作时间、工资福利、工作条件、职业健康和安全以及劳资关系的法律、法规。包括但不限于：实施公平、非歧视的雇用政策，不得雇用任何类别的强迫劳工，不得雇佣童工，当发现有童工现象时，应采取补救措施；遵从不低于经营所在地当地及国家适用的法定最低工资水平及自律守则；确保雇员的工作时间合理，并符合经营所在地当地法规和行业惯例及国家适用的法律法规要求；确保雇员获得劳动安全卫生保护、接受职业技能培训等权利；遵守经营所在地所适用的职业健康及安全生产相关法律法规要求，向雇员提供安全及健康的工作环境。</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五、供应商必须遵守信息隐私保护的法律及法规。由中国人民保险提供的所有信息，或与中国人民保险的业务往来期间所获取的所有信息（以下简称“中国人民保险的信息”），应被视为商业秘密、敏感及专有信息。供应商只有经授权或按照法律规定方可披露中国人民保险的信息，且不得向未经授权的第三方或公众披露中国人民保险的信息。未经中国人民保险的事先书面同意，供应商不得聘请或授权任何第三方服务的供应商处理中国人民保险的信息。涉及国家秘密的，严格遵守国家和中国人民保险相关规定。</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六、供应商在运营过程中以及为中国人民保险提供服务的过程中，不得有违反知识产权保护法规的行为。供应商应承认且尊重与中国人民保险相关的商标、版权、设计及专利上的知识产权，不得从事可能会侵犯中国人民保险知识产权或损坏中国人民保险声誉的任何活动。</w:t>
      </w:r>
    </w:p>
    <w:p>
      <w:pPr>
        <w:keepNext w:val="0"/>
        <w:keepLines w:val="0"/>
        <w:pageBreakBefore w:val="0"/>
        <w:widowControl w:val="0"/>
        <w:kinsoku/>
        <w:wordWrap/>
        <w:overflowPunct/>
        <w:topLinePunct w:val="0"/>
        <w:autoSpaceDE/>
        <w:autoSpaceDN/>
        <w:bidi w:val="0"/>
        <w:adjustRightInd/>
        <w:snapToGrid/>
        <w:spacing w:line="400" w:lineRule="exact"/>
        <w:ind w:firstLine="470" w:firstLineChars="196"/>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七、供应商应采取适当行动以确保其员工了解并遵守本守则的理念，并应用于其供应链（如适用）。在给予供应商合理通知的情况下，中国人民保险保留对供应商实施本守则的合规性进行审计的权利，即要求供应商根据需要提供相关文件及其他信息，以证明如何满足本准则的要求。</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八、供应商承诺遵守中国人民保险有关采购管理和供应商管理的相关规定、履行相应义务。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九、供应商参与中国人民保险采购过程中，将认真阅读并理解邀请文件的内容，并保证严格保密文件内容，不泄露中国人民保险任何信息。</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十、供应商保证所递交的投标文件、资格证明、产品资料、合同等文件内容的真实性、有效性；愿意承担虚构信息及伪造资格证明、合同等违背诚实信用原则导致的一切不利后果。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十一、供应商承诺根据中国人民保险的要求提供供应产品的市场参考价格，并保证该数据的真实性与时效性；如提供不实或虚假数据的，自愿接受录入中国人民保险供应商诚信档案记录的不利后果。</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十二、如果供应商（包括咨询顾问、董事、雇员、代理人和代表）违反或未履行本承诺下的任何规定、保证及陈述，将自愿对因违反或未履行承诺书的规定而对中国人民保险造成的直接损失进行赔偿。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十三、采购过程中涉及函件往来的，使用供应商以下地址及联系方式：</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公司名称（全称、盖章）：________________</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法定代表人（负责人）姓名、职务：__________________</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邮编：__________地址：__________________</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电话：__________传真：__________________</w:t>
      </w:r>
    </w:p>
    <w:p>
      <w:pPr>
        <w:pStyle w:val="22"/>
        <w:keepNext w:val="0"/>
        <w:keepLines w:val="0"/>
        <w:pageBreakBefore w:val="0"/>
        <w:widowControl w:val="0"/>
        <w:tabs>
          <w:tab w:val="left" w:pos="3060"/>
        </w:tabs>
        <w:kinsoku/>
        <w:wordWrap/>
        <w:overflowPunct/>
        <w:topLinePunct w:val="0"/>
        <w:autoSpaceDE/>
        <w:autoSpaceDN/>
        <w:bidi w:val="0"/>
        <w:adjustRightInd/>
        <w:snapToGrid/>
        <w:spacing w:afterLines="0" w:line="400" w:lineRule="exact"/>
        <w:ind w:firstLine="48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b w:val="0"/>
          <w:bCs/>
          <w:color w:val="000000"/>
          <w:sz w:val="24"/>
          <w:szCs w:val="24"/>
        </w:rPr>
        <w:t>法定代表人（负责人）或授权代表签字：______________</w:t>
      </w:r>
    </w:p>
    <w:p>
      <w:pPr>
        <w:spacing w:line="600" w:lineRule="exact"/>
        <w:jc w:val="left"/>
        <w:rPr>
          <w:rFonts w:hint="eastAsia" w:ascii="仿宋_GB2312" w:hAnsi="仿宋_GB2312" w:eastAsia="仿宋_GB2312" w:cs="仿宋_GB2312"/>
          <w:b/>
          <w:bCs/>
          <w:color w:val="000000"/>
          <w:sz w:val="24"/>
          <w:szCs w:val="24"/>
          <w:highlight w:val="none"/>
          <w:lang w:eastAsia="zh-CN"/>
        </w:rPr>
      </w:pPr>
    </w:p>
    <w:p>
      <w:pPr>
        <w:spacing w:line="600" w:lineRule="exact"/>
        <w:jc w:val="left"/>
        <w:rPr>
          <w:rFonts w:hint="eastAsia" w:ascii="仿宋_GB2312" w:hAnsi="仿宋_GB2312" w:eastAsia="仿宋_GB2312" w:cs="仿宋_GB2312"/>
          <w:b/>
          <w:bCs/>
          <w:color w:val="000000"/>
          <w:sz w:val="24"/>
          <w:szCs w:val="24"/>
          <w:highlight w:val="none"/>
          <w:lang w:eastAsia="zh-CN"/>
        </w:rPr>
      </w:pPr>
    </w:p>
    <w:p>
      <w:pPr>
        <w:spacing w:line="600" w:lineRule="exact"/>
        <w:jc w:val="left"/>
        <w:rPr>
          <w:rFonts w:hint="eastAsia" w:ascii="仿宋_GB2312" w:hAnsi="仿宋_GB2312" w:eastAsia="仿宋_GB2312" w:cs="仿宋_GB2312"/>
          <w:b/>
          <w:bCs/>
          <w:color w:val="000000"/>
          <w:sz w:val="24"/>
          <w:szCs w:val="24"/>
          <w:highlight w:val="none"/>
          <w:lang w:eastAsia="zh-CN"/>
        </w:rPr>
      </w:pPr>
    </w:p>
    <w:p>
      <w:pPr>
        <w:spacing w:line="600" w:lineRule="exact"/>
        <w:jc w:val="left"/>
        <w:rPr>
          <w:rFonts w:hint="eastAsia" w:ascii="仿宋_GB2312" w:hAnsi="仿宋_GB2312" w:eastAsia="仿宋_GB2312" w:cs="仿宋_GB2312"/>
          <w:b/>
          <w:bCs/>
          <w:color w:val="000000"/>
          <w:sz w:val="24"/>
          <w:szCs w:val="24"/>
          <w:highlight w:val="none"/>
          <w:lang w:eastAsia="zh-CN"/>
        </w:rPr>
      </w:pPr>
    </w:p>
    <w:p>
      <w:pPr>
        <w:spacing w:line="600" w:lineRule="exact"/>
        <w:jc w:val="left"/>
        <w:rPr>
          <w:rFonts w:hint="eastAsia" w:ascii="仿宋_GB2312" w:hAnsi="仿宋_GB2312" w:eastAsia="仿宋_GB2312" w:cs="仿宋_GB2312"/>
          <w:b/>
          <w:bCs/>
          <w:color w:val="000000"/>
          <w:sz w:val="24"/>
          <w:szCs w:val="24"/>
          <w:highlight w:val="none"/>
          <w:lang w:eastAsia="zh-CN"/>
        </w:rPr>
      </w:pPr>
    </w:p>
    <w:p>
      <w:pPr>
        <w:rPr>
          <w:rFonts w:hint="eastAsia" w:ascii="仿宋_GB2312" w:hAnsi="仿宋_GB2312" w:eastAsia="仿宋_GB2312" w:cs="仿宋_GB2312"/>
          <w:b/>
          <w:bCs/>
          <w:color w:val="000000"/>
          <w:sz w:val="24"/>
          <w:szCs w:val="24"/>
          <w:highlight w:val="none"/>
          <w:lang w:eastAsia="zh-CN"/>
        </w:rPr>
      </w:pPr>
      <w:r>
        <w:rPr>
          <w:rFonts w:hint="eastAsia" w:ascii="仿宋_GB2312" w:hAnsi="仿宋_GB2312" w:eastAsia="仿宋_GB2312" w:cs="仿宋_GB2312"/>
          <w:b/>
          <w:bCs/>
          <w:color w:val="000000"/>
          <w:sz w:val="24"/>
          <w:szCs w:val="24"/>
          <w:highlight w:val="none"/>
          <w:lang w:eastAsia="zh-CN"/>
        </w:rPr>
        <w:br w:type="page"/>
      </w:r>
    </w:p>
    <w:p>
      <w:pPr>
        <w:spacing w:line="600" w:lineRule="exact"/>
        <w:jc w:val="left"/>
        <w:rPr>
          <w:rFonts w:hint="eastAsia" w:ascii="仿宋_GB2312" w:hAnsi="仿宋_GB2312" w:eastAsia="仿宋_GB2312" w:cs="仿宋_GB2312"/>
          <w:color w:val="000000"/>
          <w:sz w:val="24"/>
          <w:szCs w:val="24"/>
        </w:rPr>
      </w:pPr>
      <w:r>
        <w:rPr>
          <w:rFonts w:hint="eastAsia" w:ascii="仿宋_GB2312" w:hAnsi="仿宋_GB2312" w:eastAsia="仿宋_GB2312" w:cs="仿宋_GB2312"/>
          <w:b/>
          <w:bCs/>
          <w:color w:val="000000"/>
          <w:sz w:val="24"/>
          <w:szCs w:val="24"/>
          <w:highlight w:val="none"/>
          <w:lang w:eastAsia="zh-CN"/>
        </w:rPr>
        <w:t>附件</w:t>
      </w:r>
      <w:r>
        <w:rPr>
          <w:rFonts w:hint="eastAsia" w:ascii="仿宋_GB2312" w:hAnsi="仿宋_GB2312" w:eastAsia="仿宋_GB2312" w:cs="仿宋_GB2312"/>
          <w:b/>
          <w:bCs/>
          <w:color w:val="000000"/>
          <w:sz w:val="24"/>
          <w:szCs w:val="24"/>
          <w:highlight w:val="none"/>
          <w:lang w:val="en-US" w:eastAsia="zh-CN"/>
        </w:rPr>
        <w:t>6.10</w:t>
      </w:r>
      <w:r>
        <w:rPr>
          <w:rFonts w:hint="eastAsia" w:ascii="仿宋_GB2312" w:hAnsi="仿宋_GB2312" w:eastAsia="仿宋_GB2312" w:cs="仿宋_GB2312"/>
          <w:color w:val="auto"/>
          <w:sz w:val="24"/>
          <w:szCs w:val="24"/>
          <w:lang w:val="en-US" w:eastAsia="zh-CN"/>
        </w:rPr>
        <w:t xml:space="preserve">           </w:t>
      </w:r>
      <w:r>
        <w:rPr>
          <w:rFonts w:hint="eastAsia" w:ascii="仿宋_GB2312" w:hAnsi="仿宋_GB2312" w:eastAsia="仿宋_GB2312" w:cs="仿宋_GB2312"/>
          <w:b/>
          <w:bCs/>
          <w:color w:val="000000"/>
          <w:sz w:val="24"/>
          <w:szCs w:val="24"/>
          <w:highlight w:val="none"/>
        </w:rPr>
        <w:t>供应商廉洁诚信承诺书</w:t>
      </w:r>
    </w:p>
    <w:p>
      <w:pPr>
        <w:spacing w:line="360" w:lineRule="auto"/>
        <w:ind w:firstLine="480" w:firstLineChars="200"/>
        <w:rPr>
          <w:rFonts w:hint="eastAsia" w:ascii="仿宋_GB2312" w:hAnsi="仿宋_GB2312" w:eastAsia="仿宋_GB2312" w:cs="仿宋_GB2312"/>
          <w:color w:val="000000"/>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为维护公平竞争的市场秩序和公正透明的商业环境，保证与中国人民保险集团公司、各子公司以及各级分支机构（以下简称“中国人民保险”）合作项目的顺利进行，我方作为参与中国人民保险采购活动的供应商，深知采购廉洁诚信的重要性。为防止各类谋取不正当利益的违法违规违纪行为的发生，我方自愿加强有关人员廉洁从业管理，恪守商业道德。在与中国人民保险的合作过程中郑重承诺如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一、遵守法律法规承诺。我们将严格遵守《中华人民共和国反不正当竞争法》《关于禁止商业贿赂行为的暂行规定》等国家法律法规和中国人民保险采购管理、供应商管理相关制度要求，坚决不从事任何违法违规违纪行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二、避免利害关系承诺。我们将在采购过程中主动申报与中国人民保险及相关主体的关联及利害关系，包括我们的相关主体与中国人民保险及相关主体的关联及利害关系，避免任何可能影响公平竞争的关系或利益冲突，主动披露任何可能影响采购决策的利益关系，并采取必要的措施确保采购过程的公正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本承诺书所称相关主体，对任何一方而言，指：（1）一方或其关联方的工作人员；（2）受一方委托办理相关事务的单位或者个人；（3）利用职权或者影响力影响交易的单位或者个人；（4）前述相关人员的亲属；（5）与前述主体存在利害关系的其他单位或者人员。</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三、廉洁自律承诺。我们坚决不以任何形式为获取或意图获取交易机会、竞争优势或谋取不正当利益而向中国人民保险或相关主体实施商业贿赂或营私舞弊行为，包括但不限于：</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（1）以任何方式实施商业贿赂或违规提供金钱、实物、回扣、折扣、宴请与游玩活动或其他不正当利益；</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（2）为其安排有可能影响公平、公正交易的宴请、健身、娱乐等活动；</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（3）为其投资入股、个人借款或买卖股票、债券等提供方便；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（4）为其购买或装修住房、婚丧嫁娶、配偶子女上学或工作安排以及出国出境、旅游等提供方便；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（5）违反规定为其在我方相关企业工作、挂名兼职、合伙经营、介绍承揽业务等提供方便；</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（6）向其提供借款、融资、担保等；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（7）给予或承诺给予其不正当利益的其他行为；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（8）其他违反国家法律法规或商业道德准则的影响公正交易的行为。</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我们也不会以任何方式向中国人民保险或相关主体索要金钱、实物等不正当利益，或收受中国人保或相关主体给予的金钱、实物等不正当利益。</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四、诚实信用承诺。我们坚决不进行任何违背诚实信用原则的行为，包括但不限于：</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出借、转让资质证书；</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伙同他人串标、围标或非法排挤竞争对手；</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在采购活动中提供虚假资料，以他人名义参与或者以其他方式弄虚作假，夸大自身技术和提供服务的能力，损害贵方合法权益；</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（4）隐瞒任何可能对贵方利益造成影响的信息，不配合贵方的审计。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五、信息公开透明承诺。我们将主动披露与采购项目相关的信息，包括企业真实情况、产品价格、技术参数、服务团队信息、履约情况等，确保所提供的一切材料和信息真实、合法、有效。同时，不利用非法手段向中国人保或相关主体打探有关涉及贵方的商业秘密、人员信息等。</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六、加强内部管理承诺。为了实现以上承诺要求，我们将积极配合采取以下措施，不断加强自身内部管理：</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（1）廉洁教育培训：加强对员工的廉洁教育和培训，提高员工的道德素质和法律意识，建立健全内部管理制度，确保员工行为的合规性和廉洁性；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（2）设立监督机制：通过专门的监督机构或人员，对我方的业务活动进行实时监督，确保员工行为的合规性；</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（3）建立举报制度：鼓励员工积极举报违规行为，对举报人予以保护并给予奖励。</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七、配合监督承诺。我们将积极配合中国人民保险及第三方机构的监督和检查，对发现的违规行为及时纠正，并严肃处理涉嫌违规的工作人员，确保采购过程和项目合作的公正性和透明度。贵方对涉嫌违法违规违纪的商业行为进行调查时，我方有配合提供证据、作证的义务。</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八、如违反上述承诺，我方自愿承担以下法律责任：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（1）如我方及我方工作人员违反本承诺书承诺，中国人民保险有权依据其采购管理、供应商管理和采购文件相关要求，对我方进行严肃处理，相关处罚结果记入供应商诚信档案；</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（2）如我方及我方工作人员违反本承诺书承诺，中国人民保险及其子公司等所有关联主体有权限制或取消我方在中国人民保险参与</w:t>
      </w:r>
      <w:r>
        <w:rPr>
          <w:rFonts w:hint="eastAsia" w:ascii="仿宋_GB2312" w:hAnsi="仿宋_GB2312" w:eastAsia="仿宋_GB2312" w:cs="仿宋_GB2312"/>
          <w:color w:val="000000"/>
          <w:sz w:val="24"/>
          <w:szCs w:val="24"/>
          <w:lang w:val="en-US" w:eastAsia="zh-CN"/>
        </w:rPr>
        <w:t>采购</w:t>
      </w:r>
      <w:r>
        <w:rPr>
          <w:rFonts w:hint="eastAsia" w:ascii="仿宋_GB2312" w:hAnsi="仿宋_GB2312" w:eastAsia="仿宋_GB2312" w:cs="仿宋_GB2312"/>
          <w:color w:val="000000"/>
          <w:sz w:val="24"/>
          <w:szCs w:val="24"/>
        </w:rPr>
        <w:t>项目的资格；</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（3）如我方及我方工作人员违反本承诺书承诺，中国人民保险及其子公司等所有关联主体有权选择单方全面终止与我方的合同及合作而无需承担任何责任；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4）如我方及我方工作人员违反本承诺书承诺，除承担前述（1）（2）（3）项责任外，中国人民保险及其子公司等所有关联主体有权扣除我方缴纳的投标保证金，投标保证金不足以弥补损失的，还有权要求我方承担相应的赔偿责任。</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本承诺书自承诺方签字和盖章之日起生效。如我方成功中选中国人民保险采购项目，将按中国人民保险管理要求签署廉洁诚信协议作为采购合同附件，并严格遵守协议相关条款。</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仿宋_GB2312" w:hAnsi="仿宋_GB2312" w:eastAsia="仿宋_GB2312" w:cs="仿宋_GB2312"/>
          <w:color w:val="000000"/>
          <w:sz w:val="24"/>
          <w:szCs w:val="24"/>
        </w:rPr>
      </w:pPr>
    </w:p>
    <w:p>
      <w:pPr>
        <w:keepNext w:val="0"/>
        <w:keepLines w:val="0"/>
        <w:pageBreakBefore w:val="0"/>
        <w:widowControl w:val="0"/>
        <w:tabs>
          <w:tab w:val="left" w:pos="458"/>
        </w:tabs>
        <w:kinsoku/>
        <w:wordWrap/>
        <w:overflowPunct/>
        <w:topLinePunct w:val="0"/>
        <w:autoSpaceDE/>
        <w:autoSpaceDN/>
        <w:bidi w:val="0"/>
        <w:adjustRightInd/>
        <w:snapToGrid/>
        <w:spacing w:line="400" w:lineRule="exact"/>
        <w:ind w:firstLine="480" w:firstLineChars="20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公司名称（全称、盖章）：________________</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法定代表人姓名、职务：__________________</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法定代表人或授权代表签字：______________</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jc w:val="both"/>
        <w:textAlignment w:val="auto"/>
        <w:rPr>
          <w:rFonts w:hint="eastAsia" w:ascii="仿宋_GB2312" w:hAnsi="仿宋_GB2312" w:eastAsia="仿宋_GB2312" w:cs="仿宋_GB2312"/>
          <w:color w:val="000000"/>
          <w:sz w:val="24"/>
          <w:szCs w:val="24"/>
        </w:rPr>
      </w:pPr>
      <w:r>
        <w:rPr>
          <w:rFonts w:hint="eastAsia" w:ascii="仿宋_GB2312" w:hAnsi="仿宋_GB2312" w:eastAsia="仿宋_GB2312" w:cs="仿宋_GB2312"/>
          <w:color w:val="000000"/>
          <w:sz w:val="24"/>
          <w:szCs w:val="24"/>
        </w:rPr>
        <w:t>日期：__________________________________</w:t>
      </w:r>
    </w:p>
    <w:p>
      <w:pPr>
        <w:pStyle w:val="7"/>
        <w:rPr>
          <w:rFonts w:hint="eastAsia" w:ascii="仿宋_GB2312" w:hAnsi="仿宋_GB2312" w:eastAsia="仿宋_GB2312" w:cs="仿宋_GB2312"/>
          <w:sz w:val="24"/>
          <w:szCs w:val="24"/>
        </w:rPr>
      </w:pP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br w:type="page"/>
      </w:r>
    </w:p>
    <w:p>
      <w:pPr>
        <w:pStyle w:val="2"/>
        <w:tabs>
          <w:tab w:val="left" w:pos="425"/>
          <w:tab w:val="left" w:pos="4265"/>
        </w:tabs>
        <w:ind w:left="0" w:leftChars="0" w:firstLine="0" w:firstLineChars="0"/>
        <w:jc w:val="center"/>
        <w:rPr>
          <w:rFonts w:hint="eastAsia" w:ascii="仿宋_GB2312" w:hAnsi="仿宋_GB2312" w:eastAsia="仿宋_GB2312" w:cs="仿宋_GB2312"/>
          <w:color w:val="auto"/>
          <w:sz w:val="24"/>
          <w:szCs w:val="24"/>
        </w:rPr>
      </w:pPr>
      <w:bookmarkStart w:id="40" w:name="_Toc15662"/>
      <w:r>
        <w:rPr>
          <w:rFonts w:hint="eastAsia" w:ascii="仿宋_GB2312" w:hAnsi="仿宋_GB2312" w:eastAsia="仿宋_GB2312" w:cs="仿宋_GB2312"/>
          <w:color w:val="auto"/>
          <w:sz w:val="24"/>
          <w:szCs w:val="24"/>
        </w:rPr>
        <w:t>第七章 评审办法</w:t>
      </w:r>
      <w:bookmarkEnd w:id="38"/>
      <w:bookmarkEnd w:id="39"/>
      <w:bookmarkEnd w:id="40"/>
      <w:bookmarkStart w:id="41" w:name="_Hlt101846155"/>
      <w:bookmarkEnd w:id="41"/>
      <w:bookmarkStart w:id="42" w:name="_Toc208849007"/>
      <w:bookmarkStart w:id="43" w:name="_Toc183582280"/>
      <w:bookmarkStart w:id="44" w:name="_Toc183682415"/>
      <w:bookmarkStart w:id="45" w:name="_Toc217446097"/>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一、总则</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根据本项目特点在保证公平、公开、公正的前提下，制定本评审细则。</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1、评审原则</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（1）评审遵循公平、公正、科学及择优的原则；</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（2）资格审查合格的供应商均有同等机会参加下一轮评审；</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（3）对所有供应商的报价评估和比较都采用相同的程序和标准；</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（4）评审过程中遵循物有所值及维护采购人利益的原则。</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b/>
          <w:bCs/>
          <w:sz w:val="24"/>
          <w:szCs w:val="24"/>
          <w:lang w:eastAsia="zh-CN"/>
        </w:rPr>
      </w:pPr>
      <w:r>
        <w:rPr>
          <w:rFonts w:hint="eastAsia" w:ascii="仿宋_GB2312" w:hAnsi="仿宋_GB2312" w:eastAsia="仿宋_GB2312" w:cs="仿宋_GB2312"/>
          <w:b/>
          <w:bCs/>
          <w:sz w:val="24"/>
          <w:szCs w:val="24"/>
          <w:lang w:eastAsia="zh-CN"/>
        </w:rPr>
        <w:t>2、资格审查和符合性评审标准</w:t>
      </w:r>
    </w:p>
    <w:tbl>
      <w:tblPr>
        <w:tblStyle w:val="15"/>
        <w:tblW w:w="873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975"/>
        <w:gridCol w:w="65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restart"/>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资格审查和符合性评审</w:t>
            </w:r>
          </w:p>
        </w:tc>
        <w:tc>
          <w:tcPr>
            <w:tcW w:w="975"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1</w:t>
            </w:r>
          </w:p>
        </w:tc>
        <w:tc>
          <w:tcPr>
            <w:tcW w:w="6588"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响应文件正副本是否满足磋商文件要求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p>
        </w:tc>
        <w:tc>
          <w:tcPr>
            <w:tcW w:w="975"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2</w:t>
            </w:r>
          </w:p>
        </w:tc>
        <w:tc>
          <w:tcPr>
            <w:tcW w:w="6588"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响应文件密封、签署、盖章是否符合磋商文件要求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p>
        </w:tc>
        <w:tc>
          <w:tcPr>
            <w:tcW w:w="975"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3</w:t>
            </w:r>
          </w:p>
        </w:tc>
        <w:tc>
          <w:tcPr>
            <w:tcW w:w="6588"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资格证明文件是否合格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1170" w:type="dxa"/>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p>
        </w:tc>
        <w:tc>
          <w:tcPr>
            <w:tcW w:w="975"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4</w:t>
            </w:r>
          </w:p>
        </w:tc>
        <w:tc>
          <w:tcPr>
            <w:tcW w:w="6588"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《响应文件》构成是否完整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170" w:type="dxa"/>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p>
        </w:tc>
        <w:tc>
          <w:tcPr>
            <w:tcW w:w="975"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5</w:t>
            </w:r>
          </w:p>
        </w:tc>
        <w:tc>
          <w:tcPr>
            <w:tcW w:w="6588"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有无违反相关法律法规的情形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trPr>
        <w:tc>
          <w:tcPr>
            <w:tcW w:w="1170" w:type="dxa"/>
            <w:vMerge w:val="continue"/>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p>
        </w:tc>
        <w:tc>
          <w:tcPr>
            <w:tcW w:w="975"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6</w:t>
            </w:r>
          </w:p>
        </w:tc>
        <w:tc>
          <w:tcPr>
            <w:tcW w:w="6588" w:type="dxa"/>
            <w:vAlign w:val="center"/>
          </w:tcPr>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审查结论</w:t>
            </w:r>
          </w:p>
        </w:tc>
      </w:tr>
    </w:tbl>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rPr>
        <w:t>3、评审方法</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3.1本项目采用综合评分法</w:t>
      </w:r>
    </w:p>
    <w:bookmarkEnd w:id="42"/>
    <w:bookmarkEnd w:id="43"/>
    <w:bookmarkEnd w:id="44"/>
    <w:bookmarkEnd w:id="45"/>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firstLineChars="200"/>
        <w:jc w:val="both"/>
        <w:textAlignment w:val="auto"/>
        <w:rPr>
          <w:rFonts w:hint="eastAsia" w:ascii="仿宋_GB2312" w:hAnsi="仿宋_GB2312" w:eastAsia="仿宋_GB2312" w:cs="仿宋_GB2312"/>
          <w:sz w:val="24"/>
          <w:szCs w:val="24"/>
        </w:rPr>
      </w:pPr>
      <w:bookmarkStart w:id="46" w:name="OLE_LINK10"/>
      <w:bookmarkStart w:id="47" w:name="_Toc217446099"/>
      <w:r>
        <w:rPr>
          <w:rFonts w:hint="eastAsia" w:ascii="仿宋_GB2312" w:hAnsi="仿宋_GB2312" w:eastAsia="仿宋_GB2312" w:cs="仿宋_GB2312"/>
          <w:sz w:val="24"/>
          <w:szCs w:val="24"/>
        </w:rPr>
        <w:t>3.2 评分明细：</w:t>
      </w:r>
    </w:p>
    <w:p>
      <w:pPr>
        <w:pStyle w:val="6"/>
        <w:keepNext w:val="0"/>
        <w:keepLines w:val="0"/>
        <w:pageBreakBefore w:val="0"/>
        <w:widowControl w:val="0"/>
        <w:kinsoku/>
        <w:wordWrap/>
        <w:overflowPunct/>
        <w:topLinePunct w:val="0"/>
        <w:autoSpaceDE/>
        <w:autoSpaceDN/>
        <w:bidi w:val="0"/>
        <w:adjustRightInd/>
        <w:spacing w:line="400" w:lineRule="exact"/>
        <w:ind w:left="0" w:right="0"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采购评审标准由项目</w:t>
      </w:r>
      <w:r>
        <w:rPr>
          <w:rFonts w:hint="eastAsia" w:ascii="仿宋_GB2312" w:hAnsi="仿宋_GB2312" w:eastAsia="仿宋_GB2312" w:cs="仿宋_GB2312"/>
          <w:sz w:val="24"/>
          <w:szCs w:val="24"/>
          <w:lang w:val="en-US" w:eastAsia="zh-CN"/>
        </w:rPr>
        <w:t>价格</w:t>
      </w:r>
      <w:r>
        <w:rPr>
          <w:rFonts w:hint="eastAsia" w:ascii="仿宋_GB2312" w:hAnsi="仿宋_GB2312" w:eastAsia="仿宋_GB2312" w:cs="仿宋_GB2312"/>
          <w:sz w:val="24"/>
          <w:szCs w:val="24"/>
        </w:rPr>
        <w:t>、技术服务水平</w:t>
      </w:r>
      <w:r>
        <w:rPr>
          <w:rFonts w:hint="eastAsia" w:ascii="仿宋_GB2312" w:hAnsi="仿宋_GB2312" w:eastAsia="仿宋_GB2312" w:cs="仿宋_GB2312"/>
          <w:sz w:val="24"/>
          <w:szCs w:val="24"/>
          <w:lang w:val="en-US" w:eastAsia="zh-CN"/>
        </w:rPr>
        <w:t>和商务</w:t>
      </w:r>
      <w:r>
        <w:rPr>
          <w:rFonts w:hint="eastAsia" w:ascii="仿宋_GB2312" w:hAnsi="仿宋_GB2312" w:eastAsia="仿宋_GB2312" w:cs="仿宋_GB2312"/>
          <w:i w:val="0"/>
          <w:iCs/>
          <w:sz w:val="24"/>
          <w:szCs w:val="24"/>
        </w:rPr>
        <w:t>三</w:t>
      </w:r>
      <w:r>
        <w:rPr>
          <w:rFonts w:hint="eastAsia" w:ascii="仿宋_GB2312" w:hAnsi="仿宋_GB2312" w:eastAsia="仿宋_GB2312" w:cs="仿宋_GB2312"/>
          <w:sz w:val="24"/>
          <w:szCs w:val="24"/>
        </w:rPr>
        <w:t>项标准构成，评审</w:t>
      </w:r>
      <w:r>
        <w:rPr>
          <w:rFonts w:hint="eastAsia" w:ascii="仿宋_GB2312" w:hAnsi="仿宋_GB2312" w:eastAsia="仿宋_GB2312" w:cs="仿宋_GB2312"/>
          <w:sz w:val="24"/>
          <w:szCs w:val="24"/>
          <w:lang w:val="en-US" w:eastAsia="zh-CN"/>
        </w:rPr>
        <w:t>员</w:t>
      </w:r>
      <w:r>
        <w:rPr>
          <w:rFonts w:hint="eastAsia" w:ascii="仿宋_GB2312" w:hAnsi="仿宋_GB2312" w:eastAsia="仿宋_GB2312" w:cs="仿宋_GB2312"/>
          <w:sz w:val="24"/>
          <w:szCs w:val="24"/>
        </w:rPr>
        <w:t>将依据磋商邀请文件要求，结合项目报价</w:t>
      </w:r>
      <w:r>
        <w:rPr>
          <w:rFonts w:hint="eastAsia" w:ascii="仿宋_GB2312" w:hAnsi="仿宋_GB2312" w:eastAsia="仿宋_GB2312" w:cs="仿宋_GB2312"/>
          <w:sz w:val="24"/>
          <w:szCs w:val="24"/>
          <w:lang w:val="en-US" w:eastAsia="zh-CN"/>
        </w:rPr>
        <w:t>分</w:t>
      </w:r>
      <w:r>
        <w:rPr>
          <w:rFonts w:hint="eastAsia" w:ascii="仿宋_GB2312" w:hAnsi="仿宋_GB2312" w:eastAsia="仿宋_GB2312" w:cs="仿宋_GB2312"/>
          <w:sz w:val="24"/>
          <w:szCs w:val="24"/>
        </w:rPr>
        <w:t>、技术方案、服务方案等情况进行评分。各有效供应商的综合得分为各评审</w:t>
      </w:r>
      <w:r>
        <w:rPr>
          <w:rFonts w:hint="eastAsia" w:ascii="仿宋_GB2312" w:hAnsi="仿宋_GB2312" w:eastAsia="仿宋_GB2312" w:cs="仿宋_GB2312"/>
          <w:sz w:val="24"/>
          <w:szCs w:val="24"/>
          <w:lang w:val="en-US" w:eastAsia="zh-CN"/>
        </w:rPr>
        <w:t>员</w:t>
      </w:r>
      <w:r>
        <w:rPr>
          <w:rFonts w:hint="eastAsia" w:ascii="仿宋_GB2312" w:hAnsi="仿宋_GB2312" w:eastAsia="仿宋_GB2312" w:cs="仿宋_GB2312"/>
          <w:sz w:val="24"/>
          <w:szCs w:val="24"/>
        </w:rPr>
        <w:t>所评分值的算术平均值，若总得分相同，以价格得分高者排序在先。将把合同授予被确定为实质上响应磋商文件要求且评标得分最高的供应商。</w:t>
      </w:r>
    </w:p>
    <w:p>
      <w:pPr>
        <w:pStyle w:val="7"/>
        <w:keepNext w:val="0"/>
        <w:keepLines w:val="0"/>
        <w:pageBreakBefore w:val="0"/>
        <w:widowControl w:val="0"/>
        <w:kinsoku/>
        <w:wordWrap/>
        <w:overflowPunct/>
        <w:topLinePunct w:val="0"/>
        <w:autoSpaceDE/>
        <w:autoSpaceDN/>
        <w:bidi w:val="0"/>
        <w:adjustRightInd/>
        <w:snapToGrid w:val="0"/>
        <w:spacing w:after="0" w:line="400" w:lineRule="exact"/>
        <w:ind w:left="0" w:right="0" w:firstLine="480"/>
        <w:jc w:val="both"/>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评审标准如下：</w:t>
      </w:r>
    </w:p>
    <w:tbl>
      <w:tblPr>
        <w:tblStyle w:val="14"/>
        <w:tblW w:w="88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0"/>
        <w:gridCol w:w="6537"/>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tblHeader/>
          <w:jc w:val="center"/>
        </w:trPr>
        <w:tc>
          <w:tcPr>
            <w:tcW w:w="1340" w:type="dxa"/>
            <w:vAlign w:val="center"/>
          </w:tcPr>
          <w:p>
            <w:pPr>
              <w:spacing w:line="320" w:lineRule="exact"/>
              <w:jc w:val="center"/>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项 目</w:t>
            </w:r>
          </w:p>
        </w:tc>
        <w:tc>
          <w:tcPr>
            <w:tcW w:w="6537" w:type="dxa"/>
            <w:vAlign w:val="center"/>
          </w:tcPr>
          <w:p>
            <w:pPr>
              <w:spacing w:line="320" w:lineRule="exact"/>
              <w:jc w:val="center"/>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评分内容</w:t>
            </w:r>
          </w:p>
        </w:tc>
        <w:tc>
          <w:tcPr>
            <w:tcW w:w="1005" w:type="dxa"/>
            <w:vAlign w:val="center"/>
          </w:tcPr>
          <w:p>
            <w:pPr>
              <w:spacing w:line="320" w:lineRule="exact"/>
              <w:jc w:val="center"/>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882" w:type="dxa"/>
            <w:gridSpan w:val="3"/>
            <w:vAlign w:val="center"/>
          </w:tcPr>
          <w:p>
            <w:pPr>
              <w:spacing w:line="320" w:lineRule="exact"/>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一、价格评审</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（70分）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90" w:hRule="atLeast"/>
          <w:jc w:val="center"/>
        </w:trPr>
        <w:tc>
          <w:tcPr>
            <w:tcW w:w="1340" w:type="dxa"/>
            <w:vAlign w:val="center"/>
          </w:tcPr>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基准价计算</w:t>
            </w:r>
          </w:p>
        </w:tc>
        <w:tc>
          <w:tcPr>
            <w:tcW w:w="6537" w:type="dxa"/>
            <w:vAlign w:val="center"/>
          </w:tcPr>
          <w:p>
            <w:pPr>
              <w:pStyle w:val="7"/>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sz w:val="24"/>
                <w:szCs w:val="24"/>
              </w:rPr>
              <w:t>评分方法：采用低价优先法。以满足招标文件要求的最低评审价格为评标基准价，该价格得70分。供应商须就零件及工时费报出优惠比例。结算金额计算公式为：结算金额 = 市场基准价 × (100% - 供应商优惠比例)。其中，市场基准价指0类市场原厂配件价格（A类修理厂标准）。</w:t>
            </w:r>
          </w:p>
          <w:p>
            <w:pPr>
              <w:spacing w:line="320" w:lineRule="exact"/>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sz w:val="24"/>
                <w:szCs w:val="24"/>
              </w:rPr>
              <w:t>分项得分计算：</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：原厂非原包零件（50分）：得分 = 50 × (供应商优惠比例 ÷ 所有有效报价中的最高优惠比例)。</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br w:type="textWrapping"/>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工时费（10分）：得分 = 10 × (供应商优惠比例 ÷ 所有有效报价中的最高优惠比例)。</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br w:type="textWrapping"/>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单次基础保养（10分）：以满足招标要求的最低报价为基准得10分，其他报价得分 = 10 × (最低报价 ÷ 当前报价)。价格总分 = 原厂非原包零件得分 + 工时费得分 + 基础保养得分。</w:t>
            </w:r>
          </w:p>
          <w:p>
            <w:pPr>
              <w:spacing w:line="320" w:lineRule="exact"/>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备注：报价须符合市场价格水平。如基础保养费用高于市场均价10%以上，或零件优惠比例超过30%，评审委员会可要求供应商现场澄清成本构成。如无法合理解释，视为可能存在不正当竞争，其投标可按无效处理。</w:t>
            </w:r>
          </w:p>
        </w:tc>
        <w:tc>
          <w:tcPr>
            <w:tcW w:w="1005" w:type="dxa"/>
            <w:vAlign w:val="center"/>
          </w:tcPr>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p>
          <w:p>
            <w:pPr>
              <w:spacing w:line="320" w:lineRule="exact"/>
              <w:jc w:val="center"/>
              <w:rPr>
                <w:rFonts w:hint="eastAsia" w:ascii="仿宋_GB2312" w:hAnsi="仿宋_GB2312" w:eastAsia="仿宋_GB2312" w:cs="仿宋_GB2312"/>
                <w:i w:val="0"/>
                <w:iCs/>
                <w:color w:val="000000" w:themeColor="text1"/>
                <w:sz w:val="24"/>
                <w:szCs w:val="24"/>
                <w:lang w:val="en-US"/>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 w:hRule="atLeast"/>
          <w:jc w:val="center"/>
        </w:trPr>
        <w:tc>
          <w:tcPr>
            <w:tcW w:w="8882" w:type="dxa"/>
            <w:gridSpan w:val="3"/>
            <w:vAlign w:val="center"/>
          </w:tcPr>
          <w:p>
            <w:pPr>
              <w:spacing w:line="320" w:lineRule="exact"/>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二、技术和服务评审</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20分</w:t>
            </w:r>
            <w:r>
              <w:rPr>
                <w:rFonts w:hint="eastAsia" w:ascii="仿宋_GB2312" w:hAnsi="仿宋_GB2312" w:eastAsia="仿宋_GB2312" w:cs="仿宋_GB2312"/>
                <w:i w:val="0"/>
                <w:iCs/>
                <w:color w:val="000000" w:themeColor="text1"/>
                <w:sz w:val="24"/>
                <w:szCs w:val="24"/>
                <w:lang w:eastAsia="zh-CN"/>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0" w:hRule="atLeast"/>
          <w:jc w:val="center"/>
        </w:trPr>
        <w:tc>
          <w:tcPr>
            <w:tcW w:w="1340" w:type="dxa"/>
            <w:shd w:val="clear" w:color="auto" w:fill="auto"/>
            <w:vAlign w:val="center"/>
          </w:tcPr>
          <w:p>
            <w:pPr>
              <w:snapToGrid w:val="0"/>
              <w:spacing w:line="320" w:lineRule="exact"/>
              <w:jc w:val="center"/>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sz w:val="24"/>
                <w:szCs w:val="24"/>
              </w:rPr>
              <w:t>服务方案（</w:t>
            </w: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分）</w:t>
            </w:r>
          </w:p>
        </w:tc>
        <w:tc>
          <w:tcPr>
            <w:tcW w:w="6537" w:type="dxa"/>
            <w:vAlign w:val="center"/>
          </w:tcPr>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车辆维修方案（3分）：方案应完整涵盖日常故障维修、24小时救援（含100公里内免费拖车）、大修工艺流程。内容齐全得3分，每缺少一项扣</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最高扣3分</w:t>
            </w:r>
            <w:r>
              <w:rPr>
                <w:rFonts w:hint="eastAsia" w:ascii="仿宋_GB2312" w:hAnsi="仿宋_GB2312" w:eastAsia="仿宋_GB2312" w:cs="仿宋_GB2312"/>
                <w:sz w:val="24"/>
                <w:szCs w:val="24"/>
              </w:rPr>
              <w:t>。</w:t>
            </w:r>
          </w:p>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保养计划（2分）：需明确定期保养、季节性保养、磨合期保养的具体措施。内容齐全得2分，每缺少一项扣</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最高扣2分</w:t>
            </w:r>
            <w:r>
              <w:rPr>
                <w:rFonts w:hint="eastAsia" w:ascii="仿宋_GB2312" w:hAnsi="仿宋_GB2312" w:eastAsia="仿宋_GB2312" w:cs="仿宋_GB2312"/>
                <w:sz w:val="24"/>
                <w:szCs w:val="24"/>
              </w:rPr>
              <w:t>。</w:t>
            </w:r>
          </w:p>
          <w:p>
            <w:pPr>
              <w:spacing w:line="320" w:lineRule="exact"/>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sz w:val="24"/>
                <w:szCs w:val="24"/>
              </w:rPr>
              <w:t>配件管理（3分）：承诺使用原厂非原包配件，并提供配件库存管理方案及质量保证措施。方案完善得3分，质量保证措施不齐全扣</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最高扣3分</w:t>
            </w: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rPr>
              <w:br w:type="textWrapping"/>
            </w:r>
            <w:r>
              <w:rPr>
                <w:rFonts w:hint="eastAsia" w:ascii="仿宋_GB2312" w:hAnsi="仿宋_GB2312" w:eastAsia="仿宋_GB2312" w:cs="仿宋_GB2312"/>
                <w:sz w:val="24"/>
                <w:szCs w:val="24"/>
              </w:rPr>
              <w:t>质量控制（2分）：需明确保修期限，其中总成大修为2万公里或100天，小修为2000公里或10日。条款齐全得2分，有缺项扣1分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最高扣2分</w:t>
            </w:r>
            <w:r>
              <w:rPr>
                <w:rFonts w:hint="eastAsia" w:ascii="仿宋_GB2312" w:hAnsi="仿宋_GB2312" w:eastAsia="仿宋_GB2312" w:cs="仿宋_GB2312"/>
                <w:sz w:val="24"/>
                <w:szCs w:val="24"/>
              </w:rPr>
              <w:t>。</w:t>
            </w:r>
          </w:p>
        </w:tc>
        <w:tc>
          <w:tcPr>
            <w:tcW w:w="1005" w:type="dxa"/>
            <w:vAlign w:val="center"/>
          </w:tcPr>
          <w:p>
            <w:pPr>
              <w:snapToGrid w:val="0"/>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00" w:hRule="atLeast"/>
          <w:jc w:val="center"/>
        </w:trPr>
        <w:tc>
          <w:tcPr>
            <w:tcW w:w="1340" w:type="dxa"/>
            <w:shd w:val="clear" w:color="auto" w:fill="auto"/>
            <w:vAlign w:val="center"/>
          </w:tcPr>
          <w:p>
            <w:pPr>
              <w:snapToGrid w:val="0"/>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维修支持能力</w:t>
            </w:r>
          </w:p>
          <w:p>
            <w:pPr>
              <w:snapToGrid w:val="0"/>
              <w:spacing w:line="320" w:lineRule="exact"/>
              <w:jc w:val="center"/>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分）</w:t>
            </w:r>
          </w:p>
        </w:tc>
        <w:tc>
          <w:tcPr>
            <w:tcW w:w="6537" w:type="dxa"/>
            <w:vAlign w:val="center"/>
          </w:tcPr>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设备（3分）：需配备电控检测设备、四轮定位仪</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机油更换</w:t>
            </w:r>
            <w:r>
              <w:rPr>
                <w:rFonts w:hint="eastAsia" w:ascii="仿宋_GB2312" w:hAnsi="仿宋_GB2312" w:eastAsia="仿宋_GB2312" w:cs="仿宋_GB2312"/>
                <w:sz w:val="24"/>
                <w:szCs w:val="24"/>
              </w:rPr>
              <w:t>等关键设备（</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分），每缺一类关键设备扣1分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不满足不得分。</w:t>
            </w:r>
          </w:p>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响应速度（2分）：承诺接到维修通知后2小时内响应，4小时内到达现场得2分，每延迟1小时扣1分</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最高扣2分</w:t>
            </w:r>
            <w:r>
              <w:rPr>
                <w:rFonts w:hint="eastAsia" w:ascii="仿宋_GB2312" w:hAnsi="仿宋_GB2312" w:eastAsia="仿宋_GB2312" w:cs="仿宋_GB2312"/>
                <w:sz w:val="24"/>
                <w:szCs w:val="24"/>
              </w:rPr>
              <w:t>。</w:t>
            </w:r>
          </w:p>
        </w:tc>
        <w:tc>
          <w:tcPr>
            <w:tcW w:w="1005" w:type="dxa"/>
            <w:vAlign w:val="center"/>
          </w:tcPr>
          <w:p>
            <w:pPr>
              <w:snapToGrid w:val="0"/>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5" w:hRule="atLeast"/>
          <w:jc w:val="center"/>
        </w:trPr>
        <w:tc>
          <w:tcPr>
            <w:tcW w:w="1340" w:type="dxa"/>
            <w:shd w:val="clear" w:color="auto" w:fill="auto"/>
            <w:vAlign w:val="center"/>
          </w:tcPr>
          <w:p>
            <w:pPr>
              <w:snapToGrid w:val="0"/>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增值服务（5分）</w:t>
            </w:r>
          </w:p>
        </w:tc>
        <w:tc>
          <w:tcPr>
            <w:tcW w:w="6537" w:type="dxa"/>
            <w:vAlign w:val="center"/>
          </w:tcPr>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每提供一项可量化的增值服务（如免费洗车、延长保修、免费电脑检测等）得1分，最高得5分。服务内容须明确具体，不可量化的描述不得分。</w:t>
            </w:r>
          </w:p>
        </w:tc>
        <w:tc>
          <w:tcPr>
            <w:tcW w:w="1005" w:type="dxa"/>
            <w:vAlign w:val="center"/>
          </w:tcPr>
          <w:p>
            <w:pPr>
              <w:snapToGrid w:val="0"/>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8882" w:type="dxa"/>
            <w:gridSpan w:val="3"/>
            <w:shd w:val="clear" w:color="auto" w:fill="auto"/>
            <w:vAlign w:val="center"/>
          </w:tcPr>
          <w:p>
            <w:pPr>
              <w:snapToGrid w:val="0"/>
              <w:spacing w:line="320" w:lineRule="exact"/>
              <w:jc w:val="left"/>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sz w:val="24"/>
                <w:szCs w:val="24"/>
              </w:rPr>
              <w:t>（三）商务评审（</w:t>
            </w:r>
            <w:r>
              <w:rPr>
                <w:rFonts w:hint="eastAsia" w:ascii="仿宋_GB2312" w:hAnsi="仿宋_GB2312" w:eastAsia="仿宋_GB2312" w:cs="仿宋_GB2312"/>
                <w:sz w:val="24"/>
                <w:szCs w:val="24"/>
                <w:lang w:val="en-US" w:eastAsia="zh-CN"/>
              </w:rPr>
              <w:t>10</w:t>
            </w:r>
            <w:r>
              <w:rPr>
                <w:rFonts w:hint="eastAsia" w:ascii="仿宋_GB2312" w:hAnsi="仿宋_GB2312" w:eastAsia="仿宋_GB2312" w:cs="仿宋_GB2312"/>
                <w:sz w:val="24"/>
                <w:szCs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340" w:type="dxa"/>
            <w:vMerge w:val="restart"/>
            <w:shd w:val="clear" w:color="auto" w:fill="auto"/>
            <w:vAlign w:val="center"/>
          </w:tcPr>
          <w:p>
            <w:pPr>
              <w:snapToGrid w:val="0"/>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综合资质（</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分）</w:t>
            </w:r>
          </w:p>
        </w:tc>
        <w:tc>
          <w:tcPr>
            <w:tcW w:w="6537" w:type="dxa"/>
            <w:vAlign w:val="center"/>
          </w:tcPr>
          <w:p>
            <w:pPr>
              <w:spacing w:line="320" w:lineRule="exact"/>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评估本地化服务能力:形式包括但不限于设有公司、办事处、服务网点等。已在项目所在地设立公司、办事处或服务网点，并能提供具体方案及相关证明文件</w:t>
            </w:r>
            <w:r>
              <w:rPr>
                <w:rFonts w:hint="eastAsia" w:ascii="仿宋_GB2312" w:hAnsi="仿宋_GB2312" w:eastAsia="仿宋_GB2312" w:cs="仿宋_GB2312"/>
                <w:sz w:val="24"/>
                <w:szCs w:val="24"/>
                <w:lang w:val="en-US" w:eastAsia="zh-CN"/>
              </w:rPr>
              <w:t>得3分</w:t>
            </w:r>
            <w:r>
              <w:rPr>
                <w:rFonts w:hint="eastAsia" w:ascii="仿宋_GB2312" w:hAnsi="仿宋_GB2312" w:eastAsia="仿宋_GB2312" w:cs="仿宋_GB2312"/>
                <w:sz w:val="24"/>
                <w:szCs w:val="24"/>
              </w:rPr>
              <w:t>，承诺中标后设置并</w:t>
            </w:r>
            <w:r>
              <w:rPr>
                <w:rFonts w:hint="eastAsia" w:ascii="仿宋_GB2312" w:hAnsi="仿宋_GB2312" w:eastAsia="仿宋_GB2312" w:cs="仿宋_GB2312"/>
                <w:sz w:val="24"/>
                <w:szCs w:val="24"/>
                <w:lang w:val="en-US" w:eastAsia="zh-CN"/>
              </w:rPr>
              <w:t>提供具体方案</w:t>
            </w:r>
            <w:r>
              <w:rPr>
                <w:rFonts w:hint="eastAsia" w:ascii="仿宋_GB2312" w:hAnsi="仿宋_GB2312" w:eastAsia="仿宋_GB2312" w:cs="仿宋_GB2312"/>
                <w:sz w:val="24"/>
                <w:szCs w:val="24"/>
              </w:rPr>
              <w:t>，得2分；未提供承诺或方案的不得分。</w:t>
            </w:r>
          </w:p>
        </w:tc>
        <w:tc>
          <w:tcPr>
            <w:tcW w:w="1005" w:type="dxa"/>
            <w:vAlign w:val="center"/>
          </w:tcPr>
          <w:p>
            <w:pPr>
              <w:snapToGrid w:val="0"/>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340" w:type="dxa"/>
            <w:shd w:val="clear" w:color="auto" w:fill="auto"/>
            <w:vAlign w:val="center"/>
          </w:tcPr>
          <w:p>
            <w:pPr>
              <w:snapToGrid w:val="0"/>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业绩与</w:t>
            </w:r>
          </w:p>
          <w:p>
            <w:pPr>
              <w:snapToGrid w:val="0"/>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评价</w:t>
            </w:r>
          </w:p>
          <w:p>
            <w:pPr>
              <w:snapToGrid w:val="0"/>
              <w:spacing w:line="320" w:lineRule="exact"/>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分</w:t>
            </w:r>
            <w:r>
              <w:rPr>
                <w:rFonts w:hint="eastAsia" w:ascii="仿宋_GB2312" w:hAnsi="仿宋_GB2312" w:eastAsia="仿宋_GB2312" w:cs="仿宋_GB2312"/>
                <w:sz w:val="24"/>
                <w:szCs w:val="24"/>
                <w:lang w:eastAsia="zh-CN"/>
              </w:rPr>
              <w:t>）</w:t>
            </w:r>
          </w:p>
        </w:tc>
        <w:tc>
          <w:tcPr>
            <w:tcW w:w="6537" w:type="dxa"/>
            <w:vAlign w:val="center"/>
          </w:tcPr>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2022年7月31日至今，每提供一份同类车辆维修服务合同关键页（如封面、服务范围页、签字盖章页）作为证明，得1分，本项最高得4分。</w:t>
            </w:r>
          </w:p>
        </w:tc>
        <w:tc>
          <w:tcPr>
            <w:tcW w:w="1005" w:type="dxa"/>
            <w:vAlign w:val="center"/>
          </w:tcPr>
          <w:p>
            <w:pPr>
              <w:snapToGrid w:val="0"/>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5" w:hRule="atLeast"/>
          <w:jc w:val="center"/>
        </w:trPr>
        <w:tc>
          <w:tcPr>
            <w:tcW w:w="1340" w:type="dxa"/>
            <w:shd w:val="clear" w:color="auto" w:fill="auto"/>
            <w:vAlign w:val="center"/>
          </w:tcPr>
          <w:p>
            <w:pPr>
              <w:snapToGrid w:val="0"/>
              <w:spacing w:line="320" w:lineRule="exact"/>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项目团队（</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分）</w:t>
            </w:r>
          </w:p>
        </w:tc>
        <w:tc>
          <w:tcPr>
            <w:tcW w:w="6537" w:type="dxa"/>
            <w:vAlign w:val="center"/>
          </w:tcPr>
          <w:p>
            <w:pPr>
              <w:spacing w:line="320" w:lineRule="exac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维修技术人员（包括机修工、电工等）总数不少于8人（需提供相关资质证书及社保证明），得3分；5至7人得2分；2至4人得1分；少于2人得0分。</w:t>
            </w:r>
          </w:p>
        </w:tc>
        <w:tc>
          <w:tcPr>
            <w:tcW w:w="1005" w:type="dxa"/>
            <w:vAlign w:val="center"/>
          </w:tcPr>
          <w:p>
            <w:pPr>
              <w:snapToGrid w:val="0"/>
              <w:spacing w:line="320" w:lineRule="exact"/>
              <w:jc w:val="cente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i w:val="0"/>
                <w:iCs/>
                <w:color w:val="000000" w:themeColor="text1"/>
                <w:sz w:val="24"/>
                <w:szCs w:val="24"/>
                <w:lang w:val="en-US" w:eastAsia="zh-CN"/>
                <w14:textFill>
                  <w14:solidFill>
                    <w14:schemeClr w14:val="tx1"/>
                  </w14:solidFill>
                </w14:textFill>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jc w:val="center"/>
        </w:trPr>
        <w:tc>
          <w:tcPr>
            <w:tcW w:w="7877" w:type="dxa"/>
            <w:gridSpan w:val="2"/>
            <w:vAlign w:val="center"/>
          </w:tcPr>
          <w:p>
            <w:pPr>
              <w:spacing w:line="320" w:lineRule="exact"/>
              <w:jc w:val="center"/>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合计</w:t>
            </w:r>
          </w:p>
        </w:tc>
        <w:tc>
          <w:tcPr>
            <w:tcW w:w="1005" w:type="dxa"/>
            <w:vAlign w:val="center"/>
          </w:tcPr>
          <w:p>
            <w:pPr>
              <w:snapToGrid w:val="0"/>
              <w:spacing w:line="320" w:lineRule="exact"/>
              <w:jc w:val="center"/>
              <w:rPr>
                <w:rFonts w:hint="eastAsia" w:ascii="仿宋_GB2312" w:hAnsi="仿宋_GB2312" w:eastAsia="仿宋_GB2312" w:cs="仿宋_GB2312"/>
                <w:i w:val="0"/>
                <w:iCs/>
                <w:color w:val="000000" w:themeColor="text1"/>
                <w:sz w:val="24"/>
                <w:szCs w:val="24"/>
                <w14:textFill>
                  <w14:solidFill>
                    <w14:schemeClr w14:val="tx1"/>
                  </w14:solidFill>
                </w14:textFill>
              </w:rPr>
            </w:pPr>
            <w:r>
              <w:rPr>
                <w:rFonts w:hint="eastAsia" w:ascii="仿宋_GB2312" w:hAnsi="仿宋_GB2312" w:eastAsia="仿宋_GB2312" w:cs="仿宋_GB2312"/>
                <w:i w:val="0"/>
                <w:iCs/>
                <w:color w:val="000000" w:themeColor="text1"/>
                <w:sz w:val="24"/>
                <w:szCs w:val="24"/>
                <w14:textFill>
                  <w14:solidFill>
                    <w14:schemeClr w14:val="tx1"/>
                  </w14:solidFill>
                </w14:textFill>
              </w:rPr>
              <w:t>100</w:t>
            </w:r>
          </w:p>
        </w:tc>
      </w:tr>
    </w:tbl>
    <w:p>
      <w:pPr>
        <w:pStyle w:val="18"/>
        <w:keepNext w:val="0"/>
        <w:keepLines w:val="0"/>
        <w:pageBreakBefore w:val="0"/>
        <w:widowControl w:val="0"/>
        <w:kinsoku/>
        <w:wordWrap/>
        <w:overflowPunct/>
        <w:topLinePunct w:val="0"/>
        <w:autoSpaceDE/>
        <w:autoSpaceDN/>
        <w:bidi w:val="0"/>
        <w:adjustRightInd/>
        <w:snapToGrid/>
        <w:spacing w:line="400" w:lineRule="exact"/>
        <w:ind w:left="0" w:right="0"/>
        <w:textAlignment w:val="auto"/>
        <w:outlineLvl w:val="9"/>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 xml:space="preserve">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lang w:eastAsia="zh-CN"/>
        </w:rPr>
        <w:t>二、评审程序</w:t>
      </w:r>
    </w:p>
    <w:p>
      <w:pPr>
        <w:pStyle w:val="7"/>
        <w:keepNext w:val="0"/>
        <w:keepLines w:val="0"/>
        <w:pageBreakBefore w:val="0"/>
        <w:widowControl w:val="0"/>
        <w:kinsoku/>
        <w:wordWrap/>
        <w:overflowPunct/>
        <w:topLinePunct w:val="0"/>
        <w:autoSpaceDE/>
        <w:autoSpaceDN/>
        <w:bidi w:val="0"/>
        <w:adjustRightInd/>
        <w:snapToGrid/>
        <w:spacing w:after="0" w:line="400" w:lineRule="exact"/>
        <w:ind w:left="0" w:right="0" w:firstLine="48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本项目评审程序分为资格性和符合性评审、综合评审</w:t>
      </w:r>
      <w:r>
        <w:rPr>
          <w:rFonts w:hint="eastAsia" w:ascii="仿宋_GB2312" w:hAnsi="仿宋_GB2312" w:eastAsia="仿宋_GB2312" w:cs="仿宋_GB2312"/>
          <w:sz w:val="24"/>
          <w:szCs w:val="24"/>
          <w:lang w:val="en-GB"/>
        </w:rPr>
        <w:t>、</w:t>
      </w:r>
      <w:r>
        <w:rPr>
          <w:rFonts w:hint="eastAsia" w:ascii="仿宋_GB2312" w:hAnsi="仿宋_GB2312" w:eastAsia="仿宋_GB2312" w:cs="仿宋_GB2312"/>
          <w:sz w:val="24"/>
          <w:szCs w:val="24"/>
        </w:rPr>
        <w:t>推荐成交供应商。</w:t>
      </w:r>
      <w:bookmarkEnd w:id="46"/>
      <w:bookmarkEnd w:id="47"/>
    </w:p>
    <w:p>
      <w:pPr>
        <w:pStyle w:val="7"/>
        <w:spacing w:before="125" w:line="357" w:lineRule="auto"/>
        <w:ind w:left="218" w:right="212" w:firstLine="480"/>
        <w:rPr>
          <w:rFonts w:hint="eastAsia" w:ascii="仿宋_GB2312" w:hAnsi="仿宋_GB2312" w:eastAsia="仿宋_GB2312" w:cs="仿宋_GB2312"/>
          <w:sz w:val="24"/>
          <w:szCs w:val="24"/>
        </w:rPr>
      </w:pPr>
    </w:p>
    <w:p>
      <w:pPr>
        <w:pStyle w:val="7"/>
        <w:spacing w:before="125" w:line="357" w:lineRule="auto"/>
        <w:ind w:left="218" w:right="212" w:firstLine="480"/>
        <w:rPr>
          <w:rFonts w:hint="eastAsia" w:ascii="仿宋_GB2312" w:hAnsi="仿宋_GB2312" w:eastAsia="仿宋_GB2312" w:cs="仿宋_GB2312"/>
          <w:sz w:val="24"/>
          <w:szCs w:val="24"/>
        </w:rPr>
      </w:pPr>
    </w:p>
    <w:p>
      <w:pPr>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br w:type="page"/>
      </w:r>
    </w:p>
    <w:p>
      <w:pPr>
        <w:pStyle w:val="2"/>
        <w:numPr>
          <w:ilvl w:val="0"/>
          <w:numId w:val="4"/>
        </w:numPr>
        <w:tabs>
          <w:tab w:val="left" w:pos="4265"/>
        </w:tabs>
        <w:spacing w:before="0" w:after="0" w:line="560" w:lineRule="exact"/>
        <w:ind w:left="0" w:firstLine="2580" w:firstLineChars="1071"/>
        <w:jc w:val="left"/>
        <w:rPr>
          <w:rFonts w:hint="eastAsia" w:ascii="仿宋_GB2312" w:hAnsi="仿宋_GB2312" w:eastAsia="仿宋_GB2312" w:cs="仿宋_GB2312"/>
          <w:color w:val="auto"/>
          <w:sz w:val="24"/>
          <w:szCs w:val="24"/>
        </w:rPr>
      </w:pPr>
      <w:bookmarkStart w:id="48" w:name="_Toc514"/>
      <w:r>
        <w:rPr>
          <w:rFonts w:hint="eastAsia" w:ascii="仿宋_GB2312" w:hAnsi="仿宋_GB2312" w:eastAsia="仿宋_GB2312" w:cs="仿宋_GB2312"/>
          <w:color w:val="auto"/>
          <w:sz w:val="24"/>
          <w:szCs w:val="24"/>
        </w:rPr>
        <w:t>合同主要条款</w:t>
      </w:r>
      <w:bookmarkEnd w:id="48"/>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rPr>
      </w:pPr>
    </w:p>
    <w:p>
      <w:pPr>
        <w:keepNext w:val="0"/>
        <w:keepLines w:val="0"/>
        <w:widowControl/>
        <w:suppressLineNumbers w:val="0"/>
        <w:spacing w:before="0" w:beforeAutospacing="1" w:after="0" w:afterAutospacing="1" w:line="600" w:lineRule="exact"/>
        <w:ind w:left="0" w:right="0"/>
        <w:jc w:val="center"/>
        <w:rPr>
          <w:rFonts w:hint="eastAsia" w:ascii="仿宋_GB2312" w:hAnsi="仿宋_GB2312" w:eastAsia="仿宋_GB2312" w:cs="仿宋_GB2312"/>
          <w:b/>
          <w:bCs/>
          <w:kern w:val="0"/>
          <w:sz w:val="24"/>
          <w:szCs w:val="24"/>
          <w:lang w:bidi="ar"/>
        </w:rPr>
      </w:pPr>
      <w:r>
        <w:rPr>
          <w:rFonts w:hint="eastAsia" w:ascii="仿宋_GB2312" w:hAnsi="仿宋_GB2312" w:eastAsia="仿宋_GB2312" w:cs="仿宋_GB2312"/>
          <w:b/>
          <w:bCs/>
          <w:kern w:val="0"/>
          <w:sz w:val="24"/>
          <w:szCs w:val="24"/>
          <w:lang w:bidi="ar"/>
        </w:rPr>
        <w:t>车辆维修服务框架合同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甲方：中国人民财产保险股份有限公司</w:t>
      </w:r>
      <w:r>
        <w:rPr>
          <w:rFonts w:hint="eastAsia" w:ascii="仿宋_GB2312" w:hAnsi="仿宋_GB2312" w:eastAsia="仿宋_GB2312" w:cs="仿宋_GB2312"/>
          <w:sz w:val="24"/>
          <w:szCs w:val="24"/>
          <w:lang w:val="en-US" w:eastAsia="zh-CN"/>
        </w:rPr>
        <w:t>阿里</w:t>
      </w:r>
      <w:r>
        <w:rPr>
          <w:rFonts w:hint="eastAsia" w:ascii="仿宋_GB2312" w:hAnsi="仿宋_GB2312" w:eastAsia="仿宋_GB2312" w:cs="仿宋_GB2312"/>
          <w:sz w:val="24"/>
          <w:szCs w:val="24"/>
        </w:rPr>
        <w:t>分公司</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地址：西藏自治区</w:t>
      </w:r>
      <w:r>
        <w:rPr>
          <w:rFonts w:hint="eastAsia" w:ascii="仿宋_GB2312" w:hAnsi="仿宋_GB2312" w:eastAsia="仿宋_GB2312" w:cs="仿宋_GB2312"/>
          <w:sz w:val="24"/>
          <w:szCs w:val="24"/>
          <w:lang w:val="en-US" w:eastAsia="zh-CN"/>
        </w:rPr>
        <w:t>阿里地区狮泉河东路10号</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乙方：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地址：</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鉴于：本合同双方当事人（1）均为依照中华人民共和国法律成立并有效存续的独立法人或其分支机构，（2）并且已经获得签署本合同的相应授权，（3）具备履行本合同所必须的资质和条件。 为保障双方的合法权益，根据《中华人民共和国民法典》及相关法律法规的规定,甲、乙双方在平等互利、协商一致的基础上，达成协议如下：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合同正文</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商务部分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第一条 项目内容及要求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项目内容及要求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本合同项下甲乙双方约定的项目内容及要求见本合同【附件】。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第二条 合同价格</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本合同价格确定及付款安排见【附件】。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由于乙方未提供或未及时提供足额有效的增值税专用发票，或乙方变更账户信息但未提前通知甲方而导致的付款迟延，甲方不承担任何责任。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第三条 双方的权利和义务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双方的权利和义务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除本合同约定的双方的权利义务外，甲乙双方在本合同项下的其他权利和义务见【附件】的约定。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第四条 违约责任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违约责任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甲、乙任一方或双方违约的，违约一方应当向相对方承担相应的违约责任。违约责任的具体约定见【附件】。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通用部分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第五条 双方的权利和义务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甲方的权利和义务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（1）甲方有权获得本合同项下乙方应提供的全部合格的服务；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（2）甲方有权在合同期内对乙方的产品及服务进行监督；</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（3）乙方未按照合同约定履行义务的，甲方有权采取相应的措施；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（4）甲方应按照合同约定向乙方支付合同价款；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（5）甲方享有其它双方约定的权利、承担其它双方约定的义务。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w:t>
      </w:r>
      <w:r>
        <w:rPr>
          <w:rFonts w:hint="eastAsia" w:ascii="仿宋_GB2312" w:hAnsi="仿宋_GB2312" w:eastAsia="仿宋_GB2312" w:cs="仿宋_GB2312"/>
          <w:sz w:val="24"/>
          <w:szCs w:val="24"/>
          <w:lang w:val="en-US" w:eastAsia="zh-CN"/>
        </w:rPr>
        <w:t>二</w:t>
      </w:r>
      <w:r>
        <w:rPr>
          <w:rFonts w:hint="eastAsia" w:ascii="仿宋_GB2312" w:hAnsi="仿宋_GB2312" w:eastAsia="仿宋_GB2312" w:cs="仿宋_GB2312"/>
          <w:sz w:val="24"/>
          <w:szCs w:val="24"/>
        </w:rPr>
        <w:t>） 乙方的权利和义务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（1）乙方有权获得甲方支付的合同价款；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（2）乙方应按照合同约定向甲方提供全部合格的服务；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（3）乙方应当按照合同约定的期限及要求完成项目内容；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乙方应保证项目中主要人员的稳定性，如因乙方人员流失导致项目无法按照约定的计划正常进行，乙方应在甲方书面同意的情况下提供同等或相似资历和背景的工作人员；如双方未能就该等工作人员的替换达成一致的，甲方有权终止合同并扣除乙方未实施服务部分所对应的合同款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（5）乙方享有其它双方约定的权利、承担其它双方约定的义务。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第六条 禁止转让</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禁止转让</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未经甲方事先书面同意，乙方不得将其本合同项下之全部义务或其中一部分义务转让给第三方执行。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第七条 权利保证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权利保证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确保甲方不因签署本合同、接受或使用本合同中约定的事项侵犯甲方或任何第三方权利。如乙方违反本保证，导致第三方主张权利或者甲方遭受索赔，乙方应负责解决并应当赔偿甲方为此而支付的一切费用以及因此而给甲方造成的全部损失（包括但不限于甲方支出的律师费、仲裁费、诉讼费以及向第三方支付的赔偿金）。</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第八条 违约责任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由于甲方原因不能按合同约定时间付款的，每延迟10个工作日，甲方按合同应付金额的</w:t>
      </w:r>
      <w:r>
        <w:rPr>
          <w:rFonts w:hint="eastAsia" w:ascii="仿宋_GB2312" w:hAnsi="仿宋_GB2312" w:eastAsia="仿宋_GB2312" w:cs="仿宋_GB2312"/>
          <w:sz w:val="24"/>
          <w:szCs w:val="24"/>
          <w:u w:val="single"/>
          <w:lang w:val="en-US" w:eastAsia="zh-CN"/>
        </w:rPr>
        <w:t xml:space="preserve"> 5 </w:t>
      </w:r>
      <w:r>
        <w:rPr>
          <w:rFonts w:hint="eastAsia" w:ascii="仿宋_GB2312" w:hAnsi="仿宋_GB2312" w:eastAsia="仿宋_GB2312" w:cs="仿宋_GB2312"/>
          <w:sz w:val="24"/>
          <w:szCs w:val="24"/>
        </w:rPr>
        <w:t>%向乙方支付违约金。</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乙方延迟交付的违约责任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（1）由于乙方原因造成项目延迟的，每延迟10个工作日，乙方向甲方支付违约金为合同服务费用总额的</w:t>
      </w:r>
      <w:r>
        <w:rPr>
          <w:rFonts w:hint="eastAsia" w:ascii="仿宋_GB2312" w:hAnsi="仿宋_GB2312" w:eastAsia="仿宋_GB2312" w:cs="仿宋_GB2312"/>
          <w:sz w:val="24"/>
          <w:szCs w:val="24"/>
          <w:u w:val="single"/>
          <w:lang w:val="en-US" w:eastAsia="zh-CN"/>
        </w:rPr>
        <w:t xml:space="preserve"> 5 </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（2）由于乙方原因造成项目迟延，经甲方催促后乙方继续延误的，甲方有权单方面解除合同，乙方应按照合同服务费用总额的</w:t>
      </w:r>
      <w:r>
        <w:rPr>
          <w:rFonts w:hint="eastAsia" w:ascii="仿宋_GB2312" w:hAnsi="仿宋_GB2312" w:eastAsia="仿宋_GB2312" w:cs="仿宋_GB2312"/>
          <w:sz w:val="24"/>
          <w:szCs w:val="24"/>
          <w:u w:val="single"/>
          <w:lang w:val="en-US" w:eastAsia="zh-CN"/>
        </w:rPr>
        <w:t xml:space="preserve"> 5 </w:t>
      </w:r>
      <w:r>
        <w:rPr>
          <w:rFonts w:hint="eastAsia" w:ascii="仿宋_GB2312" w:hAnsi="仿宋_GB2312" w:eastAsia="仿宋_GB2312" w:cs="仿宋_GB2312"/>
          <w:sz w:val="24"/>
          <w:szCs w:val="24"/>
        </w:rPr>
        <w:t>%向甲方支付违约金，并赔偿由此引起的甲方全部损失。</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验收不合格并且乙方在甲方指定期限内无法完成整改、提交合格的工作成果的，乙方应向甲方支付合同服务费用总额</w:t>
      </w:r>
      <w:r>
        <w:rPr>
          <w:rFonts w:hint="eastAsia" w:ascii="仿宋_GB2312" w:hAnsi="仿宋_GB2312" w:eastAsia="仿宋_GB2312" w:cs="仿宋_GB2312"/>
          <w:sz w:val="24"/>
          <w:szCs w:val="24"/>
          <w:u w:val="single"/>
          <w:lang w:val="en-US" w:eastAsia="zh-CN"/>
        </w:rPr>
        <w:t xml:space="preserve"> 5 </w:t>
      </w:r>
      <w:r>
        <w:rPr>
          <w:rFonts w:hint="eastAsia" w:ascii="仿宋_GB2312" w:hAnsi="仿宋_GB2312" w:eastAsia="仿宋_GB2312" w:cs="仿宋_GB2312"/>
          <w:sz w:val="24"/>
          <w:szCs w:val="24"/>
        </w:rPr>
        <w:t>%的违约金，并赔偿由此引起的甲方全部损失。</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如果乙方违反本合同约定的保密义务，乙方应向甲方支付相当于合同服务费用总额</w:t>
      </w:r>
      <w:r>
        <w:rPr>
          <w:rFonts w:hint="eastAsia" w:ascii="仿宋_GB2312" w:hAnsi="仿宋_GB2312" w:eastAsia="仿宋_GB2312" w:cs="仿宋_GB2312"/>
          <w:sz w:val="24"/>
          <w:szCs w:val="24"/>
          <w:u w:val="single"/>
          <w:lang w:val="en-US" w:eastAsia="zh-CN"/>
        </w:rPr>
        <w:t xml:space="preserve"> 5 </w:t>
      </w:r>
      <w:r>
        <w:rPr>
          <w:rFonts w:hint="eastAsia" w:ascii="仿宋_GB2312" w:hAnsi="仿宋_GB2312" w:eastAsia="仿宋_GB2312" w:cs="仿宋_GB2312"/>
          <w:sz w:val="24"/>
          <w:szCs w:val="24"/>
        </w:rPr>
        <w:t>%的违约金，甲方受到的损失超出违约金的部分，由乙方继续承担赔偿责任。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 除本合同的约定外，因乙方的违约行为给甲方造成损失的，乙方应向甲方支付相当于合同服务费用总额</w:t>
      </w:r>
      <w:r>
        <w:rPr>
          <w:rFonts w:hint="eastAsia" w:ascii="仿宋_GB2312" w:hAnsi="仿宋_GB2312" w:eastAsia="仿宋_GB2312" w:cs="仿宋_GB2312"/>
          <w:sz w:val="24"/>
          <w:szCs w:val="24"/>
          <w:u w:val="single"/>
          <w:lang w:val="en-US" w:eastAsia="zh-CN"/>
        </w:rPr>
        <w:t xml:space="preserve"> 5 </w:t>
      </w:r>
      <w:r>
        <w:rPr>
          <w:rFonts w:hint="eastAsia" w:ascii="仿宋_GB2312" w:hAnsi="仿宋_GB2312" w:eastAsia="仿宋_GB2312" w:cs="仿宋_GB2312"/>
          <w:sz w:val="24"/>
          <w:szCs w:val="24"/>
        </w:rPr>
        <w:t>%的违约金，如甲方受到的损失超过违约金的，超出部分由乙方继续承担赔偿责任。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第九条 保密义务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乙方应保证对本合同的所有相关内容及其因履行本合同所获知的各种甲方的具有保密性质的信息（包括但不限于经营、管理、商务、技术、营销、发展规划等）负有保密义务，未经甲方事前书面许可，不得将上述信息用于本合同目的之外；除为履行其职责而确有必要知悉保密资料的乙方工作人员或其他第三方外，乙方不向其他任何人披露上述信息，且乙方应确保上述人员承担与本合同约定同等严格的保密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乙方在本合同中所受领的保密信息应及时返还甲方或在甲方监督下予以销毁。乙方擅自留存备份信息，视为违反保密约定。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无论本合同因何种原因终止，本保密条款依然有效。</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第十条 不可抗力</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本合同任何一方因不可抗力不能履行本合同约定的全部或部分义务，应尽快通知另一方，并应在不可抗力发生后3日内以书面形式向对方提供详细情况报告及不可抗力对履行本合同影响程度的说明。甲、乙双方应根据不可抗力对合同履行的影响程度，协商确定是否终止合同，或继续履行本合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本合同任何一方均不对因不可抗力无法履行或迟延履行义务而使对方遭受到任何损失承担责任，但遭受不可抗力影响的一方有责任采取适当和必要的措施减轻或消除不可抗力的影响。遭受不可抗力影响的一方应当对未尽本项责任造成或扩大的损失承担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合同一方迟延履行后发生不可抗力的，不能免除其责任。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不可抗力因素消除后，双方应立即进行磋商，就不可抗力所造成影响程度甲方有权决定是否继续履行或者终止本合同。如果甲方决定终止合同，如甲方已经付款，乙方应将已交付部分的款项在5日内向甲方返还。</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第十一条 合同变更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合同变更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对本合同的任何变更或补充，须经甲乙双方协商一致，并另行签订书面补充协议。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第十二条 合同特别终止</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甲乙双方同意在乙方出现下列情形时，甲方可以书面形式通知乙方（或者乙方的破产清算组或相关管理人）提出终止合同而不向其提供任何补偿：</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（1）乙方破产、解散（包括但不限于乙方股东会决议解散、乙方被吊销营业执照、被责令关闭、被撤销、被司法机关裁决解散等情形）；</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（2）乙方发生未经甲方书面同意的重大产权变更（包括但不限于合并、分立、注销等情形)；（如系上市公司）被勒令停止上市；以及任何原因背负重大债务导致无履行能力。</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仿宋_GB2312" w:hAnsi="仿宋_GB2312" w:eastAsia="仿宋_GB2312" w:cs="仿宋_GB2312"/>
          <w:b/>
          <w:bCs/>
          <w:sz w:val="24"/>
          <w:szCs w:val="24"/>
        </w:rPr>
      </w:pP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lang w:val="en-US" w:eastAsia="zh-CN"/>
        </w:rPr>
        <w:t>3</w:t>
      </w:r>
      <w:r>
        <w:rPr>
          <w:rFonts w:hint="eastAsia" w:ascii="仿宋_GB2312" w:hAnsi="仿宋_GB2312" w:eastAsia="仿宋_GB2312" w:cs="仿宋_GB2312"/>
          <w:b/>
          <w:bCs/>
          <w:sz w:val="24"/>
          <w:szCs w:val="24"/>
          <w:lang w:eastAsia="zh-CN"/>
        </w:rPr>
        <w:t>）</w:t>
      </w:r>
      <w:r>
        <w:rPr>
          <w:rFonts w:hint="eastAsia" w:ascii="仿宋_GB2312" w:hAnsi="仿宋_GB2312" w:eastAsia="仿宋_GB2312" w:cs="仿宋_GB2312"/>
          <w:b/>
          <w:bCs/>
          <w:sz w:val="24"/>
          <w:szCs w:val="24"/>
        </w:rPr>
        <w:t>乙方达不到甲方相关服务标准的，甲方可以终止协议，并不在续签。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如果因上述原因导致本合同终止，甲方已经采取或者将要采取任何补救措施的权利不受任何影响。</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第十三条 法律适用与争议解决</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本合同的订立、效力、解释、履行和争议的解决均适用中华人民共和国法律（不包括港澳台地区法律）。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（二） 凡因本合同引起的或与本合同有关的任何争议，双方首先应友好协商解决。协商不成的，任何一方均可向甲方所在地有管辖权的法院提起诉讼。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第十四条 合同生效及其他</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 本合同经甲乙双方法定代表人或授权代表签字并加盖公章或合同专用章后生效。</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 合同期限自_______年_______月_______日始，至_______年_______月_______日止。</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（三） 本合同一式</w:t>
      </w:r>
      <w:r>
        <w:rPr>
          <w:rFonts w:hint="eastAsia" w:ascii="仿宋_GB2312" w:hAnsi="仿宋_GB2312" w:eastAsia="仿宋_GB2312" w:cs="仿宋_GB2312"/>
          <w:sz w:val="24"/>
          <w:szCs w:val="24"/>
          <w:u w:val="single"/>
          <w:lang w:val="en-US" w:eastAsia="zh-CN"/>
        </w:rPr>
        <w:t xml:space="preserve">  4  </w:t>
      </w:r>
      <w:r>
        <w:rPr>
          <w:rFonts w:hint="eastAsia" w:ascii="仿宋_GB2312" w:hAnsi="仿宋_GB2312" w:eastAsia="仿宋_GB2312" w:cs="仿宋_GB2312"/>
          <w:sz w:val="24"/>
          <w:szCs w:val="24"/>
        </w:rPr>
        <w:t>份，其中正本</w:t>
      </w:r>
      <w:r>
        <w:rPr>
          <w:rFonts w:hint="eastAsia" w:ascii="仿宋_GB2312" w:hAnsi="仿宋_GB2312" w:eastAsia="仿宋_GB2312" w:cs="仿宋_GB2312"/>
          <w:sz w:val="24"/>
          <w:szCs w:val="24"/>
          <w:u w:val="single"/>
          <w:lang w:val="en-US" w:eastAsia="zh-CN"/>
        </w:rPr>
        <w:t xml:space="preserve">  2  </w:t>
      </w:r>
      <w:r>
        <w:rPr>
          <w:rFonts w:hint="eastAsia" w:ascii="仿宋_GB2312" w:hAnsi="仿宋_GB2312" w:eastAsia="仿宋_GB2312" w:cs="仿宋_GB2312"/>
          <w:sz w:val="24"/>
          <w:szCs w:val="24"/>
        </w:rPr>
        <w:t>份，副本</w:t>
      </w:r>
      <w:r>
        <w:rPr>
          <w:rFonts w:hint="eastAsia" w:ascii="仿宋_GB2312" w:hAnsi="仿宋_GB2312" w:eastAsia="仿宋_GB2312" w:cs="仿宋_GB2312"/>
          <w:sz w:val="24"/>
          <w:szCs w:val="24"/>
          <w:u w:val="single"/>
          <w:lang w:val="en-US" w:eastAsia="zh-CN"/>
        </w:rPr>
        <w:t xml:space="preserve">  2  </w:t>
      </w:r>
      <w:r>
        <w:rPr>
          <w:rFonts w:hint="eastAsia" w:ascii="仿宋_GB2312" w:hAnsi="仿宋_GB2312" w:eastAsia="仿宋_GB2312" w:cs="仿宋_GB2312"/>
          <w:sz w:val="24"/>
          <w:szCs w:val="24"/>
        </w:rPr>
        <w:t>份。甲方执</w:t>
      </w:r>
      <w:r>
        <w:rPr>
          <w:rFonts w:hint="eastAsia" w:ascii="仿宋_GB2312" w:hAnsi="仿宋_GB2312" w:eastAsia="仿宋_GB2312" w:cs="仿宋_GB2312"/>
          <w:sz w:val="24"/>
          <w:szCs w:val="24"/>
          <w:u w:val="single"/>
          <w:lang w:val="en-US" w:eastAsia="zh-CN"/>
        </w:rPr>
        <w:t xml:space="preserve"> 1  </w:t>
      </w:r>
      <w:r>
        <w:rPr>
          <w:rFonts w:hint="eastAsia" w:ascii="仿宋_GB2312" w:hAnsi="仿宋_GB2312" w:eastAsia="仿宋_GB2312" w:cs="仿宋_GB2312"/>
          <w:sz w:val="24"/>
          <w:szCs w:val="24"/>
        </w:rPr>
        <w:t>份正本</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u w:val="single"/>
          <w:lang w:val="en-US" w:eastAsia="zh-CN"/>
        </w:rPr>
        <w:t xml:space="preserve">  1  </w:t>
      </w:r>
      <w:r>
        <w:rPr>
          <w:rFonts w:hint="eastAsia" w:ascii="仿宋_GB2312" w:hAnsi="仿宋_GB2312" w:eastAsia="仿宋_GB2312" w:cs="仿宋_GB2312"/>
          <w:sz w:val="24"/>
          <w:szCs w:val="24"/>
          <w:lang w:val="en-US" w:eastAsia="zh-CN"/>
        </w:rPr>
        <w:t xml:space="preserve"> </w:t>
      </w:r>
      <w:r>
        <w:rPr>
          <w:rFonts w:hint="eastAsia" w:ascii="仿宋_GB2312" w:hAnsi="仿宋_GB2312" w:eastAsia="仿宋_GB2312" w:cs="仿宋_GB2312"/>
          <w:sz w:val="24"/>
          <w:szCs w:val="24"/>
        </w:rPr>
        <w:t>份副本；乙方执</w:t>
      </w:r>
      <w:r>
        <w:rPr>
          <w:rFonts w:hint="eastAsia" w:ascii="仿宋_GB2312" w:hAnsi="仿宋_GB2312" w:eastAsia="仿宋_GB2312" w:cs="仿宋_GB2312"/>
          <w:sz w:val="24"/>
          <w:szCs w:val="24"/>
          <w:u w:val="single"/>
          <w:lang w:val="en-US" w:eastAsia="zh-CN"/>
        </w:rPr>
        <w:t xml:space="preserve">  1  </w:t>
      </w:r>
      <w:r>
        <w:rPr>
          <w:rFonts w:hint="eastAsia" w:ascii="仿宋_GB2312" w:hAnsi="仿宋_GB2312" w:eastAsia="仿宋_GB2312" w:cs="仿宋_GB2312"/>
          <w:sz w:val="24"/>
          <w:szCs w:val="24"/>
        </w:rPr>
        <w:t>份正本，</w:t>
      </w:r>
      <w:r>
        <w:rPr>
          <w:rFonts w:hint="eastAsia" w:ascii="仿宋_GB2312" w:hAnsi="仿宋_GB2312" w:eastAsia="仿宋_GB2312" w:cs="仿宋_GB2312"/>
          <w:sz w:val="24"/>
          <w:szCs w:val="24"/>
          <w:u w:val="single"/>
          <w:lang w:val="en-US" w:eastAsia="zh-CN"/>
        </w:rPr>
        <w:t xml:space="preserve">  1  </w:t>
      </w:r>
      <w:r>
        <w:rPr>
          <w:rFonts w:hint="eastAsia" w:ascii="仿宋_GB2312" w:hAnsi="仿宋_GB2312" w:eastAsia="仿宋_GB2312" w:cs="仿宋_GB2312"/>
          <w:sz w:val="24"/>
          <w:szCs w:val="24"/>
        </w:rPr>
        <w:t>份副本。</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（四） 无论本合同是否有相反约定，本合同附件（如有）作为本合同的组成部分，与本合同具有同等法律效力，当附件条款与本合同条款发生冲突时，以本合同条款为准。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（五） 本合同及合同附件（如有）是甲乙双方关于本次交易所最终确定的全部内容，甲乙双方均承认其已审阅、理解本合同及合同附件的内容，并同意取代甲乙双方之间此前关于本次交易所做出的任何口头或书面的承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（六） 由于法律和法规、政策而导致本合同任何条款无效或无法执行，则该条款无效，但不影响剩余其他条款的效力。</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第十五条 附件的组成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附件的组成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附件一、服务内容及要求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附件二、付款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附件三、双方的权利和义务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附件四、违约责任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附件一</w:t>
      </w:r>
      <w:r>
        <w:rPr>
          <w:rFonts w:hint="eastAsia" w:ascii="仿宋_GB2312" w:hAnsi="仿宋_GB2312" w:eastAsia="仿宋_GB2312" w:cs="仿宋_GB2312"/>
          <w:sz w:val="24"/>
          <w:szCs w:val="24"/>
        </w:rPr>
        <w:tab/>
      </w:r>
    </w:p>
    <w:p>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服务内容及要求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一</w:t>
      </w:r>
      <w:r>
        <w:rPr>
          <w:rFonts w:hint="eastAsia" w:ascii="仿宋_GB2312" w:hAnsi="仿宋_GB2312" w:eastAsia="仿宋_GB2312" w:cs="仿宋_GB2312"/>
          <w:sz w:val="24"/>
          <w:szCs w:val="24"/>
        </w:rPr>
        <w:t>.项目名称</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项目名称：</w:t>
      </w:r>
      <w:r>
        <w:rPr>
          <w:rFonts w:hint="eastAsia" w:ascii="仿宋_GB2312" w:hAnsi="仿宋_GB2312" w:eastAsia="仿宋_GB2312" w:cs="仿宋_GB2312"/>
          <w:sz w:val="24"/>
          <w:szCs w:val="24"/>
          <w:lang w:eastAsia="zh-CN"/>
        </w:rPr>
        <w:t>人保财险西藏阿里分公司公务、农险、理赔用车车辆定点维修保养服务采购项目</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二</w:t>
      </w:r>
      <w:r>
        <w:rPr>
          <w:rFonts w:hint="eastAsia" w:ascii="仿宋_GB2312" w:hAnsi="仿宋_GB2312" w:eastAsia="仿宋_GB2312" w:cs="仿宋_GB2312"/>
          <w:sz w:val="24"/>
          <w:szCs w:val="24"/>
        </w:rPr>
        <w:t>. 项目内容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rPr>
        <w:t>乙方向甲方提供的服务的内容：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服务范围：乙方为甲方</w:t>
      </w:r>
      <w:r>
        <w:rPr>
          <w:rFonts w:hint="eastAsia" w:ascii="仿宋_GB2312" w:hAnsi="仿宋_GB2312" w:eastAsia="仿宋_GB2312" w:cs="仿宋_GB2312"/>
          <w:sz w:val="24"/>
          <w:szCs w:val="24"/>
          <w:lang w:val="en-US" w:eastAsia="zh-CN"/>
        </w:rPr>
        <w:t>19</w:t>
      </w:r>
      <w:r>
        <w:rPr>
          <w:rFonts w:hint="eastAsia" w:ascii="仿宋_GB2312" w:hAnsi="仿宋_GB2312" w:eastAsia="仿宋_GB2312" w:cs="仿宋_GB2312"/>
          <w:sz w:val="24"/>
          <w:szCs w:val="24"/>
        </w:rPr>
        <w:t>台公车（含公务用车、农险/社保/理赔车辆）提供日常保养、故障维修、零部件更换、24小时紧急救援（100公里内免费施救及拖车）服务，具体车型以甲方提供的车辆清单为准。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零件要求：乙方维修及更换零件时，必须使用原厂非原包零件（即符合原厂质量标准、非原厂原包装的正规零件），零件需具备质量认证标识、出厂合格证；乙方需向甲方提供零件品牌授权书或检测报告，接受甲方理赔中心验件，严禁使用假冒伪劣、以次充好的零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服务分配规则：</w:t>
      </w:r>
    </w:p>
    <w:p>
      <w:pPr>
        <w:keepNext w:val="0"/>
        <w:keepLines w:val="0"/>
        <w:pageBreakBefore w:val="0"/>
        <w:widowControl w:val="0"/>
        <w:kinsoku/>
        <w:wordWrap/>
        <w:overflowPunct/>
        <w:topLinePunct w:val="0"/>
        <w:autoSpaceDE/>
        <w:autoSpaceDN/>
        <w:bidi w:val="0"/>
        <w:adjustRightInd/>
        <w:snapToGrid/>
        <w:ind w:left="479" w:leftChars="228" w:firstLine="0" w:firstLineChars="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日常保养及普通维修：</w:t>
      </w:r>
      <w:r>
        <w:rPr>
          <w:rFonts w:hint="eastAsia" w:ascii="仿宋_GB2312" w:hAnsi="仿宋_GB2312" w:eastAsia="仿宋_GB2312" w:cs="仿宋_GB2312"/>
          <w:sz w:val="24"/>
          <w:szCs w:val="24"/>
          <w:lang w:val="en-US" w:eastAsia="zh-CN"/>
        </w:rPr>
        <w:t>阿里地区供应商</w:t>
      </w:r>
      <w:r>
        <w:rPr>
          <w:rFonts w:hint="eastAsia" w:ascii="仿宋_GB2312" w:hAnsi="仿宋_GB2312" w:eastAsia="仿宋_GB2312" w:cs="仿宋_GB2312"/>
          <w:sz w:val="24"/>
          <w:szCs w:val="24"/>
        </w:rPr>
        <w:t>承担70%业务，</w:t>
      </w:r>
      <w:r>
        <w:rPr>
          <w:rFonts w:hint="eastAsia" w:ascii="仿宋_GB2312" w:hAnsi="仿宋_GB2312" w:eastAsia="仿宋_GB2312" w:cs="仿宋_GB2312"/>
          <w:sz w:val="24"/>
          <w:szCs w:val="24"/>
          <w:lang w:val="en-US" w:eastAsia="zh-CN"/>
        </w:rPr>
        <w:t>拉萨供应商</w:t>
      </w:r>
      <w:r>
        <w:rPr>
          <w:rFonts w:hint="eastAsia" w:ascii="仿宋_GB2312" w:hAnsi="仿宋_GB2312" w:eastAsia="仿宋_GB2312" w:cs="仿宋_GB2312"/>
          <w:sz w:val="24"/>
          <w:szCs w:val="24"/>
        </w:rPr>
        <w:t>承担30%</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重大维修（单次费用超5000元或涉及发动机/底盘大修）及紧急救援：优先由</w:t>
      </w:r>
      <w:r>
        <w:rPr>
          <w:rFonts w:hint="eastAsia" w:ascii="仿宋_GB2312" w:hAnsi="仿宋_GB2312" w:eastAsia="仿宋_GB2312" w:cs="仿宋_GB2312"/>
          <w:sz w:val="24"/>
          <w:szCs w:val="24"/>
          <w:lang w:val="en-US" w:eastAsia="zh-CN"/>
        </w:rPr>
        <w:t>拉萨供应商</w:t>
      </w:r>
      <w:r>
        <w:rPr>
          <w:rFonts w:hint="eastAsia" w:ascii="仿宋_GB2312" w:hAnsi="仿宋_GB2312" w:eastAsia="仿宋_GB2312" w:cs="仿宋_GB2312"/>
          <w:sz w:val="24"/>
          <w:szCs w:val="24"/>
        </w:rPr>
        <w:t>承接；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甲方有权根据乙方服务质量动态调整业务分配比例。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rPr>
        <w:t>服务期限：</w:t>
      </w:r>
      <w:r>
        <w:rPr>
          <w:rFonts w:hint="eastAsia" w:ascii="仿宋_GB2312" w:hAnsi="仿宋_GB2312" w:eastAsia="仿宋_GB2312" w:cs="仿宋_GB2312"/>
          <w:sz w:val="24"/>
          <w:szCs w:val="24"/>
          <w:lang w:val="en-US" w:eastAsia="zh-CN"/>
        </w:rPr>
        <w:t>3年，自签订时间起计算</w:t>
      </w:r>
      <w:r>
        <w:rPr>
          <w:rFonts w:hint="eastAsia" w:ascii="仿宋_GB2312" w:hAnsi="仿宋_GB2312" w:eastAsia="仿宋_GB2312" w:cs="仿宋_GB2312"/>
          <w:sz w:val="24"/>
          <w:szCs w:val="24"/>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费用计算标准：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原厂非原包零件结算价=基准价×(1-乙方承诺优惠比例)（基准价参考O类市场原厂件价格（A类修理厂））；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工时结算价=基准工时费×(1-乙方承诺优惠比例)；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保养结算价=基准保养费×(1-乙方承诺优惠比例)；</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季度校准：若原厂零件价格波动超12%，双方协商调整基准价，乙方承诺的优惠比例不降低。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4.</w:t>
      </w:r>
      <w:r>
        <w:rPr>
          <w:rFonts w:hint="eastAsia" w:ascii="仿宋_GB2312" w:hAnsi="仿宋_GB2312" w:eastAsia="仿宋_GB2312" w:cs="仿宋_GB2312"/>
          <w:sz w:val="24"/>
          <w:szCs w:val="24"/>
        </w:rPr>
        <w:t>其他要求：</w:t>
      </w:r>
    </w:p>
    <w:p>
      <w:pPr>
        <w:keepNext w:val="0"/>
        <w:keepLines w:val="0"/>
        <w:pageBreakBefore w:val="0"/>
        <w:widowControl w:val="0"/>
        <w:kinsoku/>
        <w:wordWrap/>
        <w:overflowPunct/>
        <w:topLinePunct w:val="0"/>
        <w:autoSpaceDE/>
        <w:autoSpaceDN/>
        <w:bidi w:val="0"/>
        <w:adjustRightInd/>
        <w:snapToGrid/>
        <w:ind w:firstLine="720" w:firstLineChars="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1.乙方需凭甲方车管人员出具的《车辆维修申请单》开展维修，新增维修项目需经甲方书面同意（加盖部门印章或责任部门负责人签字），不得擅自扩大维修范围。</w:t>
      </w:r>
    </w:p>
    <w:p>
      <w:pPr>
        <w:keepNext w:val="0"/>
        <w:keepLines w:val="0"/>
        <w:pageBreakBefore w:val="0"/>
        <w:widowControl w:val="0"/>
        <w:kinsoku/>
        <w:wordWrap/>
        <w:overflowPunct/>
        <w:topLinePunct w:val="0"/>
        <w:autoSpaceDE/>
        <w:autoSpaceDN/>
        <w:bidi w:val="0"/>
        <w:adjustRightInd/>
        <w:snapToGrid/>
        <w:ind w:firstLine="720" w:firstLineChars="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2.乙方需妥善保管维修换下的旧件，出厂时交甲方处理，10个工作日内不得擅自丢弃。</w:t>
      </w:r>
    </w:p>
    <w:p>
      <w:pPr>
        <w:keepNext w:val="0"/>
        <w:keepLines w:val="0"/>
        <w:pageBreakBefore w:val="0"/>
        <w:widowControl w:val="0"/>
        <w:kinsoku/>
        <w:wordWrap/>
        <w:overflowPunct/>
        <w:topLinePunct w:val="0"/>
        <w:autoSpaceDE/>
        <w:autoSpaceDN/>
        <w:bidi w:val="0"/>
        <w:adjustRightInd/>
        <w:snapToGrid/>
        <w:ind w:firstLine="720" w:firstLineChars="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3.甲方提出预约维修时，乙方需提前在人员、工具、原厂非原包零件上做好准备，优先安排维修；接到故障救援通知后，需2小时内响应、4小时内到达现场（100公里范围内）。</w:t>
      </w:r>
    </w:p>
    <w:p>
      <w:pPr>
        <w:keepNext w:val="0"/>
        <w:keepLines w:val="0"/>
        <w:pageBreakBefore w:val="0"/>
        <w:widowControl w:val="0"/>
        <w:kinsoku/>
        <w:wordWrap/>
        <w:overflowPunct/>
        <w:topLinePunct w:val="0"/>
        <w:autoSpaceDE/>
        <w:autoSpaceDN/>
        <w:bidi w:val="0"/>
        <w:adjustRightInd/>
        <w:snapToGrid/>
        <w:ind w:firstLine="720" w:firstLineChars="3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4.乙方需为甲方建立车辆维修技术档案，记录维修保养历史；维修保养后提供免费洗车服务，开通24小时救援热线。</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三</w:t>
      </w:r>
      <w:r>
        <w:rPr>
          <w:rFonts w:hint="eastAsia" w:ascii="仿宋_GB2312" w:hAnsi="仿宋_GB2312" w:eastAsia="仿宋_GB2312" w:cs="仿宋_GB2312"/>
          <w:sz w:val="24"/>
          <w:szCs w:val="24"/>
        </w:rPr>
        <w:t>.告知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甲乙双方同意涉及本合同的一切事宜均以书面形式提交，双方应及时响应。</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四</w:t>
      </w:r>
      <w:r>
        <w:rPr>
          <w:rFonts w:hint="eastAsia" w:ascii="仿宋_GB2312" w:hAnsi="仿宋_GB2312" w:eastAsia="仿宋_GB2312" w:cs="仿宋_GB2312"/>
          <w:sz w:val="24"/>
          <w:szCs w:val="24"/>
        </w:rPr>
        <w:t>.问题项目处理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问题项目的处理应按照甲方项目管理规范的要求进行。在项目实施过程中，如因乙方原因造成项目出现异常且在30天内乙方未改变问题项目现状，则甲方有权终止该项目，并拒绝支付剩余款项，甲方有权要求乙方退回已收取的合同费用，并保留向乙方追偿损失的权利。</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附件二</w:t>
      </w:r>
    </w:p>
    <w:p>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付款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1.本合同使用货币种类为人民币。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2.付款方式：转账[现金/支票]双方采用转账方式付款的，甲方应向乙方以下账户进行支付：</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开户行：</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账户名称：</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账号：</w:t>
      </w:r>
      <w:r>
        <w:rPr>
          <w:rFonts w:hint="eastAsia" w:ascii="仿宋_GB2312" w:hAnsi="仿宋_GB2312" w:eastAsia="仿宋_GB2312" w:cs="仿宋_GB2312"/>
          <w:sz w:val="24"/>
          <w:szCs w:val="24"/>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乙方如需改变上述账户，应提前10日以书面通知甲方。</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rPr>
        <w:t>3.付款安排</w:t>
      </w:r>
      <w:r>
        <w:rPr>
          <w:rFonts w:hint="eastAsia" w:ascii="仿宋_GB2312" w:hAnsi="仿宋_GB2312" w:eastAsia="仿宋_GB2312" w:cs="仿宋_GB2312"/>
          <w:sz w:val="24"/>
          <w:szCs w:val="24"/>
          <w:lang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1</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.结算周期：按季度结算（每年</w:t>
      </w:r>
      <w:r>
        <w:rPr>
          <w:rFonts w:hint="eastAsia" w:ascii="仿宋_GB2312" w:hAnsi="仿宋_GB2312" w:eastAsia="仿宋_GB2312" w:cs="仿宋_GB2312"/>
          <w:sz w:val="24"/>
          <w:szCs w:val="24"/>
          <w:lang w:val="en-US" w:eastAsia="zh-CN"/>
        </w:rPr>
        <w:t>3</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6</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9</w:t>
      </w:r>
      <w:r>
        <w:rPr>
          <w:rFonts w:hint="eastAsia" w:ascii="仿宋_GB2312" w:hAnsi="仿宋_GB2312" w:eastAsia="仿宋_GB2312" w:cs="仿宋_GB2312"/>
          <w:sz w:val="24"/>
          <w:szCs w:val="24"/>
        </w:rPr>
        <w:t>月、</w:t>
      </w:r>
      <w:r>
        <w:rPr>
          <w:rFonts w:hint="eastAsia" w:ascii="仿宋_GB2312" w:hAnsi="仿宋_GB2312" w:eastAsia="仿宋_GB2312" w:cs="仿宋_GB2312"/>
          <w:sz w:val="24"/>
          <w:szCs w:val="24"/>
          <w:lang w:val="en-US" w:eastAsia="zh-CN"/>
        </w:rPr>
        <w:t>12</w:t>
      </w:r>
      <w:r>
        <w:rPr>
          <w:rFonts w:hint="eastAsia" w:ascii="仿宋_GB2312" w:hAnsi="仿宋_GB2312" w:eastAsia="仿宋_GB2312" w:cs="仿宋_GB2312"/>
          <w:sz w:val="24"/>
          <w:szCs w:val="24"/>
        </w:rPr>
        <w:t>月核对上季度费用）。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lang w:val="en-US" w:eastAsia="zh-CN"/>
        </w:rPr>
        <w:t>2</w:t>
      </w:r>
      <w:r>
        <w:rPr>
          <w:rFonts w:hint="eastAsia" w:ascii="仿宋_GB2312" w:hAnsi="仿宋_GB2312" w:eastAsia="仿宋_GB2312" w:cs="仿宋_GB2312"/>
          <w:sz w:val="24"/>
          <w:szCs w:val="24"/>
          <w:lang w:eastAsia="zh-CN"/>
        </w:rPr>
        <w:t>）</w:t>
      </w:r>
      <w:r>
        <w:rPr>
          <w:rFonts w:hint="eastAsia" w:ascii="仿宋_GB2312" w:hAnsi="仿宋_GB2312" w:eastAsia="仿宋_GB2312" w:cs="仿宋_GB2312"/>
          <w:sz w:val="24"/>
          <w:szCs w:val="24"/>
        </w:rPr>
        <w:t>.付款流程：每季度末双方核对《维修结算单》及《车辆维修申请单》，确认无误后，乙方10个工作日内开具增值税专用发票；甲方收到发票后15个工作日内，通过银行转账支付费用。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4.增值税专用发票的相关约定</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（1）乙方应向甲方开具增值税专用发票，甲方开票信息如下：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纳税识别号：</w:t>
      </w:r>
      <w:r>
        <w:rPr>
          <w:rFonts w:hint="eastAsia" w:ascii="仿宋_GB2312" w:hAnsi="仿宋_GB2312" w:eastAsia="仿宋_GB2312" w:cs="仿宋_GB2312"/>
          <w:sz w:val="24"/>
          <w:szCs w:val="24"/>
          <w:lang w:val="en-US" w:eastAsia="zh-CN"/>
        </w:rPr>
        <w:t>915425007419210696</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银行账号：</w:t>
      </w:r>
      <w:r>
        <w:rPr>
          <w:rFonts w:hint="eastAsia" w:ascii="仿宋_GB2312" w:hAnsi="仿宋_GB2312" w:eastAsia="仿宋_GB2312" w:cs="仿宋_GB2312"/>
          <w:sz w:val="24"/>
          <w:szCs w:val="24"/>
          <w:lang w:val="en-US" w:eastAsia="zh-CN"/>
        </w:rPr>
        <w:t>25140001040003815</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 xml:space="preserve">开户银行： </w:t>
      </w:r>
      <w:r>
        <w:rPr>
          <w:rFonts w:hint="eastAsia" w:ascii="仿宋_GB2312" w:hAnsi="仿宋_GB2312" w:eastAsia="仿宋_GB2312" w:cs="仿宋_GB2312"/>
          <w:sz w:val="24"/>
          <w:szCs w:val="24"/>
          <w:lang w:val="en-US" w:eastAsia="zh-CN"/>
        </w:rPr>
        <w:t>中国农业银行股份有限公司噶尔滨河南路支行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 xml:space="preserve">开票地址： </w:t>
      </w:r>
      <w:r>
        <w:rPr>
          <w:rFonts w:hint="eastAsia" w:ascii="仿宋_GB2312" w:hAnsi="仿宋_GB2312" w:eastAsia="仿宋_GB2312" w:cs="仿宋_GB2312"/>
          <w:sz w:val="24"/>
          <w:szCs w:val="24"/>
          <w:lang w:val="en-US" w:eastAsia="zh-CN"/>
        </w:rPr>
        <w:t>西藏自治区阿里地区狮泉河东路10号</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rPr>
        <w:t xml:space="preserve">开票电话： </w:t>
      </w:r>
      <w:r>
        <w:rPr>
          <w:rFonts w:hint="eastAsia" w:ascii="仿宋_GB2312" w:hAnsi="仿宋_GB2312" w:eastAsia="仿宋_GB2312" w:cs="仿宋_GB2312"/>
          <w:sz w:val="24"/>
          <w:szCs w:val="24"/>
          <w:lang w:val="en-US" w:eastAsia="zh-CN"/>
        </w:rPr>
        <w:t>0897-2822825</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2）乙方应在每次增值税专用发票开具后的30个自然日内向甲方提交相应增值税专用发票，否则甲方有权拒收发票。经多次分批的增值税专用发票的开具、提交以及双方收付款，乙方开具并提交甲方的增值税专用发票的价税合计金额应与甲方已经支付的价税合计款项保持一致；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乙方必须严格遵照相关税收法规和文件，开具合法的增值税专用发票。因乙方开具的增值税专用发票不符合税收法规与税务机关相关规定而给甲方造成经济损失的，乙方负责赔偿。即乙方如不能提供增值税专用发票，则采购对应的进项税额由乙方承担；如提供的票面税率与承诺不一致，则差额由乙方承担；</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乙方开具的增值税专用发票在送达甲方前如发生丢失、灭失或被盗等情况，导致相应票据未能顺利送达甲方的，乙方应负责按相关税收法律法规的规定提供相应资料，以保证甲方顺利获得抵扣，否则甲方因此遭受的经济损失由乙方负责赔偿；</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为保证取得的发票可以及时并成功获得抵扣，乙方开具的增值税专用发票送达并经甲方签收后，若发生丢失，乙方应积极协助甲方，按照相关税收法规和文件的规定提供相应资料，并确保甲方顺利获得抵扣；</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6）本合同项下的业务发生销售折让、销售退回或其它按照国家规定需要开具红字发票或重新开票的情况，乙方有义务按照国家税收规定向甲方开具红字发票或重新开票。如果乙方需要甲方提供开具红字发票或重新开票的有关资料，甲方应视具体情况予以提供。</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240" w:firstLineChars="1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附件三</w:t>
      </w:r>
    </w:p>
    <w:p>
      <w:pPr>
        <w:keepNext w:val="0"/>
        <w:keepLines w:val="0"/>
        <w:pageBreakBefore w:val="0"/>
        <w:widowControl w:val="0"/>
        <w:kinsoku/>
        <w:wordWrap/>
        <w:overflowPunct/>
        <w:topLinePunct w:val="0"/>
        <w:autoSpaceDE/>
        <w:autoSpaceDN/>
        <w:bidi w:val="0"/>
        <w:adjustRightInd/>
        <w:snapToGrid/>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双方的权利和义务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一、甲方权利与义务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权利：</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（1）监督乙方服务质量、零件质量（含原厂非原包零件的真实性与合规性）及收费标准；</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（2）对乙方服务进行评估，若乙方未达服务标准（如使用非原厂非原包零件、响应超时等），有权调整业务分配比例或终止合同；</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（3）要求乙方提供原厂非原包零件的品牌授权书、检测报告等证明文件，对零件进行验件。</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（1）送修车辆时如实告知车辆状况，出具规范的《车辆维修申请单》；</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（2）按合同约定及时支付维修费用；</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（3）配合乙方建立车辆维修技术档案，客观反馈服务意见。</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二、乙方权利与义务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 xml:space="preserve">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权利：</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（1）要求甲方提供《车辆维修申请单》，如实告知车辆状况；</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（2）按合同约定收取维修费用，要求甲方及时确认新增维修项目。</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义务：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（1）严格使用原厂非原包零件，提供零件的质量证明文件，配合甲方验件；不得使用假冒伪劣零件，不得虚报维修项目或抬高价格；</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（2）按合同约定的服务标准、保修期限提供服务，确保维修质量；</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（3）接到救援通知后按时响应，优先处理甲方预约维修需求；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（4）主动向甲方征求服务意见，根据甲方建议改进服务；</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（5）保守甲方的保密信息，不得泄露车辆维修记录及甲方经营信息。</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br w:type="page"/>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附件四</w:t>
      </w:r>
    </w:p>
    <w:p>
      <w:pPr>
        <w:keepNext w:val="0"/>
        <w:keepLines w:val="0"/>
        <w:pageBreakBefore w:val="0"/>
        <w:widowControl w:val="0"/>
        <w:kinsoku/>
        <w:wordWrap/>
        <w:overflowPunct/>
        <w:topLinePunct w:val="0"/>
        <w:autoSpaceDE/>
        <w:autoSpaceDN/>
        <w:bidi w:val="0"/>
        <w:adjustRightInd/>
        <w:snapToGrid/>
        <w:ind w:firstLine="480" w:firstLineChars="200"/>
        <w:jc w:val="center"/>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违约责任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除合同约定的违约责任以外，任何一方存在以下约定情形的，应承担相应的违约责任：</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 甲方违约：</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甲方无正当理由逾期付款的，每延迟</w:t>
      </w:r>
      <w:r>
        <w:rPr>
          <w:rFonts w:hint="eastAsia" w:ascii="仿宋_GB2312" w:hAnsi="仿宋_GB2312" w:eastAsia="仿宋_GB2312" w:cs="仿宋_GB2312"/>
          <w:sz w:val="24"/>
          <w:szCs w:val="24"/>
          <w:lang w:val="en-US" w:eastAsia="zh-CN"/>
        </w:rPr>
        <w:t>30</w:t>
      </w:r>
      <w:r>
        <w:rPr>
          <w:rFonts w:hint="eastAsia" w:ascii="仿宋_GB2312" w:hAnsi="仿宋_GB2312" w:eastAsia="仿宋_GB2312" w:cs="仿宋_GB2312"/>
          <w:sz w:val="24"/>
          <w:szCs w:val="24"/>
        </w:rPr>
        <w:t>个工作日，按应付金额的5%向乙方支付违约金；逾期超</w:t>
      </w:r>
      <w:r>
        <w:rPr>
          <w:rFonts w:hint="eastAsia" w:ascii="仿宋_GB2312" w:hAnsi="仿宋_GB2312" w:eastAsia="仿宋_GB2312" w:cs="仿宋_GB2312"/>
          <w:sz w:val="24"/>
          <w:szCs w:val="24"/>
          <w:lang w:val="en-US" w:eastAsia="zh-CN"/>
        </w:rPr>
        <w:t>45</w:t>
      </w:r>
      <w:r>
        <w:rPr>
          <w:rFonts w:hint="eastAsia" w:ascii="仿宋_GB2312" w:hAnsi="仿宋_GB2312" w:eastAsia="仿宋_GB2312" w:cs="仿宋_GB2312"/>
          <w:sz w:val="24"/>
          <w:szCs w:val="24"/>
        </w:rPr>
        <w:t>日的，乙方有权暂停服务，甲方承担因此产生的车辆停运损失。</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 乙方违约：</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未使用原厂非原包零件（或使用假冒伪劣零件）的，需免费为甲方更换符合要求的零件并重新维修，同时向甲方支付该次维修费用2倍的违约金；若导致车辆损坏或安全事故，需赔偿甲方全部损失（含车辆维修费、停运替代交通费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（2）未按约定响应维修或救援（如响应超2小时、到场超4小时）的，每逾期1小时支付</w:t>
      </w:r>
      <w:r>
        <w:rPr>
          <w:rFonts w:hint="eastAsia" w:ascii="仿宋_GB2312" w:hAnsi="仿宋_GB2312" w:eastAsia="仿宋_GB2312" w:cs="仿宋_GB2312"/>
          <w:sz w:val="24"/>
          <w:szCs w:val="24"/>
          <w:lang w:val="en-US" w:eastAsia="zh-CN"/>
        </w:rPr>
        <w:t>200</w:t>
      </w:r>
      <w:r>
        <w:rPr>
          <w:rFonts w:hint="eastAsia" w:ascii="仿宋_GB2312" w:hAnsi="仿宋_GB2312" w:eastAsia="仿宋_GB2312" w:cs="仿宋_GB2312"/>
          <w:sz w:val="24"/>
          <w:szCs w:val="24"/>
        </w:rPr>
        <w:t>元违约金；逾期超24小时导致甲方无法正常用车的，甲方有权拒付该次费用并要求赔偿损失；</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（3）维修质量未达标准，在保修期内出现故障的，需免费返修；若返修后仍不合格，按该次维修费用的</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%支付违约金，并赔偿甲方停运损失；</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（4）泄露甲方保密信息的，支付合同年度服务费用总额5%的违约金，赔偿甲方因此产生的经济损失（含名誉损失）。</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 一方违约导致合同目的无法实现的，另一方有权解除合同，违约方需承担合同年度服务费用总额</w:t>
      </w:r>
      <w:r>
        <w:rPr>
          <w:rFonts w:hint="eastAsia" w:ascii="仿宋_GB2312" w:hAnsi="仿宋_GB2312" w:eastAsia="仿宋_GB2312" w:cs="仿宋_GB2312"/>
          <w:sz w:val="24"/>
          <w:szCs w:val="24"/>
          <w:lang w:val="en-US" w:eastAsia="zh-CN"/>
        </w:rPr>
        <w:t>5</w:t>
      </w:r>
      <w:r>
        <w:rPr>
          <w:rFonts w:hint="eastAsia" w:ascii="仿宋_GB2312" w:hAnsi="仿宋_GB2312" w:eastAsia="仿宋_GB2312" w:cs="仿宋_GB2312"/>
          <w:sz w:val="24"/>
          <w:szCs w:val="24"/>
        </w:rPr>
        <w:t>%的违约金，不足弥补损失的，补足差额。</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仿宋_GB2312" w:hAnsi="仿宋_GB2312" w:eastAsia="仿宋_GB2312" w:cs="仿宋_GB2312"/>
          <w:sz w:val="24"/>
          <w:szCs w:val="24"/>
        </w:rPr>
      </w:pPr>
    </w:p>
    <w:p>
      <w:pPr>
        <w:rPr>
          <w:rFonts w:hint="eastAsia" w:ascii="仿宋_GB2312" w:hAnsi="仿宋_GB2312" w:eastAsia="仿宋_GB2312" w:cs="仿宋_GB2312"/>
          <w:sz w:val="24"/>
          <w:szCs w:val="24"/>
        </w:rPr>
      </w:pPr>
    </w:p>
    <w:p/>
    <w:p/>
    <w:sectPr>
      <w:footerReference r:id="rId10" w:type="first"/>
      <w:headerReference r:id="rId8" w:type="default"/>
      <w:footerReference r:id="rId9" w:type="default"/>
      <w:pgSz w:w="11906" w:h="16838"/>
      <w:pgMar w:top="1418" w:right="1555" w:bottom="1418" w:left="1531" w:header="851" w:footer="992" w:gutter="0"/>
      <w:pgNumType w:fmt="decimal"/>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auto"/>
    <w:pitch w:val="default"/>
    <w:sig w:usb0="A00002BF" w:usb1="184F6CFA" w:usb2="00000012"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end"/>
    </w:r>
  </w:p>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jc w:val="cen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pStyle w:val="10"/>
                      <w:jc w:val="center"/>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jc w:val="cen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jc w:val="center"/>
                    </w:pPr>
                    <w:r>
                      <w:rPr>
                        <w:rFonts w:hint="eastAsia"/>
                      </w:rPr>
                      <w:fldChar w:fldCharType="begin"/>
                    </w:r>
                    <w:r>
                      <w:rPr>
                        <w:rFonts w:hint="eastAsia"/>
                      </w:rPr>
                      <w:instrText xml:space="preserve"> PAGE  \* MERGEFORMAT </w:instrText>
                    </w:r>
                    <w:r>
                      <w:rPr>
                        <w:rFonts w:hint="eastAsia"/>
                      </w:rPr>
                      <w:fldChar w:fldCharType="separate"/>
                    </w:r>
                    <w:r>
                      <w:t>21</w:t>
                    </w:r>
                    <w:r>
                      <w:rPr>
                        <w:rFonts w:hint="eastAsia"/>
                      </w:rP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jc w:val="both"/>
      <w:rPr>
        <w:u w:val="single"/>
      </w:rPr>
    </w:pPr>
    <w:r>
      <w:rPr>
        <w:rFonts w:hint="eastAsia" w:ascii="宋体" w:hAnsi="宋体"/>
        <w:bCs/>
        <w:u w:val="single"/>
      </w:rPr>
      <w:t>成都市种子管理站海南南繁基地提升建设项目</w:t>
    </w:r>
    <w:r>
      <w:rPr>
        <w:rFonts w:hint="eastAsia" w:ascii="宋体" w:hAnsi="宋体"/>
        <w:color w:val="2B2B2B"/>
        <w:u w:val="single"/>
      </w:rPr>
      <w:t xml:space="preserve">                                      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A208E9"/>
    <w:multiLevelType w:val="singleLevel"/>
    <w:tmpl w:val="FEA208E9"/>
    <w:lvl w:ilvl="0" w:tentative="0">
      <w:start w:val="8"/>
      <w:numFmt w:val="chineseCounting"/>
      <w:suff w:val="space"/>
      <w:lvlText w:val="第%1章"/>
      <w:lvlJc w:val="left"/>
      <w:rPr>
        <w:rFonts w:hint="eastAsia"/>
      </w:rPr>
    </w:lvl>
  </w:abstractNum>
  <w:abstractNum w:abstractNumId="1">
    <w:nsid w:val="07917D8E"/>
    <w:multiLevelType w:val="multilevel"/>
    <w:tmpl w:val="07917D8E"/>
    <w:lvl w:ilvl="0" w:tentative="0">
      <w:start w:val="1"/>
      <w:numFmt w:val="japaneseCounting"/>
      <w:lvlText w:val="（%1）"/>
      <w:lvlJc w:val="left"/>
      <w:pPr>
        <w:ind w:left="1191" w:hanging="765"/>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
    <w:nsid w:val="23790ACF"/>
    <w:multiLevelType w:val="singleLevel"/>
    <w:tmpl w:val="23790ACF"/>
    <w:lvl w:ilvl="0" w:tentative="0">
      <w:start w:val="1"/>
      <w:numFmt w:val="decimal"/>
      <w:lvlText w:val="%1."/>
      <w:lvlJc w:val="left"/>
      <w:pPr>
        <w:tabs>
          <w:tab w:val="left" w:pos="705"/>
        </w:tabs>
        <w:ind w:left="705" w:hanging="285"/>
      </w:pPr>
    </w:lvl>
  </w:abstractNum>
  <w:abstractNum w:abstractNumId="3">
    <w:nsid w:val="5837B939"/>
    <w:multiLevelType w:val="singleLevel"/>
    <w:tmpl w:val="5837B939"/>
    <w:lvl w:ilvl="0" w:tentative="0">
      <w:start w:val="1"/>
      <w:numFmt w:val="chineseCounting"/>
      <w:suff w:val="nothing"/>
      <w:lvlText w:val="%1、"/>
      <w:lvlJc w:val="left"/>
    </w:lvl>
  </w:abstractNum>
  <w:num w:numId="1">
    <w:abstractNumId w:val="3"/>
  </w:num>
  <w:num w:numId="2">
    <w:abstractNumId w:val="1"/>
  </w:num>
  <w:num w:numId="3">
    <w:abstractNumId w:val="2"/>
    <w:lvlOverride w:ilvl="0">
      <w:startOverride w:val="1"/>
    </w:lvlOverride>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xNzQ1ZTdmN2EwYTk3OWU3YzEzODBiYmNjZTZhZjIifQ=="/>
  </w:docVars>
  <w:rsids>
    <w:rsidRoot w:val="06B10202"/>
    <w:rsid w:val="0075487C"/>
    <w:rsid w:val="040E27E3"/>
    <w:rsid w:val="06B10202"/>
    <w:rsid w:val="0A93086B"/>
    <w:rsid w:val="18F00443"/>
    <w:rsid w:val="2569459D"/>
    <w:rsid w:val="2D807916"/>
    <w:rsid w:val="31E97C7E"/>
    <w:rsid w:val="3B9A15F8"/>
    <w:rsid w:val="4B1F1D99"/>
    <w:rsid w:val="4C165B2C"/>
    <w:rsid w:val="52BC13CA"/>
    <w:rsid w:val="561C1BD0"/>
    <w:rsid w:val="5B6F3962"/>
    <w:rsid w:val="5C980BDD"/>
    <w:rsid w:val="62193911"/>
    <w:rsid w:val="66893BB5"/>
    <w:rsid w:val="6B9B20B1"/>
    <w:rsid w:val="6FE52C05"/>
    <w:rsid w:val="73A708F5"/>
    <w:rsid w:val="7C850B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spacing w:line="360" w:lineRule="auto"/>
      <w:ind w:firstLine="0" w:firstLineChars="0"/>
      <w:jc w:val="left"/>
      <w:outlineLvl w:val="0"/>
    </w:pPr>
    <w:rPr>
      <w:b/>
      <w:bCs/>
      <w:sz w:val="44"/>
      <w:szCs w:val="32"/>
    </w:rPr>
  </w:style>
  <w:style w:type="paragraph" w:styleId="3">
    <w:name w:val="heading 2"/>
    <w:basedOn w:val="1"/>
    <w:next w:val="1"/>
    <w:autoRedefine/>
    <w:semiHidden/>
    <w:unhideWhenUsed/>
    <w:qFormat/>
    <w:uiPriority w:val="0"/>
    <w:pPr>
      <w:keepNext/>
      <w:keepLines/>
      <w:spacing w:before="260" w:beforeLines="0" w:beforeAutospacing="0" w:after="260" w:afterLines="0" w:afterAutospacing="0" w:line="413" w:lineRule="auto"/>
      <w:outlineLvl w:val="1"/>
    </w:pPr>
    <w:rPr>
      <w:rFonts w:ascii="Arial" w:hAnsi="Arial" w:eastAsia="仿宋_GB2312"/>
      <w:b/>
      <w:sz w:val="36"/>
    </w:rPr>
  </w:style>
  <w:style w:type="paragraph" w:styleId="4">
    <w:name w:val="heading 3"/>
    <w:basedOn w:val="1"/>
    <w:next w:val="1"/>
    <w:autoRedefine/>
    <w:semiHidden/>
    <w:unhideWhenUsed/>
    <w:qFormat/>
    <w:uiPriority w:val="0"/>
    <w:pPr>
      <w:keepNext/>
      <w:keepLines/>
      <w:spacing w:before="260" w:beforeLines="0" w:beforeAutospacing="0" w:after="260" w:afterLines="0" w:afterAutospacing="0" w:line="480" w:lineRule="auto"/>
      <w:ind w:firstLine="0" w:firstLineChars="0"/>
      <w:jc w:val="left"/>
      <w:outlineLvl w:val="2"/>
    </w:pPr>
    <w:rPr>
      <w:rFonts w:ascii="宋体" w:hAnsi="宋体" w:eastAsia="仿宋_GB2312"/>
      <w:b/>
      <w:sz w:val="32"/>
    </w:rPr>
  </w:style>
  <w:style w:type="paragraph" w:styleId="5">
    <w:name w:val="heading 4"/>
    <w:basedOn w:val="1"/>
    <w:next w:val="1"/>
    <w:autoRedefine/>
    <w:semiHidden/>
    <w:unhideWhenUsed/>
    <w:qFormat/>
    <w:uiPriority w:val="0"/>
    <w:pPr>
      <w:keepNext/>
      <w:keepLines/>
      <w:spacing w:before="280" w:beforeLines="0" w:beforeAutospacing="0" w:after="290" w:afterLines="0" w:afterAutospacing="0" w:line="560" w:lineRule="exact"/>
      <w:ind w:firstLine="0" w:firstLineChars="0"/>
      <w:jc w:val="left"/>
      <w:outlineLvl w:val="3"/>
    </w:pPr>
    <w:rPr>
      <w:rFonts w:ascii="Arial" w:hAnsi="Arial" w:eastAsia="仿宋_GB2312" w:cs="Times New Roman"/>
      <w:b/>
      <w:position w:val="-6"/>
      <w:sz w:val="30"/>
      <w:lang w:val="en-US" w:eastAsia="zh-CN" w:bidi="ar-SA"/>
    </w:rPr>
  </w:style>
  <w:style w:type="character" w:default="1" w:styleId="16">
    <w:name w:val="Default Paragraph Font"/>
    <w:autoRedefine/>
    <w:semiHidden/>
    <w:qFormat/>
    <w:uiPriority w:val="0"/>
  </w:style>
  <w:style w:type="table" w:default="1" w:styleId="14">
    <w:name w:val="Normal Table"/>
    <w:autoRedefine/>
    <w:semiHidden/>
    <w:qFormat/>
    <w:uiPriority w:val="0"/>
    <w:tblPr>
      <w:tblCellMar>
        <w:top w:w="0" w:type="dxa"/>
        <w:left w:w="108" w:type="dxa"/>
        <w:bottom w:w="0" w:type="dxa"/>
        <w:right w:w="108" w:type="dxa"/>
      </w:tblCellMar>
    </w:tblPr>
  </w:style>
  <w:style w:type="paragraph" w:styleId="6">
    <w:name w:val="annotation text"/>
    <w:basedOn w:val="1"/>
    <w:autoRedefine/>
    <w:qFormat/>
    <w:uiPriority w:val="99"/>
  </w:style>
  <w:style w:type="paragraph" w:styleId="7">
    <w:name w:val="Body Text"/>
    <w:basedOn w:val="1"/>
    <w:autoRedefine/>
    <w:qFormat/>
    <w:uiPriority w:val="99"/>
    <w:pPr>
      <w:spacing w:after="120"/>
    </w:pPr>
  </w:style>
  <w:style w:type="paragraph" w:styleId="8">
    <w:name w:val="Date"/>
    <w:basedOn w:val="1"/>
    <w:next w:val="1"/>
    <w:autoRedefine/>
    <w:qFormat/>
    <w:uiPriority w:val="0"/>
    <w:pPr>
      <w:widowControl w:val="0"/>
      <w:ind w:left="100" w:leftChars="2500"/>
      <w:jc w:val="both"/>
    </w:pPr>
    <w:rPr>
      <w:rFonts w:ascii="Times New Roman" w:hAnsi="Times New Roman" w:eastAsia="宋体" w:cs="Times New Roman"/>
      <w:kern w:val="2"/>
      <w:sz w:val="21"/>
    </w:rPr>
  </w:style>
  <w:style w:type="paragraph" w:styleId="9">
    <w:name w:val="Body Text Indent 2"/>
    <w:basedOn w:val="1"/>
    <w:autoRedefine/>
    <w:qFormat/>
    <w:uiPriority w:val="0"/>
    <w:pPr>
      <w:widowControl/>
      <w:spacing w:line="360" w:lineRule="auto"/>
      <w:ind w:left="525" w:leftChars="250" w:firstLine="420" w:firstLineChars="200"/>
      <w:jc w:val="left"/>
    </w:pPr>
    <w:rPr>
      <w:rFonts w:ascii="Arial" w:hAnsi="Arial"/>
      <w:kern w:val="28"/>
      <w:sz w:val="24"/>
      <w:lang w:eastAsia="en-US"/>
    </w:rPr>
  </w:style>
  <w:style w:type="paragraph" w:styleId="10">
    <w:name w:val="footer"/>
    <w:basedOn w:val="1"/>
    <w:autoRedefine/>
    <w:qFormat/>
    <w:uiPriority w:val="0"/>
    <w:pPr>
      <w:tabs>
        <w:tab w:val="center" w:pos="4153"/>
        <w:tab w:val="right" w:pos="8306"/>
      </w:tabs>
      <w:snapToGrid w:val="0"/>
    </w:pPr>
    <w:rPr>
      <w:sz w:val="18"/>
      <w:szCs w:val="18"/>
    </w:rPr>
  </w:style>
  <w:style w:type="paragraph" w:styleId="11">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qFormat/>
    <w:uiPriority w:val="39"/>
    <w:pPr>
      <w:spacing w:before="120" w:after="120"/>
    </w:pPr>
    <w:rPr>
      <w:b/>
      <w:bCs/>
      <w:caps/>
      <w:szCs w:val="20"/>
    </w:rPr>
  </w:style>
  <w:style w:type="paragraph" w:styleId="13">
    <w:name w:val="toc 2"/>
    <w:basedOn w:val="1"/>
    <w:next w:val="1"/>
    <w:autoRedefine/>
    <w:unhideWhenUsed/>
    <w:qFormat/>
    <w:uiPriority w:val="39"/>
    <w:pPr>
      <w:ind w:left="420" w:leftChars="200"/>
    </w:pPr>
  </w:style>
  <w:style w:type="table" w:styleId="15">
    <w:name w:val="Table Grid"/>
    <w:basedOn w:val="14"/>
    <w:qFormat/>
    <w:uiPriority w:val="0"/>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7">
    <w:name w:val="page number"/>
    <w:basedOn w:val="16"/>
    <w:autoRedefine/>
    <w:qFormat/>
    <w:uiPriority w:val="0"/>
  </w:style>
  <w:style w:type="paragraph" w:customStyle="1" w:styleId="18">
    <w:name w:val="标题 81"/>
    <w:basedOn w:val="1"/>
    <w:autoRedefine/>
    <w:qFormat/>
    <w:uiPriority w:val="1"/>
    <w:pPr>
      <w:widowControl w:val="0"/>
      <w:ind w:left="138" w:right="1012"/>
      <w:outlineLvl w:val="8"/>
    </w:pPr>
    <w:rPr>
      <w:rFonts w:ascii="微软雅黑" w:hAnsi="微软雅黑" w:eastAsia="微软雅黑" w:cs="微软雅黑"/>
      <w:b/>
      <w:bCs/>
      <w:lang w:eastAsia="en-US"/>
    </w:rPr>
  </w:style>
  <w:style w:type="paragraph" w:styleId="19">
    <w:name w:val="List Paragraph"/>
    <w:basedOn w:val="1"/>
    <w:autoRedefine/>
    <w:unhideWhenUsed/>
    <w:qFormat/>
    <w:uiPriority w:val="99"/>
    <w:pPr>
      <w:ind w:firstLine="420" w:firstLineChars="200"/>
    </w:pPr>
  </w:style>
  <w:style w:type="paragraph" w:customStyle="1" w:styleId="20">
    <w:name w:val="Table Paragraph"/>
    <w:basedOn w:val="1"/>
    <w:autoRedefine/>
    <w:qFormat/>
    <w:uiPriority w:val="1"/>
    <w:pPr>
      <w:widowControl w:val="0"/>
    </w:pPr>
    <w:rPr>
      <w:rFonts w:ascii="宋体" w:hAnsi="宋体" w:cs="宋体"/>
      <w:sz w:val="22"/>
      <w:szCs w:val="22"/>
      <w:lang w:eastAsia="en-US"/>
    </w:rPr>
  </w:style>
  <w:style w:type="paragraph" w:customStyle="1" w:styleId="21">
    <w:name w:val="图文"/>
    <w:basedOn w:val="1"/>
    <w:autoRedefine/>
    <w:qFormat/>
    <w:uiPriority w:val="0"/>
    <w:pPr>
      <w:widowControl w:val="0"/>
      <w:adjustRightInd w:val="0"/>
      <w:snapToGrid w:val="0"/>
      <w:spacing w:after="50" w:line="360" w:lineRule="auto"/>
      <w:jc w:val="both"/>
    </w:pPr>
    <w:rPr>
      <w:rFonts w:ascii="Times New Roman" w:hAnsi="Times New Roman" w:eastAsia="宋体" w:cs="Times New Roman"/>
      <w:kern w:val="2"/>
    </w:rPr>
  </w:style>
  <w:style w:type="paragraph" w:customStyle="1" w:styleId="22">
    <w:name w:val="1"/>
    <w:basedOn w:val="1"/>
    <w:next w:val="9"/>
    <w:autoRedefine/>
    <w:qFormat/>
    <w:uiPriority w:val="0"/>
    <w:pPr>
      <w:spacing w:afterLines="50" w:line="360" w:lineRule="auto"/>
      <w:jc w:val="center"/>
    </w:pPr>
    <w:rPr>
      <w:rFonts w:ascii="宋体" w:hAnsi="宋体"/>
      <w:b/>
      <w:sz w:val="30"/>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header" Target="header2.xml"/><Relationship Id="rId7" Type="http://schemas.openxmlformats.org/officeDocument/2006/relationships/footer" Target="footer4.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1.png"/><Relationship Id="rId11" Type="http://schemas.openxmlformats.org/officeDocument/2006/relationships/theme" Target="theme/theme1.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49</Pages>
  <Words>0</Words>
  <Characters>0</Characters>
  <Lines>0</Lines>
  <Paragraphs>0</Paragraphs>
  <TotalTime>37</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2025-11-19T02:47:00Z</dcterms:created>
  <dc:creator>谭冶炼</dc:creator>
  <cp:lastModifiedBy>多吉</cp:lastModifiedBy>
  <dcterms:modified xsi:type="dcterms:W3CDTF">2025-12-02T10:21:58Z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A057770FE84A4394A60D9B3666D45FA6_11</vt:lpwstr>
  </property>
</Properties>
</file>