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560" w:lineRule="exact"/>
        <w:jc w:val="center"/>
        <w:rPr>
          <w:rFonts w:ascii="彩虹小标宋" w:hAnsi="宋体" w:eastAsia="彩虹小标宋" w:cs="Times New Roman"/>
          <w:bCs/>
          <w:snapToGrid w:val="0"/>
          <w:kern w:val="0"/>
          <w:sz w:val="36"/>
          <w:szCs w:val="36"/>
        </w:rPr>
      </w:pPr>
      <w:bookmarkStart w:id="2" w:name="_GoBack"/>
      <w:bookmarkEnd w:id="2"/>
      <w:bookmarkStart w:id="0" w:name="PO_PURCHASE_REQUISITION_NAME"/>
      <w:r>
        <w:rPr>
          <w:rFonts w:hint="eastAsia" w:ascii="彩虹小标宋" w:hAnsi="宋体" w:eastAsia="彩虹小标宋" w:cs="Times New Roman"/>
          <w:bCs/>
          <w:snapToGrid w:val="0"/>
          <w:kern w:val="0"/>
          <w:sz w:val="36"/>
          <w:szCs w:val="36"/>
        </w:rPr>
        <w:t>郑大博士园离行式自助房屋续租的采购需求</w:t>
      </w:r>
      <w:bookmarkEnd w:id="0"/>
      <w:r>
        <w:rPr>
          <w:rFonts w:hint="eastAsia" w:ascii="彩虹小标宋" w:hAnsi="宋体" w:eastAsia="彩虹小标宋" w:cs="Times New Roman"/>
          <w:bCs/>
          <w:snapToGrid w:val="0"/>
          <w:kern w:val="0"/>
          <w:sz w:val="36"/>
          <w:szCs w:val="36"/>
        </w:rPr>
        <w:t>正文（办公用房、营业用房租赁）</w:t>
      </w:r>
    </w:p>
    <w:p>
      <w:pPr>
        <w:adjustRightInd w:val="0"/>
        <w:snapToGrid w:val="0"/>
        <w:spacing w:line="560" w:lineRule="exact"/>
        <w:jc w:val="center"/>
        <w:rPr>
          <w:rFonts w:ascii="彩虹小标宋" w:hAnsi="宋体" w:eastAsia="彩虹小标宋" w:cs="Times New Roman"/>
          <w:bCs/>
          <w:snapToGrid w:val="0"/>
          <w:kern w:val="0"/>
          <w:sz w:val="36"/>
          <w:szCs w:val="36"/>
        </w:rPr>
      </w:pPr>
      <w:r>
        <w:rPr>
          <w:rFonts w:hint="eastAsia" w:ascii="彩虹小标宋" w:hAnsi="宋体" w:eastAsia="彩虹小标宋" w:cs="Times New Roman"/>
          <w:bCs/>
          <w:snapToGrid w:val="0"/>
          <w:kern w:val="0"/>
          <w:sz w:val="36"/>
          <w:szCs w:val="36"/>
        </w:rPr>
        <w:t>（一般包括以下所列内容）</w:t>
      </w:r>
    </w:p>
    <w:p>
      <w:pPr>
        <w:adjustRightInd w:val="0"/>
        <w:snapToGrid w:val="0"/>
        <w:spacing w:line="560" w:lineRule="exact"/>
        <w:jc w:val="center"/>
        <w:rPr>
          <w:rFonts w:ascii="彩虹小标宋" w:hAnsi="宋体" w:eastAsia="彩虹小标宋" w:cs="Times New Roman"/>
          <w:bCs/>
          <w:snapToGrid w:val="0"/>
          <w:kern w:val="0"/>
          <w:sz w:val="36"/>
          <w:szCs w:val="36"/>
        </w:rPr>
      </w:pPr>
      <w:bookmarkStart w:id="1" w:name="PO_NEED_DEPT"/>
      <w:r>
        <w:rPr>
          <w:rFonts w:hint="eastAsia" w:ascii="彩虹小标宋" w:hAnsi="宋体" w:eastAsia="彩虹小标宋" w:cs="Times New Roman"/>
          <w:bCs/>
          <w:snapToGrid w:val="0"/>
          <w:kern w:val="0"/>
          <w:sz w:val="36"/>
          <w:szCs w:val="36"/>
        </w:rPr>
        <w:t>建行河南省分行渠道与运营管理部</w:t>
      </w:r>
      <w:bookmarkEnd w:id="1"/>
    </w:p>
    <w:p>
      <w:pPr>
        <w:widowControl/>
        <w:ind w:left="-105" w:leftChars="-50" w:firstLine="736" w:firstLineChars="230"/>
        <w:jc w:val="left"/>
        <w:rPr>
          <w:rFonts w:ascii="彩虹粗仿宋" w:hAnsi="宋体" w:eastAsia="彩虹粗仿宋" w:cs="Times New Roman"/>
          <w:snapToGrid w:val="0"/>
          <w:kern w:val="0"/>
          <w:sz w:val="32"/>
          <w:szCs w:val="32"/>
        </w:rPr>
      </w:pPr>
    </w:p>
    <w:p>
      <w:pPr>
        <w:widowControl/>
        <w:ind w:left="-105" w:leftChars="-50" w:firstLine="736" w:firstLineChars="230"/>
        <w:jc w:val="left"/>
        <w:rPr>
          <w:rFonts w:ascii="彩虹粗仿宋" w:hAnsi="宋体" w:eastAsia="彩虹粗仿宋" w:cs="Times New Roman"/>
          <w:snapToGrid w:val="0"/>
          <w:kern w:val="0"/>
          <w:sz w:val="32"/>
          <w:szCs w:val="32"/>
        </w:rPr>
      </w:pPr>
      <w:r>
        <w:rPr>
          <w:rFonts w:hint="eastAsia" w:ascii="彩虹粗仿宋" w:hAnsi="宋体" w:eastAsia="彩虹粗仿宋" w:cs="Times New Roman"/>
          <w:snapToGrid w:val="0"/>
          <w:kern w:val="0"/>
          <w:sz w:val="32"/>
          <w:szCs w:val="32"/>
        </w:rPr>
        <w:t>郑大博士园离行式自助银行营业用房位于</w:t>
      </w:r>
      <w:r>
        <w:rPr>
          <w:rFonts w:hint="eastAsia" w:ascii="彩虹粗仿宋" w:eastAsia="彩虹粗仿宋"/>
          <w:sz w:val="32"/>
          <w:szCs w:val="32"/>
        </w:rPr>
        <w:t>郑州大学新校区松园6号楼105号房产</w:t>
      </w:r>
      <w:r>
        <w:rPr>
          <w:rFonts w:hint="eastAsia" w:ascii="彩虹粗仿宋" w:hAnsi="宋体" w:eastAsia="彩虹粗仿宋" w:cs="Times New Roman"/>
          <w:snapToGrid w:val="0"/>
          <w:kern w:val="0"/>
          <w:sz w:val="32"/>
          <w:szCs w:val="32"/>
        </w:rPr>
        <w:t>，为确保郑大博士园离行式自助银行正常业务发展，根据</w:t>
      </w:r>
      <w:r>
        <w:rPr>
          <w:rFonts w:hint="eastAsia" w:ascii="彩虹粗仿宋" w:hAnsi="宋体" w:eastAsia="彩虹粗仿宋" w:cs="Times New Roman"/>
          <w:snapToGrid w:val="0"/>
          <w:color w:val="000000" w:themeColor="text1"/>
          <w:kern w:val="0"/>
          <w:sz w:val="32"/>
          <w:szCs w:val="32"/>
        </w:rPr>
        <w:t>“金水支行2024年第22次党委会议”（2024年3月22日）</w:t>
      </w:r>
      <w:r>
        <w:rPr>
          <w:rFonts w:hint="eastAsia" w:ascii="彩虹粗仿宋" w:hAnsi="宋体" w:eastAsia="彩虹粗仿宋" w:cs="Times New Roman"/>
          <w:snapToGrid w:val="0"/>
          <w:kern w:val="0"/>
          <w:sz w:val="32"/>
          <w:szCs w:val="32"/>
        </w:rPr>
        <w:t>的批示意见，特申请对郑大博士园离行式自助银行营业用房租赁项目进行采购。</w:t>
      </w:r>
    </w:p>
    <w:p>
      <w:pPr>
        <w:adjustRightInd w:val="0"/>
        <w:snapToGrid w:val="0"/>
        <w:spacing w:line="560" w:lineRule="exact"/>
        <w:ind w:firstLine="640" w:firstLineChars="200"/>
        <w:rPr>
          <w:rFonts w:ascii="彩虹粗仿宋" w:hAnsi="宋体" w:eastAsia="彩虹粗仿宋"/>
          <w:snapToGrid w:val="0"/>
          <w:color w:val="FF0000"/>
          <w:kern w:val="0"/>
          <w:sz w:val="32"/>
          <w:szCs w:val="32"/>
        </w:rPr>
      </w:pPr>
      <w:r>
        <w:rPr>
          <w:rFonts w:hint="eastAsia" w:ascii="彩虹黑体" w:hAnsi="宋体" w:eastAsia="彩虹黑体" w:cs="Times New Roman"/>
          <w:snapToGrid w:val="0"/>
          <w:kern w:val="0"/>
          <w:sz w:val="32"/>
          <w:szCs w:val="32"/>
        </w:rPr>
        <w:t>一、对候选供应商的要求</w:t>
      </w:r>
    </w:p>
    <w:p>
      <w:pPr>
        <w:spacing w:line="560" w:lineRule="exact"/>
        <w:rPr>
          <w:rFonts w:ascii="彩虹粗仿宋" w:eastAsia="彩虹粗仿宋"/>
          <w:kern w:val="0"/>
          <w:sz w:val="30"/>
          <w:szCs w:val="30"/>
        </w:rPr>
      </w:pPr>
      <w:r>
        <w:rPr>
          <w:rFonts w:hint="eastAsia" w:ascii="彩虹粗仿宋" w:eastAsia="彩虹粗仿宋"/>
          <w:kern w:val="0"/>
          <w:sz w:val="30"/>
          <w:szCs w:val="30"/>
        </w:rPr>
        <w:t xml:space="preserve">   （一）具备订立并履行合同的民事行为能力，并能够独立承担民事责任。</w:t>
      </w:r>
    </w:p>
    <w:p>
      <w:pPr>
        <w:spacing w:line="560" w:lineRule="exact"/>
        <w:rPr>
          <w:rFonts w:ascii="彩虹粗仿宋" w:eastAsia="彩虹粗仿宋"/>
          <w:kern w:val="0"/>
          <w:sz w:val="30"/>
          <w:szCs w:val="30"/>
        </w:rPr>
      </w:pPr>
      <w:r>
        <w:rPr>
          <w:rFonts w:hint="eastAsia" w:ascii="彩虹粗仿宋" w:eastAsia="彩虹粗仿宋"/>
          <w:kern w:val="0"/>
          <w:sz w:val="30"/>
          <w:szCs w:val="30"/>
        </w:rPr>
        <w:t xml:space="preserve">   （二）具有对本采购项目标的物明确的所有权，有对外租赁房屋的权利。</w:t>
      </w:r>
    </w:p>
    <w:p>
      <w:pPr>
        <w:spacing w:line="560" w:lineRule="exact"/>
        <w:rPr>
          <w:rFonts w:ascii="彩虹粗仿宋" w:eastAsia="彩虹粗仿宋"/>
          <w:kern w:val="0"/>
          <w:sz w:val="30"/>
          <w:szCs w:val="30"/>
        </w:rPr>
      </w:pPr>
      <w:r>
        <w:rPr>
          <w:rFonts w:hint="eastAsia" w:ascii="彩虹粗仿宋" w:eastAsia="彩虹粗仿宋"/>
          <w:kern w:val="0"/>
          <w:sz w:val="30"/>
          <w:szCs w:val="30"/>
        </w:rPr>
        <w:t xml:space="preserve">   （三）租赁产权清晰，没有任何查封、抵押。</w:t>
      </w:r>
    </w:p>
    <w:p>
      <w:pPr>
        <w:spacing w:line="560" w:lineRule="exact"/>
        <w:rPr>
          <w:rFonts w:ascii="彩虹粗仿宋" w:eastAsia="彩虹粗仿宋"/>
          <w:kern w:val="0"/>
          <w:sz w:val="30"/>
          <w:szCs w:val="30"/>
        </w:rPr>
      </w:pPr>
      <w:r>
        <w:rPr>
          <w:rFonts w:hint="eastAsia" w:ascii="彩虹粗仿宋" w:eastAsia="彩虹粗仿宋"/>
          <w:kern w:val="0"/>
          <w:sz w:val="30"/>
          <w:szCs w:val="30"/>
        </w:rPr>
        <w:t xml:space="preserve">   （四）供应商非我行员工、与我行分支机构及员工无关系。 </w:t>
      </w:r>
    </w:p>
    <w:p>
      <w:pPr>
        <w:spacing w:line="560" w:lineRule="exact"/>
        <w:ind w:firstLine="640" w:firstLineChars="200"/>
        <w:rPr>
          <w:rFonts w:ascii="彩虹黑体" w:hAnsi="宋体" w:eastAsia="彩虹黑体" w:cs="Times New Roman"/>
          <w:snapToGrid w:val="0"/>
          <w:kern w:val="0"/>
          <w:sz w:val="32"/>
          <w:szCs w:val="32"/>
        </w:rPr>
      </w:pPr>
      <w:r>
        <w:rPr>
          <w:rFonts w:hint="eastAsia" w:ascii="彩虹黑体" w:hAnsi="宋体" w:eastAsia="彩虹黑体" w:cs="Times New Roman"/>
          <w:snapToGrid w:val="0"/>
          <w:kern w:val="0"/>
          <w:sz w:val="32"/>
          <w:szCs w:val="32"/>
        </w:rPr>
        <w:t>二、拟租赁房屋基本情况</w:t>
      </w:r>
    </w:p>
    <w:p>
      <w:pPr>
        <w:adjustRightInd w:val="0"/>
        <w:snapToGrid w:val="0"/>
        <w:spacing w:line="560" w:lineRule="exact"/>
        <w:ind w:firstLine="600" w:firstLineChars="200"/>
        <w:rPr>
          <w:rFonts w:ascii="彩虹粗仿宋" w:eastAsia="彩虹粗仿宋"/>
          <w:kern w:val="0"/>
          <w:sz w:val="30"/>
          <w:szCs w:val="30"/>
        </w:rPr>
      </w:pPr>
      <w:r>
        <w:rPr>
          <w:rFonts w:hint="eastAsia" w:ascii="彩虹粗仿宋" w:eastAsia="彩虹粗仿宋"/>
          <w:kern w:val="0"/>
          <w:sz w:val="30"/>
          <w:szCs w:val="30"/>
        </w:rPr>
        <w:t>本次采购服务为郑大博士园离行式自助银行营业用房租赁，地址位于</w:t>
      </w:r>
      <w:r>
        <w:rPr>
          <w:rFonts w:hint="eastAsia" w:ascii="彩虹粗仿宋" w:eastAsia="彩虹粗仿宋"/>
          <w:sz w:val="32"/>
          <w:szCs w:val="32"/>
        </w:rPr>
        <w:t>郑州大学新校区松园6号楼105号</w:t>
      </w:r>
      <w:r>
        <w:rPr>
          <w:rFonts w:hint="eastAsia" w:ascii="彩虹粗仿宋" w:eastAsia="彩虹粗仿宋"/>
          <w:kern w:val="0"/>
          <w:sz w:val="30"/>
          <w:szCs w:val="30"/>
        </w:rPr>
        <w:t>，租赁面积78平方米，原合同年租金为18.33万元，租赁到期日2024年6月30日。前期合同执行情况正常，无违约事项发生。房屋自首次使用至今，状况良好，无问题发生。</w:t>
      </w:r>
    </w:p>
    <w:p>
      <w:pPr>
        <w:ind w:firstLine="600" w:firstLineChars="200"/>
        <w:rPr>
          <w:rFonts w:ascii="彩虹粗仿宋" w:eastAsia="彩虹粗仿宋"/>
          <w:kern w:val="0"/>
          <w:sz w:val="30"/>
          <w:szCs w:val="30"/>
        </w:rPr>
      </w:pPr>
      <w:r>
        <w:rPr>
          <w:rFonts w:hint="eastAsia" w:ascii="彩虹粗仿宋" w:eastAsia="彩虹粗仿宋"/>
          <w:kern w:val="0"/>
          <w:sz w:val="30"/>
          <w:szCs w:val="30"/>
        </w:rPr>
        <w:t>该房屋租赁面积超出标准面积38平方米，经过多次沟通，房东不同意分割出租，因郑州大学为我行优质客户，为维护银企关系，为确保郑大博士园离行式自助银行业务工作的正常开展，经综合考虑，继续原址续租，房屋租赁面积为78平方米，续租价格年租金（含税）18.33万元，单价每月每平米195.83元，省行评估价为每月每平米242.65元，续租价格在省行评估价内。拟租赁期限为2年，自2024年7月1日起至2026年6月30日，年租金18.33万元，合同期内总租金为36.66万元。</w:t>
      </w:r>
    </w:p>
    <w:p>
      <w:pPr>
        <w:adjustRightInd w:val="0"/>
        <w:snapToGrid w:val="0"/>
        <w:spacing w:line="360" w:lineRule="auto"/>
        <w:ind w:firstLine="600" w:firstLineChars="200"/>
        <w:rPr>
          <w:rFonts w:ascii="彩虹粗仿宋" w:eastAsia="彩虹粗仿宋"/>
          <w:kern w:val="0"/>
          <w:sz w:val="30"/>
          <w:szCs w:val="30"/>
        </w:rPr>
      </w:pPr>
      <w:r>
        <w:rPr>
          <w:rFonts w:hint="eastAsia" w:ascii="彩虹粗仿宋" w:eastAsia="彩虹粗仿宋"/>
          <w:kern w:val="0"/>
          <w:sz w:val="30"/>
          <w:szCs w:val="30"/>
        </w:rPr>
        <w:t>通过对郑大博士园离行式自助银行周边房源进行调研，目前没有符合我行需求的闲置用房。经调研周边商铺，如丽芳超市，位于郑州大学新校区学生公寓松园7号楼，月租金256.41元/平方米；布谷布谷热干面位于郑州大学新校区学生公寓松园6号楼，月租金233.43元/平方米；中国移动八方电器位于郑州大学新校区学生公寓松园7号楼，月租金238.1元/平方米，租赁价格基本与前期一致。</w:t>
      </w:r>
    </w:p>
    <w:p>
      <w:pPr>
        <w:ind w:firstLine="600" w:firstLineChars="200"/>
        <w:rPr>
          <w:rFonts w:ascii="彩虹粗仿宋" w:eastAsia="彩虹粗仿宋"/>
          <w:color w:val="FF0000"/>
          <w:kern w:val="0"/>
          <w:sz w:val="30"/>
          <w:szCs w:val="30"/>
        </w:rPr>
      </w:pPr>
      <w:r>
        <w:rPr>
          <w:rFonts w:hint="eastAsia" w:ascii="彩虹粗仿宋" w:eastAsia="彩虹粗仿宋"/>
          <w:color w:val="000000" w:themeColor="text1"/>
          <w:kern w:val="0"/>
          <w:sz w:val="30"/>
          <w:szCs w:val="30"/>
        </w:rPr>
        <w:t>郑州市近3个月房价及商铺价格走势略有下降，该离行式自助银行位于郑州大学新校区园内，校园银行使用客户多为老师、学生，人流量较大，学校内设有食堂、超市等，学校内部商业氛围较好，个人客户资源相对充足、稳定，发展潜力相对较好。</w:t>
      </w:r>
    </w:p>
    <w:p>
      <w:pPr>
        <w:ind w:firstLine="640" w:firstLineChars="200"/>
        <w:rPr>
          <w:rFonts w:ascii="彩虹黑体" w:hAnsi="宋体" w:eastAsia="彩虹黑体" w:cs="Times New Roman"/>
          <w:snapToGrid w:val="0"/>
          <w:kern w:val="0"/>
          <w:sz w:val="32"/>
          <w:szCs w:val="32"/>
        </w:rPr>
      </w:pPr>
      <w:r>
        <w:rPr>
          <w:rFonts w:hint="eastAsia" w:ascii="彩虹黑体" w:hAnsi="宋体" w:eastAsia="彩虹黑体" w:cs="Times New Roman"/>
          <w:snapToGrid w:val="0"/>
          <w:kern w:val="0"/>
          <w:sz w:val="32"/>
          <w:szCs w:val="32"/>
        </w:rPr>
        <w:t>三、房屋质量要求</w:t>
      </w:r>
    </w:p>
    <w:p>
      <w:pPr>
        <w:widowControl/>
        <w:ind w:left="-105" w:firstLine="420"/>
        <w:jc w:val="left"/>
        <w:rPr>
          <w:rFonts w:ascii="彩虹粗仿宋" w:eastAsia="彩虹粗仿宋"/>
          <w:kern w:val="0"/>
          <w:sz w:val="30"/>
          <w:szCs w:val="30"/>
        </w:rPr>
      </w:pPr>
      <w:r>
        <w:rPr>
          <w:rFonts w:hint="eastAsia" w:ascii="彩虹粗仿宋" w:eastAsia="彩虹粗仿宋"/>
          <w:kern w:val="0"/>
          <w:sz w:val="30"/>
          <w:szCs w:val="30"/>
        </w:rPr>
        <w:t xml:space="preserve">  外墙完好，房屋结构与产权证一致，公用走道、楼梯符合消防要求，水、电、线路正常。</w:t>
      </w:r>
    </w:p>
    <w:p>
      <w:pPr>
        <w:spacing w:line="560" w:lineRule="exact"/>
        <w:rPr>
          <w:rFonts w:ascii="彩虹黑体" w:hAnsi="宋体" w:eastAsia="彩虹黑体" w:cs="Times New Roman"/>
          <w:snapToGrid w:val="0"/>
          <w:kern w:val="0"/>
          <w:sz w:val="32"/>
          <w:szCs w:val="32"/>
        </w:rPr>
      </w:pPr>
      <w:r>
        <w:rPr>
          <w:rFonts w:hint="eastAsia" w:ascii="彩虹粗仿宋" w:hAnsi="宋体" w:eastAsia="彩虹粗仿宋" w:cs="Times New Roman"/>
          <w:snapToGrid w:val="0"/>
          <w:color w:val="FF0000"/>
          <w:kern w:val="0"/>
          <w:sz w:val="32"/>
          <w:szCs w:val="32"/>
        </w:rPr>
        <w:t xml:space="preserve">    </w:t>
      </w:r>
      <w:r>
        <w:rPr>
          <w:rFonts w:hint="eastAsia" w:ascii="彩虹黑体" w:hAnsi="宋体" w:eastAsia="彩虹黑体" w:cs="Times New Roman"/>
          <w:snapToGrid w:val="0"/>
          <w:kern w:val="0"/>
          <w:sz w:val="32"/>
          <w:szCs w:val="32"/>
        </w:rPr>
        <w:t>四、房屋供应安排</w:t>
      </w:r>
    </w:p>
    <w:p>
      <w:pPr>
        <w:adjustRightInd w:val="0"/>
        <w:snapToGrid w:val="0"/>
        <w:spacing w:line="560" w:lineRule="exact"/>
        <w:ind w:firstLine="600" w:firstLineChars="200"/>
        <w:rPr>
          <w:rFonts w:ascii="彩虹粗仿宋" w:eastAsia="彩虹粗仿宋"/>
          <w:kern w:val="0"/>
          <w:sz w:val="30"/>
          <w:szCs w:val="30"/>
        </w:rPr>
      </w:pPr>
      <w:r>
        <w:rPr>
          <w:rFonts w:hint="eastAsia" w:ascii="彩虹粗仿宋" w:eastAsia="彩虹粗仿宋"/>
          <w:kern w:val="0"/>
          <w:sz w:val="30"/>
          <w:szCs w:val="30"/>
        </w:rPr>
        <w:t>1.出租方应当保证租赁房屋本身及附属设施、设备处于正常的可使用和安全状态，保证承租方经营所需的水、电的正常供应，减少对承租方使用该租赁房屋的影响。</w:t>
      </w:r>
    </w:p>
    <w:p>
      <w:pPr>
        <w:adjustRightInd w:val="0"/>
        <w:snapToGrid w:val="0"/>
        <w:spacing w:line="560" w:lineRule="exact"/>
        <w:ind w:firstLine="600" w:firstLineChars="200"/>
        <w:rPr>
          <w:rFonts w:ascii="彩虹粗仿宋" w:eastAsia="彩虹粗仿宋"/>
          <w:kern w:val="0"/>
          <w:sz w:val="30"/>
          <w:szCs w:val="30"/>
        </w:rPr>
      </w:pPr>
      <w:r>
        <w:rPr>
          <w:rFonts w:hint="eastAsia" w:ascii="彩虹粗仿宋" w:eastAsia="彩虹粗仿宋"/>
          <w:kern w:val="0"/>
          <w:sz w:val="30"/>
          <w:szCs w:val="30"/>
        </w:rPr>
        <w:t>2.出租方应保证出租房屋的使用安全，并负责对出租房屋主体结构、外墙及楼板、屋面防水、上下水管道和公共区域消防设施等公用设施设备的维修和维护（除承租方使用不当外），以保障承租方正常安全使用。</w:t>
      </w:r>
    </w:p>
    <w:p>
      <w:pPr>
        <w:adjustRightInd w:val="0"/>
        <w:snapToGrid w:val="0"/>
        <w:spacing w:line="560" w:lineRule="exact"/>
        <w:ind w:firstLine="600" w:firstLineChars="200"/>
        <w:rPr>
          <w:rFonts w:ascii="彩虹粗仿宋" w:eastAsia="彩虹粗仿宋"/>
          <w:kern w:val="0"/>
          <w:sz w:val="30"/>
          <w:szCs w:val="30"/>
        </w:rPr>
      </w:pPr>
      <w:r>
        <w:rPr>
          <w:rFonts w:hint="eastAsia" w:ascii="彩虹粗仿宋" w:eastAsia="彩虹粗仿宋"/>
          <w:kern w:val="0"/>
          <w:sz w:val="30"/>
          <w:szCs w:val="30"/>
        </w:rPr>
        <w:t>3.非因承租方使用不当发生的房屋及设施损坏，承租方向出租方提出维修需求后，出租方应立即负责修复，出租方拒不维修的，承租方可代为维修，费用由出租方承担</w:t>
      </w:r>
    </w:p>
    <w:p>
      <w:pPr>
        <w:spacing w:line="560" w:lineRule="exact"/>
        <w:ind w:firstLine="480" w:firstLineChars="150"/>
        <w:rPr>
          <w:rFonts w:ascii="彩虹黑体" w:hAnsi="宋体" w:eastAsia="彩虹黑体" w:cs="Times New Roman"/>
          <w:snapToGrid w:val="0"/>
          <w:kern w:val="0"/>
          <w:sz w:val="32"/>
          <w:szCs w:val="32"/>
        </w:rPr>
      </w:pPr>
      <w:r>
        <w:rPr>
          <w:rFonts w:hint="eastAsia" w:ascii="彩虹黑体" w:hAnsi="宋体" w:eastAsia="彩虹黑体" w:cs="Times New Roman"/>
          <w:snapToGrid w:val="0"/>
          <w:kern w:val="0"/>
          <w:sz w:val="32"/>
          <w:szCs w:val="32"/>
        </w:rPr>
        <w:t>五、款项支付要求</w:t>
      </w:r>
    </w:p>
    <w:p>
      <w:pPr>
        <w:widowControl/>
        <w:ind w:left="-105" w:firstLine="420"/>
        <w:jc w:val="left"/>
        <w:rPr>
          <w:rFonts w:ascii="彩虹粗仿宋" w:eastAsia="彩虹粗仿宋"/>
          <w:kern w:val="0"/>
          <w:sz w:val="30"/>
          <w:szCs w:val="30"/>
        </w:rPr>
      </w:pPr>
      <w:r>
        <w:rPr>
          <w:rFonts w:hint="eastAsia" w:ascii="彩虹粗仿宋" w:eastAsia="彩虹粗仿宋"/>
          <w:kern w:val="0"/>
          <w:sz w:val="30"/>
          <w:szCs w:val="30"/>
        </w:rPr>
        <w:t xml:space="preserve"> 租金按年支付，建行于合同生效之日起30日内向出租方支付首年租金；此后建行于每年7月31日前依据出租方开具的增值税发票，审核无误后向出租方支付当年度租金。</w:t>
      </w:r>
    </w:p>
    <w:p>
      <w:pPr>
        <w:widowControl/>
        <w:ind w:left="-105" w:leftChars="-50" w:firstLine="570" w:firstLineChars="190"/>
        <w:jc w:val="left"/>
        <w:rPr>
          <w:rFonts w:ascii="彩虹粗仿宋" w:eastAsia="彩虹粗仿宋"/>
          <w:kern w:val="0"/>
          <w:sz w:val="30"/>
          <w:szCs w:val="30"/>
        </w:rPr>
      </w:pPr>
      <w:r>
        <w:rPr>
          <w:rFonts w:hint="eastAsia" w:ascii="彩虹粗仿宋" w:eastAsia="彩虹粗仿宋"/>
          <w:kern w:val="0"/>
          <w:sz w:val="30"/>
          <w:szCs w:val="30"/>
        </w:rPr>
        <w:t>出租方应在建行支付租金前30日内，根据建行要求开具符合国家规定的增值税发票并在发票开具之日起10日内交付建行，否则建行有权拒收发票并要求出租方重新开具，建行应在收到出租方开具的发票后，30工作日内向出租方支付租金。</w:t>
      </w:r>
    </w:p>
    <w:p>
      <w:pPr>
        <w:spacing w:line="560" w:lineRule="exact"/>
        <w:rPr>
          <w:rFonts w:ascii="彩虹黑体" w:hAnsi="宋体" w:eastAsia="彩虹黑体" w:cs="Times New Roman"/>
          <w:snapToGrid w:val="0"/>
          <w:kern w:val="0"/>
          <w:sz w:val="32"/>
          <w:szCs w:val="32"/>
        </w:rPr>
      </w:pPr>
      <w:r>
        <w:rPr>
          <w:rFonts w:hint="eastAsia" w:ascii="彩虹粗仿宋" w:hAnsi="宋体" w:eastAsia="彩虹粗仿宋" w:cs="Times New Roman"/>
          <w:snapToGrid w:val="0"/>
          <w:color w:val="FF0000"/>
          <w:kern w:val="0"/>
          <w:sz w:val="32"/>
          <w:szCs w:val="32"/>
        </w:rPr>
        <w:t xml:space="preserve">   </w:t>
      </w:r>
      <w:r>
        <w:rPr>
          <w:rFonts w:hint="eastAsia" w:ascii="彩虹黑体" w:hAnsi="宋体" w:eastAsia="彩虹黑体" w:cs="Times New Roman"/>
          <w:snapToGrid w:val="0"/>
          <w:kern w:val="0"/>
          <w:sz w:val="32"/>
          <w:szCs w:val="32"/>
        </w:rPr>
        <w:t>六、报价要求</w:t>
      </w:r>
    </w:p>
    <w:p>
      <w:pPr>
        <w:widowControl/>
        <w:ind w:left="-105" w:leftChars="-50" w:firstLine="570" w:firstLineChars="190"/>
        <w:jc w:val="left"/>
        <w:rPr>
          <w:rFonts w:ascii="彩虹粗仿宋" w:eastAsia="彩虹粗仿宋"/>
          <w:kern w:val="0"/>
          <w:sz w:val="30"/>
          <w:szCs w:val="30"/>
        </w:rPr>
      </w:pPr>
      <w:r>
        <w:rPr>
          <w:rFonts w:hint="eastAsia" w:ascii="彩虹粗仿宋" w:eastAsia="彩虹粗仿宋"/>
          <w:kern w:val="0"/>
          <w:sz w:val="30"/>
          <w:szCs w:val="30"/>
        </w:rPr>
        <w:t>该房屋合同期内年租金18.33万元，合同期内含税总租金36.66万元。</w:t>
      </w:r>
    </w:p>
    <w:tbl>
      <w:tblPr>
        <w:tblStyle w:val="2"/>
        <w:tblW w:w="9324" w:type="dxa"/>
        <w:jc w:val="center"/>
        <w:tblLayout w:type="fixed"/>
        <w:tblCellMar>
          <w:top w:w="0" w:type="dxa"/>
          <w:left w:w="108" w:type="dxa"/>
          <w:bottom w:w="0" w:type="dxa"/>
          <w:right w:w="108" w:type="dxa"/>
        </w:tblCellMar>
      </w:tblPr>
      <w:tblGrid>
        <w:gridCol w:w="2210"/>
        <w:gridCol w:w="2552"/>
        <w:gridCol w:w="1135"/>
        <w:gridCol w:w="1702"/>
        <w:gridCol w:w="1725"/>
      </w:tblGrid>
      <w:tr>
        <w:tblPrEx>
          <w:tblCellMar>
            <w:top w:w="0" w:type="dxa"/>
            <w:left w:w="108" w:type="dxa"/>
            <w:bottom w:w="0" w:type="dxa"/>
            <w:right w:w="108" w:type="dxa"/>
          </w:tblCellMar>
        </w:tblPrEx>
        <w:trPr>
          <w:trHeight w:val="1050" w:hRule="atLeast"/>
          <w:jc w:val="center"/>
        </w:trPr>
        <w:tc>
          <w:tcPr>
            <w:tcW w:w="2210" w:type="dxa"/>
            <w:tcBorders>
              <w:top w:val="single" w:color="auto" w:sz="4" w:space="0"/>
              <w:left w:val="single" w:color="auto" w:sz="4" w:space="0"/>
              <w:bottom w:val="single" w:color="auto" w:sz="4" w:space="0"/>
              <w:right w:val="single" w:color="auto" w:sz="4" w:space="0"/>
            </w:tcBorders>
            <w:vAlign w:val="center"/>
          </w:tcPr>
          <w:p>
            <w:pPr>
              <w:widowControl/>
              <w:spacing w:line="560" w:lineRule="exact"/>
              <w:rPr>
                <w:rFonts w:ascii="宋体" w:hAnsi="宋体"/>
                <w:kern w:val="0"/>
                <w:sz w:val="22"/>
              </w:rPr>
            </w:pPr>
            <w:r>
              <w:rPr>
                <w:rFonts w:hint="eastAsia" w:ascii="宋体" w:hAnsi="宋体"/>
                <w:kern w:val="0"/>
                <w:sz w:val="22"/>
              </w:rPr>
              <w:t>租赁项目</w:t>
            </w:r>
          </w:p>
        </w:tc>
        <w:tc>
          <w:tcPr>
            <w:tcW w:w="2552" w:type="dxa"/>
            <w:tcBorders>
              <w:top w:val="single" w:color="auto" w:sz="4" w:space="0"/>
              <w:left w:val="nil"/>
              <w:bottom w:val="single" w:color="auto" w:sz="4" w:space="0"/>
              <w:right w:val="single" w:color="auto" w:sz="4" w:space="0"/>
            </w:tcBorders>
            <w:vAlign w:val="center"/>
          </w:tcPr>
          <w:p>
            <w:pPr>
              <w:widowControl/>
              <w:spacing w:line="560" w:lineRule="exact"/>
              <w:ind w:firstLine="770" w:firstLineChars="350"/>
              <w:rPr>
                <w:rFonts w:ascii="宋体" w:hAnsi="宋体"/>
                <w:kern w:val="0"/>
                <w:sz w:val="22"/>
              </w:rPr>
            </w:pPr>
            <w:r>
              <w:rPr>
                <w:rFonts w:hint="eastAsia" w:ascii="宋体" w:hAnsi="宋体"/>
                <w:kern w:val="0"/>
                <w:sz w:val="22"/>
              </w:rPr>
              <w:t>租赁时间</w:t>
            </w:r>
          </w:p>
        </w:tc>
        <w:tc>
          <w:tcPr>
            <w:tcW w:w="1135" w:type="dxa"/>
            <w:tcBorders>
              <w:top w:val="single" w:color="auto" w:sz="4" w:space="0"/>
              <w:left w:val="nil"/>
              <w:bottom w:val="single" w:color="auto" w:sz="4" w:space="0"/>
              <w:right w:val="single" w:color="auto" w:sz="4" w:space="0"/>
            </w:tcBorders>
            <w:vAlign w:val="center"/>
          </w:tcPr>
          <w:p>
            <w:pPr>
              <w:widowControl/>
              <w:spacing w:line="560" w:lineRule="exact"/>
              <w:ind w:firstLine="440" w:firstLineChars="200"/>
              <w:jc w:val="center"/>
              <w:rPr>
                <w:rFonts w:ascii="宋体" w:hAnsi="宋体"/>
                <w:kern w:val="0"/>
                <w:sz w:val="22"/>
              </w:rPr>
            </w:pPr>
            <w:r>
              <w:rPr>
                <w:rFonts w:hint="eastAsia" w:ascii="宋体" w:hAnsi="宋体"/>
                <w:kern w:val="0"/>
                <w:sz w:val="22"/>
              </w:rPr>
              <w:t>面积（㎡）</w:t>
            </w:r>
          </w:p>
        </w:tc>
        <w:tc>
          <w:tcPr>
            <w:tcW w:w="1702" w:type="dxa"/>
            <w:tcBorders>
              <w:top w:val="single" w:color="auto" w:sz="4" w:space="0"/>
              <w:left w:val="nil"/>
              <w:bottom w:val="single" w:color="auto" w:sz="4" w:space="0"/>
              <w:right w:val="single" w:color="auto" w:sz="4" w:space="0"/>
            </w:tcBorders>
            <w:vAlign w:val="center"/>
          </w:tcPr>
          <w:p>
            <w:pPr>
              <w:widowControl/>
              <w:spacing w:line="560" w:lineRule="exact"/>
              <w:ind w:firstLine="440" w:firstLineChars="200"/>
              <w:jc w:val="center"/>
              <w:rPr>
                <w:rFonts w:ascii="宋体" w:hAnsi="宋体"/>
                <w:kern w:val="0"/>
                <w:sz w:val="22"/>
              </w:rPr>
            </w:pPr>
            <w:r>
              <w:rPr>
                <w:rFonts w:hint="eastAsia" w:ascii="宋体" w:hAnsi="宋体"/>
                <w:kern w:val="0"/>
                <w:sz w:val="22"/>
              </w:rPr>
              <w:t>含税单价（元/㎡•月）</w:t>
            </w:r>
          </w:p>
        </w:tc>
        <w:tc>
          <w:tcPr>
            <w:tcW w:w="1725" w:type="dxa"/>
            <w:tcBorders>
              <w:top w:val="single" w:color="auto" w:sz="4" w:space="0"/>
              <w:left w:val="nil"/>
              <w:bottom w:val="single" w:color="auto" w:sz="4" w:space="0"/>
              <w:right w:val="single" w:color="auto" w:sz="4" w:space="0"/>
            </w:tcBorders>
            <w:vAlign w:val="center"/>
          </w:tcPr>
          <w:p>
            <w:pPr>
              <w:widowControl/>
              <w:spacing w:line="560" w:lineRule="exact"/>
              <w:rPr>
                <w:rFonts w:ascii="宋体" w:hAnsi="宋体"/>
                <w:kern w:val="0"/>
                <w:sz w:val="22"/>
              </w:rPr>
            </w:pPr>
            <w:r>
              <w:rPr>
                <w:rFonts w:hint="eastAsia" w:ascii="宋体" w:hAnsi="宋体"/>
                <w:kern w:val="0"/>
                <w:sz w:val="22"/>
              </w:rPr>
              <w:t>含税总价（元）</w:t>
            </w:r>
          </w:p>
        </w:tc>
      </w:tr>
      <w:tr>
        <w:tblPrEx>
          <w:tblCellMar>
            <w:top w:w="0" w:type="dxa"/>
            <w:left w:w="108" w:type="dxa"/>
            <w:bottom w:w="0" w:type="dxa"/>
            <w:right w:w="108" w:type="dxa"/>
          </w:tblCellMar>
        </w:tblPrEx>
        <w:trPr>
          <w:trHeight w:val="390" w:hRule="atLeast"/>
          <w:jc w:val="center"/>
        </w:trPr>
        <w:tc>
          <w:tcPr>
            <w:tcW w:w="2210" w:type="dxa"/>
            <w:vMerge w:val="restart"/>
            <w:tcBorders>
              <w:top w:val="nil"/>
              <w:left w:val="single" w:color="auto" w:sz="4" w:space="0"/>
              <w:bottom w:val="single" w:color="auto" w:sz="4" w:space="0"/>
              <w:right w:val="single" w:color="auto" w:sz="4" w:space="0"/>
            </w:tcBorders>
            <w:vAlign w:val="center"/>
          </w:tcPr>
          <w:p>
            <w:pPr>
              <w:widowControl/>
              <w:spacing w:line="560" w:lineRule="exact"/>
              <w:rPr>
                <w:rFonts w:ascii="宋体" w:hAnsi="宋体"/>
                <w:kern w:val="0"/>
                <w:sz w:val="22"/>
              </w:rPr>
            </w:pPr>
            <w:r>
              <w:rPr>
                <w:rFonts w:hint="eastAsia" w:ascii="宋体" w:hAnsi="宋体"/>
                <w:kern w:val="0"/>
                <w:sz w:val="22"/>
              </w:rPr>
              <w:t>郑大博士园离行式自助银行营业用房租赁</w:t>
            </w:r>
          </w:p>
        </w:tc>
        <w:tc>
          <w:tcPr>
            <w:tcW w:w="2552" w:type="dxa"/>
            <w:tcBorders>
              <w:top w:val="nil"/>
              <w:left w:val="nil"/>
              <w:bottom w:val="single" w:color="auto" w:sz="4" w:space="0"/>
              <w:right w:val="single" w:color="auto" w:sz="4" w:space="0"/>
            </w:tcBorders>
            <w:vAlign w:val="center"/>
          </w:tcPr>
          <w:p>
            <w:pPr>
              <w:widowControl/>
              <w:spacing w:line="560" w:lineRule="exact"/>
              <w:jc w:val="left"/>
              <w:rPr>
                <w:rFonts w:ascii="宋体" w:hAnsi="宋体"/>
                <w:kern w:val="0"/>
                <w:sz w:val="22"/>
              </w:rPr>
            </w:pPr>
            <w:r>
              <w:rPr>
                <w:rFonts w:hint="eastAsia" w:ascii="宋体" w:hAnsi="宋体"/>
                <w:kern w:val="0"/>
                <w:sz w:val="22"/>
              </w:rPr>
              <w:t>2024/7/1-2025/6/30</w:t>
            </w:r>
          </w:p>
        </w:tc>
        <w:tc>
          <w:tcPr>
            <w:tcW w:w="1135" w:type="dxa"/>
            <w:vMerge w:val="restart"/>
            <w:tcBorders>
              <w:top w:val="nil"/>
              <w:left w:val="nil"/>
              <w:bottom w:val="single" w:color="auto" w:sz="4" w:space="0"/>
              <w:right w:val="single" w:color="auto" w:sz="4" w:space="0"/>
            </w:tcBorders>
            <w:vAlign w:val="center"/>
          </w:tcPr>
          <w:p>
            <w:pPr>
              <w:spacing w:line="560" w:lineRule="exact"/>
              <w:jc w:val="left"/>
              <w:rPr>
                <w:rFonts w:ascii="宋体" w:hAnsi="宋体"/>
                <w:kern w:val="0"/>
                <w:sz w:val="22"/>
              </w:rPr>
            </w:pPr>
            <w:r>
              <w:rPr>
                <w:rFonts w:hint="eastAsia" w:ascii="宋体" w:hAnsi="宋体"/>
                <w:kern w:val="0"/>
                <w:sz w:val="22"/>
              </w:rPr>
              <w:t xml:space="preserve">   78</w:t>
            </w:r>
          </w:p>
        </w:tc>
        <w:tc>
          <w:tcPr>
            <w:tcW w:w="1702" w:type="dxa"/>
            <w:tcBorders>
              <w:top w:val="nil"/>
              <w:left w:val="nil"/>
              <w:bottom w:val="single" w:color="auto" w:sz="4" w:space="0"/>
              <w:right w:val="single" w:color="auto" w:sz="4" w:space="0"/>
            </w:tcBorders>
          </w:tcPr>
          <w:p>
            <w:pPr>
              <w:spacing w:line="560" w:lineRule="exact"/>
              <w:ind w:firstLine="550" w:firstLineChars="250"/>
              <w:jc w:val="left"/>
              <w:rPr>
                <w:rFonts w:ascii="宋体" w:hAnsi="宋体"/>
                <w:sz w:val="22"/>
              </w:rPr>
            </w:pPr>
            <w:r>
              <w:rPr>
                <w:rFonts w:hint="eastAsia" w:ascii="宋体" w:hAnsi="宋体"/>
                <w:kern w:val="0"/>
                <w:sz w:val="22"/>
              </w:rPr>
              <w:t>195.83</w:t>
            </w:r>
          </w:p>
        </w:tc>
        <w:tc>
          <w:tcPr>
            <w:tcW w:w="1725" w:type="dxa"/>
            <w:tcBorders>
              <w:top w:val="nil"/>
              <w:left w:val="nil"/>
              <w:bottom w:val="single" w:color="auto" w:sz="4" w:space="0"/>
              <w:right w:val="single" w:color="auto" w:sz="4" w:space="0"/>
            </w:tcBorders>
          </w:tcPr>
          <w:p>
            <w:pPr>
              <w:spacing w:line="560" w:lineRule="exact"/>
              <w:ind w:firstLine="440" w:firstLineChars="200"/>
              <w:rPr>
                <w:rFonts w:ascii="宋体" w:hAnsi="宋体"/>
                <w:sz w:val="22"/>
              </w:rPr>
            </w:pPr>
            <w:r>
              <w:rPr>
                <w:rFonts w:hint="eastAsia" w:ascii="宋体" w:hAnsi="宋体"/>
                <w:sz w:val="22"/>
              </w:rPr>
              <w:t>183300</w:t>
            </w:r>
          </w:p>
        </w:tc>
      </w:tr>
      <w:tr>
        <w:tblPrEx>
          <w:tblCellMar>
            <w:top w:w="0" w:type="dxa"/>
            <w:left w:w="108" w:type="dxa"/>
            <w:bottom w:w="0" w:type="dxa"/>
            <w:right w:w="108" w:type="dxa"/>
          </w:tblCellMar>
        </w:tblPrEx>
        <w:trPr>
          <w:trHeight w:val="390" w:hRule="atLeast"/>
          <w:jc w:val="center"/>
        </w:trPr>
        <w:tc>
          <w:tcPr>
            <w:tcW w:w="2210" w:type="dxa"/>
            <w:vMerge w:val="continue"/>
            <w:tcBorders>
              <w:top w:val="nil"/>
              <w:left w:val="single" w:color="auto" w:sz="4" w:space="0"/>
              <w:bottom w:val="single" w:color="auto" w:sz="4" w:space="0"/>
              <w:right w:val="single" w:color="auto" w:sz="4" w:space="0"/>
            </w:tcBorders>
            <w:vAlign w:val="center"/>
          </w:tcPr>
          <w:p>
            <w:pPr>
              <w:widowControl/>
              <w:spacing w:line="560" w:lineRule="exact"/>
              <w:rPr>
                <w:rFonts w:ascii="宋体" w:hAnsi="宋体"/>
                <w:kern w:val="0"/>
                <w:sz w:val="22"/>
              </w:rPr>
            </w:pPr>
          </w:p>
        </w:tc>
        <w:tc>
          <w:tcPr>
            <w:tcW w:w="2552" w:type="dxa"/>
            <w:tcBorders>
              <w:top w:val="nil"/>
              <w:left w:val="nil"/>
              <w:bottom w:val="single" w:color="auto" w:sz="4" w:space="0"/>
              <w:right w:val="single" w:color="auto" w:sz="4" w:space="0"/>
            </w:tcBorders>
            <w:vAlign w:val="center"/>
          </w:tcPr>
          <w:p>
            <w:pPr>
              <w:widowControl/>
              <w:spacing w:line="560" w:lineRule="exact"/>
              <w:jc w:val="left"/>
              <w:rPr>
                <w:rFonts w:ascii="宋体" w:hAnsi="宋体"/>
                <w:kern w:val="0"/>
                <w:sz w:val="22"/>
              </w:rPr>
            </w:pPr>
            <w:r>
              <w:rPr>
                <w:rFonts w:ascii="宋体" w:hAnsi="宋体"/>
                <w:kern w:val="0"/>
                <w:sz w:val="22"/>
              </w:rPr>
              <w:t>202</w:t>
            </w:r>
            <w:r>
              <w:rPr>
                <w:rFonts w:hint="eastAsia" w:ascii="宋体" w:hAnsi="宋体"/>
                <w:kern w:val="0"/>
                <w:sz w:val="22"/>
              </w:rPr>
              <w:t>5</w:t>
            </w:r>
            <w:r>
              <w:rPr>
                <w:rFonts w:ascii="宋体" w:hAnsi="宋体"/>
                <w:kern w:val="0"/>
                <w:sz w:val="22"/>
              </w:rPr>
              <w:t>/</w:t>
            </w:r>
            <w:r>
              <w:rPr>
                <w:rFonts w:hint="eastAsia" w:ascii="宋体" w:hAnsi="宋体"/>
                <w:kern w:val="0"/>
                <w:sz w:val="22"/>
              </w:rPr>
              <w:t>7</w:t>
            </w:r>
            <w:r>
              <w:rPr>
                <w:rFonts w:ascii="宋体" w:hAnsi="宋体"/>
                <w:kern w:val="0"/>
                <w:sz w:val="22"/>
              </w:rPr>
              <w:t>/1-20</w:t>
            </w:r>
            <w:r>
              <w:rPr>
                <w:rFonts w:hint="eastAsia" w:ascii="宋体" w:hAnsi="宋体"/>
                <w:kern w:val="0"/>
                <w:sz w:val="22"/>
              </w:rPr>
              <w:t>26</w:t>
            </w:r>
            <w:r>
              <w:rPr>
                <w:rFonts w:ascii="宋体" w:hAnsi="宋体"/>
                <w:kern w:val="0"/>
                <w:sz w:val="22"/>
              </w:rPr>
              <w:t>/</w:t>
            </w:r>
            <w:r>
              <w:rPr>
                <w:rFonts w:hint="eastAsia" w:ascii="宋体" w:hAnsi="宋体"/>
                <w:kern w:val="0"/>
                <w:sz w:val="22"/>
              </w:rPr>
              <w:t>6</w:t>
            </w:r>
            <w:r>
              <w:rPr>
                <w:rFonts w:ascii="宋体" w:hAnsi="宋体"/>
                <w:kern w:val="0"/>
                <w:sz w:val="22"/>
              </w:rPr>
              <w:t>/30</w:t>
            </w:r>
          </w:p>
        </w:tc>
        <w:tc>
          <w:tcPr>
            <w:tcW w:w="1135" w:type="dxa"/>
            <w:vMerge w:val="continue"/>
            <w:tcBorders>
              <w:top w:val="nil"/>
              <w:left w:val="nil"/>
              <w:bottom w:val="single" w:color="auto" w:sz="4" w:space="0"/>
              <w:right w:val="single" w:color="auto" w:sz="4" w:space="0"/>
            </w:tcBorders>
            <w:vAlign w:val="center"/>
          </w:tcPr>
          <w:p>
            <w:pPr>
              <w:spacing w:line="560" w:lineRule="exact"/>
              <w:jc w:val="left"/>
              <w:rPr>
                <w:rFonts w:ascii="宋体" w:hAnsi="宋体"/>
                <w:kern w:val="0"/>
                <w:sz w:val="22"/>
              </w:rPr>
            </w:pPr>
          </w:p>
        </w:tc>
        <w:tc>
          <w:tcPr>
            <w:tcW w:w="1702" w:type="dxa"/>
            <w:tcBorders>
              <w:top w:val="nil"/>
              <w:left w:val="nil"/>
              <w:bottom w:val="single" w:color="auto" w:sz="4" w:space="0"/>
              <w:right w:val="single" w:color="auto" w:sz="4" w:space="0"/>
            </w:tcBorders>
          </w:tcPr>
          <w:p>
            <w:pPr>
              <w:spacing w:line="560" w:lineRule="exact"/>
              <w:ind w:firstLine="550" w:firstLineChars="250"/>
              <w:jc w:val="left"/>
              <w:rPr>
                <w:rFonts w:ascii="宋体" w:hAnsi="宋体"/>
                <w:kern w:val="0"/>
                <w:sz w:val="22"/>
              </w:rPr>
            </w:pPr>
            <w:r>
              <w:rPr>
                <w:rFonts w:hint="eastAsia" w:ascii="宋体" w:hAnsi="宋体"/>
                <w:kern w:val="0"/>
                <w:sz w:val="22"/>
              </w:rPr>
              <w:t>195.83</w:t>
            </w:r>
          </w:p>
        </w:tc>
        <w:tc>
          <w:tcPr>
            <w:tcW w:w="1725" w:type="dxa"/>
            <w:tcBorders>
              <w:top w:val="nil"/>
              <w:left w:val="nil"/>
              <w:bottom w:val="single" w:color="auto" w:sz="4" w:space="0"/>
              <w:right w:val="single" w:color="auto" w:sz="4" w:space="0"/>
            </w:tcBorders>
          </w:tcPr>
          <w:p>
            <w:pPr>
              <w:spacing w:line="560" w:lineRule="exact"/>
              <w:ind w:firstLine="440" w:firstLineChars="200"/>
              <w:rPr>
                <w:rFonts w:ascii="宋体" w:hAnsi="宋体"/>
                <w:sz w:val="22"/>
              </w:rPr>
            </w:pPr>
            <w:r>
              <w:rPr>
                <w:rFonts w:hint="eastAsia" w:ascii="宋体" w:hAnsi="宋体"/>
                <w:sz w:val="22"/>
              </w:rPr>
              <w:t>183300</w:t>
            </w:r>
          </w:p>
        </w:tc>
      </w:tr>
      <w:tr>
        <w:tblPrEx>
          <w:tblCellMar>
            <w:top w:w="0" w:type="dxa"/>
            <w:left w:w="108" w:type="dxa"/>
            <w:bottom w:w="0" w:type="dxa"/>
            <w:right w:w="108" w:type="dxa"/>
          </w:tblCellMar>
        </w:tblPrEx>
        <w:trPr>
          <w:trHeight w:val="390" w:hRule="atLeast"/>
          <w:jc w:val="center"/>
        </w:trPr>
        <w:tc>
          <w:tcPr>
            <w:tcW w:w="221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kern w:val="0"/>
                <w:sz w:val="22"/>
              </w:rPr>
            </w:pPr>
          </w:p>
        </w:tc>
        <w:tc>
          <w:tcPr>
            <w:tcW w:w="2552" w:type="dxa"/>
            <w:tcBorders>
              <w:top w:val="nil"/>
              <w:left w:val="nil"/>
              <w:bottom w:val="single" w:color="auto" w:sz="4" w:space="0"/>
              <w:right w:val="single" w:color="auto" w:sz="4" w:space="0"/>
            </w:tcBorders>
            <w:vAlign w:val="center"/>
          </w:tcPr>
          <w:p>
            <w:pPr>
              <w:spacing w:line="560" w:lineRule="exact"/>
              <w:ind w:firstLine="440" w:firstLineChars="200"/>
              <w:rPr>
                <w:rFonts w:ascii="宋体" w:hAnsi="宋体"/>
                <w:szCs w:val="21"/>
              </w:rPr>
            </w:pPr>
            <w:r>
              <w:rPr>
                <w:rFonts w:hint="eastAsia" w:ascii="宋体" w:hAnsi="宋体"/>
                <w:kern w:val="0"/>
                <w:sz w:val="22"/>
              </w:rPr>
              <w:t>总计</w:t>
            </w:r>
          </w:p>
        </w:tc>
        <w:tc>
          <w:tcPr>
            <w:tcW w:w="1135" w:type="dxa"/>
            <w:vMerge w:val="continue"/>
            <w:tcBorders>
              <w:top w:val="nil"/>
              <w:left w:val="nil"/>
              <w:bottom w:val="single" w:color="auto" w:sz="4" w:space="0"/>
              <w:right w:val="single" w:color="auto" w:sz="4" w:space="0"/>
            </w:tcBorders>
            <w:vAlign w:val="center"/>
          </w:tcPr>
          <w:p>
            <w:pPr>
              <w:widowControl/>
              <w:jc w:val="left"/>
              <w:rPr>
                <w:rFonts w:ascii="宋体" w:hAnsi="宋体"/>
                <w:kern w:val="0"/>
                <w:sz w:val="22"/>
              </w:rPr>
            </w:pPr>
          </w:p>
        </w:tc>
        <w:tc>
          <w:tcPr>
            <w:tcW w:w="1702" w:type="dxa"/>
            <w:tcBorders>
              <w:top w:val="nil"/>
              <w:left w:val="nil"/>
              <w:bottom w:val="single" w:color="auto" w:sz="4" w:space="0"/>
              <w:right w:val="single" w:color="auto" w:sz="4" w:space="0"/>
            </w:tcBorders>
          </w:tcPr>
          <w:p>
            <w:pPr>
              <w:spacing w:line="560" w:lineRule="exact"/>
              <w:ind w:firstLine="440" w:firstLineChars="200"/>
              <w:rPr>
                <w:rFonts w:ascii="宋体" w:hAnsi="宋体"/>
                <w:sz w:val="22"/>
              </w:rPr>
            </w:pPr>
          </w:p>
        </w:tc>
        <w:tc>
          <w:tcPr>
            <w:tcW w:w="1725" w:type="dxa"/>
            <w:tcBorders>
              <w:top w:val="nil"/>
              <w:left w:val="nil"/>
              <w:bottom w:val="single" w:color="auto" w:sz="4" w:space="0"/>
              <w:right w:val="single" w:color="auto" w:sz="4" w:space="0"/>
            </w:tcBorders>
          </w:tcPr>
          <w:p>
            <w:pPr>
              <w:spacing w:line="560" w:lineRule="exact"/>
              <w:ind w:firstLine="440" w:firstLineChars="200"/>
              <w:rPr>
                <w:rFonts w:ascii="宋体" w:hAnsi="宋体"/>
                <w:sz w:val="22"/>
              </w:rPr>
            </w:pPr>
            <w:r>
              <w:rPr>
                <w:rFonts w:hint="eastAsia" w:ascii="宋体" w:hAnsi="宋体"/>
                <w:sz w:val="22"/>
              </w:rPr>
              <w:t>366600</w:t>
            </w:r>
          </w:p>
        </w:tc>
      </w:tr>
    </w:tbl>
    <w:p>
      <w:pPr>
        <w:adjustRightInd w:val="0"/>
        <w:snapToGrid w:val="0"/>
        <w:spacing w:line="560" w:lineRule="exact"/>
        <w:ind w:firstLine="640" w:firstLineChars="200"/>
        <w:rPr>
          <w:rFonts w:ascii="彩虹粗仿宋" w:hAnsi="宋体" w:eastAsia="彩虹粗仿宋" w:cs="Times New Roman"/>
          <w:snapToGrid w:val="0"/>
          <w:kern w:val="0"/>
          <w:sz w:val="32"/>
          <w:szCs w:val="32"/>
        </w:rPr>
      </w:pPr>
    </w:p>
    <w:p>
      <w:pPr>
        <w:spacing w:line="560" w:lineRule="exact"/>
        <w:ind w:firstLine="480" w:firstLineChars="150"/>
        <w:rPr>
          <w:rFonts w:ascii="彩虹黑体" w:hAnsi="宋体" w:eastAsia="彩虹黑体" w:cs="Times New Roman"/>
          <w:snapToGrid w:val="0"/>
          <w:kern w:val="0"/>
          <w:sz w:val="32"/>
          <w:szCs w:val="32"/>
        </w:rPr>
      </w:pPr>
      <w:r>
        <w:rPr>
          <w:rFonts w:hint="eastAsia" w:ascii="彩虹黑体" w:hAnsi="宋体" w:eastAsia="彩虹黑体" w:cs="Times New Roman"/>
          <w:snapToGrid w:val="0"/>
          <w:kern w:val="0"/>
          <w:sz w:val="32"/>
          <w:szCs w:val="32"/>
        </w:rPr>
        <w:t>七、其他约定</w:t>
      </w:r>
    </w:p>
    <w:p>
      <w:pPr>
        <w:widowControl/>
        <w:ind w:left="-108" w:firstLine="600" w:firstLineChars="200"/>
        <w:rPr>
          <w:rFonts w:ascii="彩虹粗仿宋" w:eastAsia="彩虹粗仿宋"/>
          <w:kern w:val="0"/>
          <w:sz w:val="30"/>
          <w:szCs w:val="30"/>
        </w:rPr>
      </w:pPr>
      <w:r>
        <w:rPr>
          <w:rFonts w:hint="eastAsia" w:ascii="彩虹粗仿宋" w:eastAsia="彩虹粗仿宋"/>
          <w:kern w:val="0"/>
          <w:sz w:val="30"/>
          <w:szCs w:val="30"/>
        </w:rPr>
        <w:t>1.在符合相关管理部门要求的情况下，出租方免费提供楼顶或墙外立面招牌位置。</w:t>
      </w:r>
    </w:p>
    <w:p>
      <w:pPr>
        <w:widowControl/>
        <w:ind w:left="-108" w:firstLine="600" w:firstLineChars="200"/>
        <w:rPr>
          <w:rFonts w:ascii="彩虹粗仿宋" w:eastAsia="彩虹粗仿宋"/>
          <w:kern w:val="0"/>
          <w:sz w:val="30"/>
          <w:szCs w:val="30"/>
        </w:rPr>
      </w:pPr>
      <w:r>
        <w:rPr>
          <w:rFonts w:hint="eastAsia" w:ascii="彩虹粗仿宋" w:eastAsia="彩虹粗仿宋"/>
          <w:kern w:val="0"/>
          <w:sz w:val="30"/>
          <w:szCs w:val="30"/>
        </w:rPr>
        <w:t>2.出租方给予_/_个月免租期用于房屋装修。</w:t>
      </w:r>
    </w:p>
    <w:p>
      <w:pPr>
        <w:widowControl/>
        <w:ind w:left="-108" w:firstLine="600" w:firstLineChars="200"/>
        <w:rPr>
          <w:rFonts w:ascii="彩虹粗仿宋" w:eastAsia="彩虹粗仿宋"/>
          <w:kern w:val="0"/>
          <w:sz w:val="30"/>
          <w:szCs w:val="30"/>
        </w:rPr>
      </w:pPr>
      <w:r>
        <w:rPr>
          <w:rFonts w:hint="eastAsia" w:ascii="彩虹粗仿宋" w:eastAsia="彩虹粗仿宋"/>
          <w:kern w:val="0"/>
          <w:sz w:val="30"/>
          <w:szCs w:val="30"/>
        </w:rPr>
        <w:t>3.租赁期内，出租方免费提供门前专用停车位_/_个。</w:t>
      </w:r>
    </w:p>
    <w:p>
      <w:pPr>
        <w:widowControl/>
        <w:ind w:left="-108" w:firstLine="600" w:firstLineChars="200"/>
        <w:rPr>
          <w:rFonts w:ascii="彩虹粗仿宋" w:eastAsia="彩虹粗仿宋"/>
          <w:kern w:val="0"/>
          <w:sz w:val="30"/>
          <w:szCs w:val="30"/>
        </w:rPr>
      </w:pPr>
      <w:r>
        <w:rPr>
          <w:rFonts w:hint="eastAsia" w:ascii="彩虹粗仿宋" w:eastAsia="彩虹粗仿宋"/>
          <w:kern w:val="0"/>
          <w:sz w:val="30"/>
          <w:szCs w:val="30"/>
        </w:rPr>
        <w:t>4.所有有关房屋出租而引起的税项负担、国家及地方政府针对出租的房屋征收的管理费用及其他费用，均由出租方承担。因出租方未办理相关手续导致引起纠纷和造成损失的，由出租方承担一切责任。出租方违反上述各项承诺，由出租方承担全部法律责任，如因此给建行造成经济损失，由出租方承担全部赔偿责任。</w:t>
      </w:r>
    </w:p>
    <w:p>
      <w:pPr>
        <w:widowControl/>
        <w:ind w:left="-108" w:firstLine="600" w:firstLineChars="200"/>
        <w:rPr>
          <w:rFonts w:ascii="彩虹粗仿宋" w:eastAsia="彩虹粗仿宋"/>
          <w:kern w:val="0"/>
          <w:sz w:val="30"/>
          <w:szCs w:val="30"/>
        </w:rPr>
      </w:pPr>
      <w:r>
        <w:rPr>
          <w:rFonts w:hint="eastAsia" w:ascii="彩虹粗仿宋" w:eastAsia="彩虹粗仿宋"/>
          <w:kern w:val="0"/>
          <w:sz w:val="30"/>
          <w:szCs w:val="30"/>
        </w:rPr>
        <w:t>5.租赁期满后，承租方仍需继续租赁房屋，提前3个月告知出租方，在同等条件下，承租方享有优先权。</w:t>
      </w:r>
    </w:p>
    <w:p>
      <w:pPr>
        <w:widowControl/>
        <w:ind w:left="-108" w:firstLine="600" w:firstLineChars="200"/>
        <w:rPr>
          <w:rFonts w:ascii="彩虹粗仿宋" w:eastAsia="彩虹粗仿宋"/>
          <w:kern w:val="0"/>
          <w:sz w:val="30"/>
          <w:szCs w:val="30"/>
        </w:rPr>
      </w:pPr>
      <w:r>
        <w:rPr>
          <w:rFonts w:hint="eastAsia" w:ascii="彩虹粗仿宋" w:eastAsia="彩虹粗仿宋"/>
          <w:kern w:val="0"/>
          <w:sz w:val="30"/>
          <w:szCs w:val="30"/>
        </w:rPr>
        <w:t>6.租赁期内，出租方同意建行在建行内部调剂使用该处房屋,如出租方将房屋进行出售，在6个月前书面通知承租方，在同等条件下，承租方有优先购买权，且房屋买卖不得影响本租赁事项执行。</w:t>
      </w:r>
    </w:p>
    <w:p>
      <w:pPr>
        <w:widowControl/>
        <w:ind w:left="-108" w:firstLine="600" w:firstLineChars="200"/>
        <w:rPr>
          <w:rFonts w:ascii="彩虹粗仿宋" w:eastAsia="彩虹粗仿宋"/>
          <w:kern w:val="0"/>
          <w:sz w:val="30"/>
          <w:szCs w:val="30"/>
        </w:rPr>
      </w:pPr>
      <w:r>
        <w:rPr>
          <w:rFonts w:hint="eastAsia" w:ascii="彩虹粗仿宋" w:eastAsia="彩虹粗仿宋"/>
          <w:kern w:val="0"/>
          <w:sz w:val="30"/>
          <w:szCs w:val="30"/>
        </w:rPr>
        <w:t>7.租赁期内，承租方因经营决策、网点规划迁址或其他原因造成难以继续履行该合同的，承租方有权书面通知出租方解除本合同，并不承担任何责任，但应提前60日通知出租方。租金按承租方实际使用天数计算。</w:t>
      </w:r>
    </w:p>
    <w:p>
      <w:pPr>
        <w:widowControl/>
        <w:ind w:left="-108" w:firstLine="600" w:firstLineChars="200"/>
        <w:rPr>
          <w:rFonts w:ascii="彩虹粗仿宋" w:eastAsia="彩虹粗仿宋"/>
          <w:kern w:val="0"/>
          <w:sz w:val="30"/>
          <w:szCs w:val="30"/>
        </w:rPr>
      </w:pPr>
      <w:r>
        <w:rPr>
          <w:rFonts w:hint="eastAsia" w:ascii="彩虹粗仿宋" w:eastAsia="彩虹粗仿宋"/>
          <w:kern w:val="0"/>
          <w:sz w:val="30"/>
          <w:szCs w:val="30"/>
        </w:rPr>
        <w:t>8.租赁期限内，因租赁房屋被列入征收或拆迁范围等原因出租方无法继续履约需解除合同的，应提前6个月书面通知承租方，给予承租方重新选址及搬迁时间。此选址、搬迁时间内免除租金，并赔偿我行剩余装修期限应分摊的装修费用损失。</w:t>
      </w:r>
    </w:p>
    <w:p>
      <w:pPr>
        <w:widowControl/>
        <w:ind w:left="-108" w:firstLine="600" w:firstLineChars="200"/>
        <w:rPr>
          <w:rFonts w:ascii="彩虹粗仿宋" w:eastAsia="彩虹粗仿宋"/>
          <w:kern w:val="0"/>
          <w:sz w:val="30"/>
          <w:szCs w:val="30"/>
        </w:rPr>
      </w:pPr>
      <w:r>
        <w:rPr>
          <w:rFonts w:hint="eastAsia" w:ascii="彩虹粗仿宋" w:eastAsia="彩虹粗仿宋"/>
          <w:kern w:val="0"/>
          <w:sz w:val="30"/>
          <w:szCs w:val="30"/>
        </w:rPr>
        <w:t>9.出租方保证对该房屋及占用范围内的土地使用权拥有合法的所有权、使用权和以出租方式进行处置的权利。</w:t>
      </w:r>
    </w:p>
    <w:p>
      <w:pPr>
        <w:widowControl/>
        <w:ind w:left="-108" w:firstLine="600" w:firstLineChars="200"/>
        <w:rPr>
          <w:rFonts w:ascii="彩虹粗仿宋" w:eastAsia="彩虹粗仿宋"/>
          <w:kern w:val="0"/>
          <w:sz w:val="30"/>
          <w:szCs w:val="30"/>
        </w:rPr>
      </w:pPr>
      <w:r>
        <w:rPr>
          <w:rFonts w:hint="eastAsia" w:ascii="彩虹粗仿宋" w:eastAsia="彩虹粗仿宋"/>
          <w:kern w:val="0"/>
          <w:sz w:val="30"/>
          <w:szCs w:val="30"/>
        </w:rPr>
        <w:t>10.出租方保证该房屋及占用范围内的土地使用权没有被依法采取查封等限制，不存在任何权属争议。</w:t>
      </w:r>
    </w:p>
    <w:p>
      <w:pPr>
        <w:adjustRightInd w:val="0"/>
        <w:snapToGrid w:val="0"/>
        <w:spacing w:line="560" w:lineRule="exact"/>
        <w:ind w:firstLine="640" w:firstLineChars="200"/>
        <w:rPr>
          <w:rFonts w:ascii="彩虹粗仿宋" w:hAnsi="宋体" w:eastAsia="彩虹粗仿宋" w:cs="Times New Roman"/>
          <w:snapToGrid w:val="0"/>
          <w:color w:val="FF0000"/>
          <w:kern w:val="0"/>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彩虹小标宋">
    <w:panose1 w:val="03000509000000000000"/>
    <w:charset w:val="86"/>
    <w:family w:val="script"/>
    <w:pitch w:val="default"/>
    <w:sig w:usb0="00000001" w:usb1="080E0000" w:usb2="00000000" w:usb3="00000000" w:csb0="00040000" w:csb1="00000000"/>
  </w:font>
  <w:font w:name="彩虹粗仿宋">
    <w:panose1 w:val="03000509000000000000"/>
    <w:charset w:val="86"/>
    <w:family w:val="script"/>
    <w:pitch w:val="default"/>
    <w:sig w:usb0="00000001" w:usb1="080E0000" w:usb2="00000000" w:usb3="00000000" w:csb0="00040000" w:csb1="00000000"/>
  </w:font>
  <w:font w:name="彩虹黑体">
    <w:panose1 w:val="03000509000000000000"/>
    <w:charset w:val="86"/>
    <w:family w:val="script"/>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revisionView w:markup="0"/>
  <w:documentProtection w:edit="readOnly" w:enforcement="0"/>
  <w:defaultTabStop w:val="420"/>
  <w:characterSpacingControl w:val="doNotCompress"/>
  <w:compat>
    <w:useFELayout/>
    <w:compatSetting w:name="compatibilityMode" w:uri="http://schemas.microsoft.com/office/word" w:val="12"/>
  </w:compat>
  <w:rsids>
    <w:rsidRoot w:val="007164B7"/>
    <w:rsid w:val="003033AD"/>
    <w:rsid w:val="004A1B1D"/>
    <w:rsid w:val="007164B7"/>
    <w:rsid w:val="00BB3692"/>
    <w:rsid w:val="00BD199D"/>
    <w:rsid w:val="00C93FC8"/>
    <w:rsid w:val="04877A9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unhideWhenUsed/>
    <w:uiPriority w:val="1"/>
  </w:style>
  <w:style w:type="table" w:default="1" w:styleId="2">
    <w:name w:val="Normal Table"/>
    <w:semiHidden/>
    <w:unhideWhenUsed/>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ccb</Company>
  <Pages>5</Pages>
  <Words>2122</Words>
  <Characters>2280</Characters>
  <Lines>121</Lines>
  <Paragraphs>51</Paragraphs>
  <TotalTime>4</TotalTime>
  <ScaleCrop>false</ScaleCrop>
  <LinksUpToDate>false</LinksUpToDate>
  <CharactersWithSpaces>2306</CharactersWithSpaces>
  <Application>WPS Office_12.8.2.15209_F1E327BC-269C-435d-A152-05C5408002CA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2023-01-29T07:22:00Z</dcterms:created>
  <dc:creator>Apache POI</dc:creator>
  <cp:lastModifiedBy>haccb</cp:lastModifiedBy>
  <dcterms:modified xsi:type="dcterms:W3CDTF">2024-05-21T00:47:38Z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2052-12.8.2.15209</vt:lpwstr>
  </property>
  <property fmtid="{D5CDD505-2E9C-101B-9397-08002B2CF9AE}" pid="3" name="ICV">
    <vt:lpwstr>339422A97F1E453D97AC294C50FE52B3_12</vt:lpwstr>
  </property>
</Properties>
</file>