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彩虹小标宋" w:hAnsi="宋体" w:eastAsia="彩虹小标宋"/>
          <w:bCs/>
          <w:snapToGrid w:val="0"/>
          <w:kern w:val="0"/>
          <w:sz w:val="36"/>
          <w:szCs w:val="36"/>
        </w:rPr>
      </w:pPr>
      <w:r>
        <w:rPr>
          <w:rFonts w:hint="eastAsia" w:ascii="彩虹小标宋" w:hAnsi="宋体" w:eastAsia="彩虹小标宋"/>
          <w:bCs/>
          <w:snapToGrid w:val="0"/>
          <w:kern w:val="0"/>
          <w:sz w:val="36"/>
          <w:szCs w:val="36"/>
        </w:rPr>
        <w:t>商户收单用扫码终端采购需求</w:t>
      </w:r>
    </w:p>
    <w:p>
      <w:pPr>
        <w:adjustRightInd w:val="0"/>
        <w:snapToGrid w:val="0"/>
        <w:spacing w:line="360" w:lineRule="auto"/>
        <w:ind w:firstLine="640" w:firstLineChars="200"/>
        <w:rPr>
          <w:rFonts w:ascii="彩虹粗仿宋" w:hAnsi="宋体" w:eastAsia="彩虹粗仿宋"/>
          <w:snapToGrid w:val="0"/>
          <w:kern w:val="0"/>
          <w:sz w:val="32"/>
          <w:szCs w:val="32"/>
        </w:rPr>
      </w:pPr>
    </w:p>
    <w:p>
      <w:pPr>
        <w:adjustRightInd w:val="0"/>
        <w:snapToGrid w:val="0"/>
        <w:spacing w:line="360" w:lineRule="auto"/>
        <w:ind w:firstLine="643" w:firstLineChars="200"/>
        <w:rPr>
          <w:rFonts w:ascii="彩虹粗仿宋" w:hAnsi="宋体" w:eastAsia="彩虹粗仿宋"/>
          <w:b/>
          <w:bCs/>
          <w:snapToGrid w:val="0"/>
          <w:kern w:val="0"/>
          <w:sz w:val="32"/>
          <w:szCs w:val="32"/>
        </w:rPr>
      </w:pPr>
      <w:r>
        <w:rPr>
          <w:rFonts w:hint="eastAsia" w:ascii="彩虹粗仿宋" w:hAnsi="宋体" w:eastAsia="彩虹粗仿宋"/>
          <w:b/>
          <w:bCs/>
          <w:snapToGrid w:val="0"/>
          <w:kern w:val="0"/>
          <w:sz w:val="32"/>
          <w:szCs w:val="32"/>
        </w:rPr>
        <w:t>一、投标人资格要求</w:t>
      </w:r>
    </w:p>
    <w:p>
      <w:pPr>
        <w:adjustRightInd w:val="0"/>
        <w:snapToGrid w:val="0"/>
        <w:spacing w:line="360" w:lineRule="auto"/>
        <w:ind w:firstLine="640" w:firstLineChars="200"/>
        <w:rPr>
          <w:rFonts w:hint="eastAsia" w:ascii="彩虹粗仿宋" w:hAnsi="Times New Roman" w:eastAsia="彩虹粗仿宋"/>
          <w:sz w:val="32"/>
          <w:szCs w:val="32"/>
        </w:rPr>
      </w:pPr>
      <w:r>
        <w:rPr>
          <w:rFonts w:hint="eastAsia" w:ascii="彩虹粗仿宋" w:hAnsi="Times New Roman" w:eastAsia="彩虹粗仿宋"/>
          <w:sz w:val="32"/>
          <w:szCs w:val="32"/>
        </w:rPr>
        <w:t>1.具有独立法人资格或民事主体资格，且公司成立时间在一年以上，并依法取得国家相关登记注册主管机关颁发的证照，证照均应在有效期内并经年检注册存续；</w:t>
      </w:r>
    </w:p>
    <w:p>
      <w:pPr>
        <w:adjustRightInd w:val="0"/>
        <w:snapToGrid w:val="0"/>
        <w:spacing w:line="360" w:lineRule="auto"/>
        <w:ind w:firstLine="640" w:firstLineChars="200"/>
        <w:rPr>
          <w:rFonts w:hint="eastAsia" w:ascii="彩虹粗仿宋" w:hAnsi="Times New Roman" w:eastAsia="彩虹粗仿宋"/>
          <w:sz w:val="32"/>
          <w:szCs w:val="32"/>
        </w:rPr>
      </w:pPr>
      <w:r>
        <w:rPr>
          <w:rFonts w:hint="eastAsia" w:ascii="彩虹粗仿宋" w:hAnsi="Times New Roman" w:eastAsia="彩虹粗仿宋"/>
          <w:sz w:val="32"/>
          <w:szCs w:val="32"/>
          <w:lang w:val="en-US" w:eastAsia="zh-CN"/>
        </w:rPr>
        <w:t>2.</w:t>
      </w:r>
      <w:r>
        <w:rPr>
          <w:rFonts w:hint="eastAsia" w:ascii="彩虹粗仿宋" w:hAnsi="Times New Roman" w:eastAsia="彩虹粗仿宋"/>
          <w:sz w:val="32"/>
          <w:szCs w:val="32"/>
        </w:rPr>
        <w:t>供应商具有独立承担民事责任的能力，遵守国家有关法律、法规，具有良好的商业信誉和健全的财务会计制度，供应商在资格审查时未处于建设银行浙江省分行供应商审慎选取、暂停合作、禁用或退出期内；</w:t>
      </w:r>
    </w:p>
    <w:p>
      <w:pPr>
        <w:adjustRightInd w:val="0"/>
        <w:snapToGrid w:val="0"/>
        <w:spacing w:line="360" w:lineRule="auto"/>
        <w:ind w:firstLine="640" w:firstLineChars="200"/>
        <w:rPr>
          <w:rFonts w:hint="eastAsia" w:ascii="彩虹粗仿宋" w:hAnsi="Times New Roman" w:eastAsia="彩虹粗仿宋"/>
          <w:sz w:val="32"/>
          <w:szCs w:val="32"/>
        </w:rPr>
      </w:pPr>
      <w:r>
        <w:rPr>
          <w:rFonts w:hint="eastAsia" w:ascii="彩虹粗仿宋" w:hAnsi="Times New Roman" w:eastAsia="彩虹粗仿宋"/>
          <w:sz w:val="32"/>
          <w:szCs w:val="32"/>
          <w:lang w:val="en-US" w:eastAsia="zh-CN"/>
        </w:rPr>
        <w:t>3.</w:t>
      </w:r>
      <w:r>
        <w:rPr>
          <w:rFonts w:hint="eastAsia" w:ascii="彩虹粗仿宋" w:hAnsi="Times New Roman" w:eastAsia="彩虹粗仿宋"/>
          <w:sz w:val="32"/>
          <w:szCs w:val="32"/>
        </w:rPr>
        <w:t>具有履行合同所必需的设备和专业技术能力；</w:t>
      </w:r>
    </w:p>
    <w:p>
      <w:pPr>
        <w:adjustRightInd w:val="0"/>
        <w:snapToGrid w:val="0"/>
        <w:spacing w:line="360" w:lineRule="auto"/>
        <w:ind w:firstLine="640" w:firstLineChars="200"/>
        <w:rPr>
          <w:rFonts w:hint="eastAsia" w:ascii="彩虹粗仿宋" w:hAnsi="Times New Roman" w:eastAsia="彩虹粗仿宋"/>
          <w:sz w:val="32"/>
          <w:szCs w:val="32"/>
        </w:rPr>
      </w:pPr>
      <w:r>
        <w:rPr>
          <w:rFonts w:hint="eastAsia" w:ascii="彩虹粗仿宋" w:hAnsi="Times New Roman" w:eastAsia="彩虹粗仿宋"/>
          <w:sz w:val="32"/>
          <w:szCs w:val="32"/>
          <w:lang w:val="en-US" w:eastAsia="zh-CN"/>
        </w:rPr>
        <w:t>4.</w:t>
      </w:r>
      <w:r>
        <w:rPr>
          <w:rFonts w:hint="eastAsia" w:ascii="彩虹粗仿宋" w:hAnsi="Times New Roman" w:eastAsia="彩虹粗仿宋"/>
          <w:sz w:val="32"/>
          <w:szCs w:val="32"/>
        </w:rPr>
        <w:t>有依法缴纳税收和社会保障资金的良好记录；</w:t>
      </w:r>
    </w:p>
    <w:p>
      <w:pPr>
        <w:adjustRightInd w:val="0"/>
        <w:snapToGrid w:val="0"/>
        <w:spacing w:line="360" w:lineRule="auto"/>
        <w:ind w:firstLine="640" w:firstLineChars="200"/>
        <w:rPr>
          <w:rFonts w:hint="eastAsia" w:ascii="彩虹粗仿宋" w:hAnsi="Times New Roman" w:eastAsia="彩虹粗仿宋"/>
          <w:sz w:val="32"/>
          <w:szCs w:val="32"/>
        </w:rPr>
      </w:pPr>
      <w:r>
        <w:rPr>
          <w:rFonts w:hint="eastAsia" w:ascii="彩虹粗仿宋" w:hAnsi="Times New Roman" w:eastAsia="彩虹粗仿宋"/>
          <w:sz w:val="32"/>
          <w:szCs w:val="32"/>
          <w:lang w:val="en-US" w:eastAsia="zh-CN"/>
        </w:rPr>
        <w:t>5.</w:t>
      </w:r>
      <w:r>
        <w:rPr>
          <w:rFonts w:hint="eastAsia" w:ascii="彩虹粗仿宋" w:hAnsi="Times New Roman" w:eastAsia="彩虹粗仿宋"/>
          <w:sz w:val="32"/>
          <w:szCs w:val="32"/>
        </w:rPr>
        <w:t xml:space="preserve">近三年内，在经营活动中没有重大违法记录；供应商当前未处于限制开展生产经营活动、责令停产停业、责令关闭、限制从业等重大行政处罚期内；未被“信用中国”网站列入税收违法黑名单；未被“中国执行信息公开网”列入失信被执行人名单；未被“中国政府采购网”列入政府采购严重违法失信行为记录名单；未被“国家企业信用信息公示系统”网站列入严重违法失信名单； </w:t>
      </w:r>
    </w:p>
    <w:p>
      <w:pPr>
        <w:adjustRightInd w:val="0"/>
        <w:snapToGrid w:val="0"/>
        <w:spacing w:line="360" w:lineRule="auto"/>
        <w:ind w:firstLine="640" w:firstLineChars="200"/>
        <w:rPr>
          <w:rFonts w:hint="eastAsia" w:ascii="彩虹粗仿宋" w:hAnsi="Times New Roman" w:eastAsia="彩虹粗仿宋"/>
          <w:sz w:val="32"/>
          <w:szCs w:val="32"/>
        </w:rPr>
      </w:pPr>
      <w:r>
        <w:rPr>
          <w:rFonts w:hint="eastAsia" w:ascii="彩虹粗仿宋" w:hAnsi="Times New Roman" w:eastAsia="彩虹粗仿宋"/>
          <w:sz w:val="32"/>
          <w:szCs w:val="32"/>
          <w:lang w:val="en-US" w:eastAsia="zh-CN"/>
        </w:rPr>
        <w:t>6.</w:t>
      </w:r>
      <w:r>
        <w:rPr>
          <w:rFonts w:hint="eastAsia" w:ascii="彩虹粗仿宋" w:hAnsi="Times New Roman" w:eastAsia="彩虹粗仿宋"/>
          <w:sz w:val="32"/>
          <w:szCs w:val="32"/>
        </w:rPr>
        <w:t>法定代表人（负责人）为同一人或存在控股、管理关系的不同申请人，不得同时参加本项目；供应商与建设银行不存在利益冲突，不存在损害建设银行合法利益和声誉的情形，不存在针对建设银行的重大诚信问题；法律、行政法规规定的其它条件。</w:t>
      </w:r>
    </w:p>
    <w:p>
      <w:pPr>
        <w:adjustRightInd w:val="0"/>
        <w:snapToGrid w:val="0"/>
        <w:spacing w:line="360" w:lineRule="auto"/>
        <w:ind w:firstLine="640" w:firstLineChars="200"/>
        <w:rPr>
          <w:rFonts w:hint="eastAsia" w:ascii="彩虹粗仿宋" w:hAnsi="Times New Roman" w:eastAsia="彩虹粗仿宋"/>
          <w:sz w:val="32"/>
          <w:szCs w:val="32"/>
        </w:rPr>
      </w:pPr>
      <w:r>
        <w:rPr>
          <w:rFonts w:hint="eastAsia" w:ascii="彩虹粗仿宋" w:hAnsi="Times New Roman" w:eastAsia="彩虹粗仿宋"/>
          <w:sz w:val="32"/>
          <w:szCs w:val="32"/>
          <w:lang w:val="en-US" w:eastAsia="zh-CN"/>
        </w:rPr>
        <w:t>7.</w:t>
      </w:r>
      <w:r>
        <w:rPr>
          <w:rFonts w:hint="eastAsia" w:ascii="彩虹粗仿宋" w:hAnsi="Times New Roman" w:eastAsia="彩虹粗仿宋"/>
          <w:sz w:val="32"/>
          <w:szCs w:val="32"/>
        </w:rPr>
        <w:t>供应商承诺在本项目采购过程中不存在下列情形，如存在下列情形之一，建设银行有权取消其候选资格。情形包括但不限于：</w:t>
      </w:r>
    </w:p>
    <w:p>
      <w:pPr>
        <w:adjustRightInd w:val="0"/>
        <w:snapToGrid w:val="0"/>
        <w:spacing w:line="360" w:lineRule="auto"/>
        <w:ind w:firstLine="640" w:firstLineChars="200"/>
        <w:rPr>
          <w:rFonts w:hint="eastAsia" w:ascii="彩虹粗仿宋" w:hAnsi="Times New Roman" w:eastAsia="彩虹粗仿宋"/>
          <w:sz w:val="32"/>
          <w:szCs w:val="32"/>
        </w:rPr>
      </w:pPr>
      <w:r>
        <w:rPr>
          <w:rFonts w:hint="eastAsia" w:ascii="彩虹粗仿宋" w:hAnsi="Times New Roman" w:eastAsia="彩虹粗仿宋"/>
          <w:sz w:val="32"/>
          <w:szCs w:val="32"/>
        </w:rPr>
        <w:t>（1）法定代表人（负责人）在生产经营活动中受到刑事处罚；</w:t>
      </w:r>
    </w:p>
    <w:p>
      <w:pPr>
        <w:adjustRightInd w:val="0"/>
        <w:snapToGrid w:val="0"/>
        <w:spacing w:line="360" w:lineRule="auto"/>
        <w:ind w:firstLine="640" w:firstLineChars="200"/>
        <w:rPr>
          <w:rFonts w:hint="eastAsia" w:ascii="彩虹粗仿宋" w:hAnsi="Times New Roman" w:eastAsia="彩虹粗仿宋"/>
          <w:sz w:val="32"/>
          <w:szCs w:val="32"/>
        </w:rPr>
      </w:pPr>
      <w:r>
        <w:rPr>
          <w:rFonts w:hint="eastAsia" w:ascii="彩虹粗仿宋" w:hAnsi="Times New Roman" w:eastAsia="彩虹粗仿宋"/>
          <w:sz w:val="32"/>
          <w:szCs w:val="32"/>
        </w:rPr>
        <w:t>（2）重大并购或重组，影响正常生产经营；</w:t>
      </w:r>
    </w:p>
    <w:p>
      <w:pPr>
        <w:adjustRightInd w:val="0"/>
        <w:snapToGrid w:val="0"/>
        <w:spacing w:line="360" w:lineRule="auto"/>
        <w:ind w:firstLine="640" w:firstLineChars="200"/>
        <w:rPr>
          <w:rFonts w:hint="eastAsia" w:ascii="彩虹粗仿宋" w:hAnsi="Times New Roman" w:eastAsia="彩虹粗仿宋"/>
          <w:sz w:val="32"/>
          <w:szCs w:val="32"/>
        </w:rPr>
      </w:pPr>
      <w:r>
        <w:rPr>
          <w:rFonts w:hint="eastAsia" w:ascii="彩虹粗仿宋" w:hAnsi="Times New Roman" w:eastAsia="彩虹粗仿宋"/>
          <w:sz w:val="32"/>
          <w:szCs w:val="32"/>
        </w:rPr>
        <w:t>（3）其他重大风险事项，影响正常采购合作。</w:t>
      </w:r>
    </w:p>
    <w:p>
      <w:pPr>
        <w:adjustRightInd w:val="0"/>
        <w:snapToGrid w:val="0"/>
        <w:spacing w:line="360" w:lineRule="auto"/>
        <w:ind w:firstLine="640" w:firstLineChars="200"/>
        <w:rPr>
          <w:rFonts w:hint="eastAsia" w:ascii="彩虹粗仿宋" w:hAnsi="Times New Roman" w:eastAsia="彩虹粗仿宋"/>
          <w:sz w:val="32"/>
          <w:szCs w:val="32"/>
        </w:rPr>
      </w:pPr>
      <w:r>
        <w:rPr>
          <w:rFonts w:hint="eastAsia" w:ascii="彩虹粗仿宋" w:hAnsi="Times New Roman" w:eastAsia="彩虹粗仿宋"/>
          <w:sz w:val="32"/>
          <w:szCs w:val="32"/>
          <w:lang w:val="en-US" w:eastAsia="zh-CN"/>
        </w:rPr>
        <w:t>8.</w:t>
      </w:r>
      <w:r>
        <w:rPr>
          <w:rFonts w:hint="eastAsia" w:ascii="彩虹粗仿宋" w:hAnsi="Times New Roman" w:eastAsia="彩虹粗仿宋"/>
          <w:sz w:val="32"/>
          <w:szCs w:val="32"/>
        </w:rPr>
        <w:t>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pPr>
        <w:adjustRightInd w:val="0"/>
        <w:snapToGrid w:val="0"/>
        <w:spacing w:line="360" w:lineRule="auto"/>
        <w:ind w:firstLine="640" w:firstLineChars="200"/>
        <w:rPr>
          <w:rFonts w:hint="eastAsia" w:ascii="彩虹粗仿宋" w:hAnsi="Times New Roman" w:eastAsia="彩虹粗仿宋"/>
          <w:sz w:val="32"/>
          <w:szCs w:val="32"/>
        </w:rPr>
      </w:pPr>
      <w:bookmarkStart w:id="0" w:name="_GoBack"/>
      <w:r>
        <w:rPr>
          <w:rFonts w:hint="eastAsia" w:ascii="彩虹粗仿宋" w:hAnsi="Times New Roman" w:eastAsia="彩虹粗仿宋"/>
          <w:sz w:val="32"/>
          <w:szCs w:val="32"/>
          <w:lang w:val="en-US" w:eastAsia="zh-CN"/>
        </w:rPr>
        <w:t>9</w:t>
      </w:r>
      <w:r>
        <w:rPr>
          <w:rFonts w:hint="eastAsia" w:ascii="彩虹粗仿宋" w:hAnsi="Times New Roman" w:eastAsia="彩虹粗仿宋"/>
          <w:sz w:val="32"/>
          <w:szCs w:val="32"/>
        </w:rPr>
        <w:t>.本次招标不接受联合体投标。</w:t>
      </w:r>
    </w:p>
    <w:p>
      <w:pPr>
        <w:adjustRightInd w:val="0"/>
        <w:snapToGrid w:val="0"/>
        <w:spacing w:line="360" w:lineRule="auto"/>
        <w:ind w:firstLine="640" w:firstLineChars="200"/>
        <w:rPr>
          <w:rFonts w:hint="eastAsia" w:ascii="彩虹粗仿宋" w:hAnsi="Times New Roman" w:eastAsia="彩虹粗仿宋"/>
          <w:sz w:val="32"/>
          <w:szCs w:val="32"/>
        </w:rPr>
      </w:pPr>
      <w:r>
        <w:rPr>
          <w:rFonts w:hint="eastAsia" w:ascii="彩虹粗仿宋" w:hAnsi="Times New Roman" w:eastAsia="彩虹粗仿宋"/>
          <w:sz w:val="32"/>
          <w:szCs w:val="32"/>
          <w:lang w:val="en-US" w:eastAsia="zh-CN"/>
        </w:rPr>
        <w:t>10</w:t>
      </w:r>
      <w:r>
        <w:rPr>
          <w:rFonts w:hint="eastAsia" w:ascii="彩虹粗仿宋" w:hAnsi="Times New Roman" w:eastAsia="彩虹粗仿宋"/>
          <w:sz w:val="32"/>
          <w:szCs w:val="32"/>
        </w:rPr>
        <w:t>.候选供应商需提交专利无侵权承诺，即供应商承诺产品知识产权方面没有法律风险，自有专利或获得专利方授权。</w:t>
      </w:r>
    </w:p>
    <w:p>
      <w:pPr>
        <w:adjustRightInd w:val="0"/>
        <w:snapToGrid w:val="0"/>
        <w:spacing w:line="360" w:lineRule="auto"/>
        <w:ind w:firstLine="640" w:firstLineChars="200"/>
        <w:rPr>
          <w:rFonts w:hint="eastAsia" w:ascii="彩虹粗仿宋" w:hAnsi="Times New Roman" w:eastAsia="彩虹粗仿宋"/>
          <w:sz w:val="32"/>
          <w:szCs w:val="32"/>
        </w:rPr>
      </w:pPr>
      <w:r>
        <w:rPr>
          <w:rFonts w:hint="eastAsia" w:ascii="彩虹粗仿宋" w:hAnsi="Times New Roman" w:eastAsia="彩虹粗仿宋"/>
          <w:sz w:val="32"/>
          <w:szCs w:val="32"/>
          <w:lang w:val="en-US" w:eastAsia="zh-CN"/>
        </w:rPr>
        <w:t>11</w:t>
      </w:r>
      <w:r>
        <w:rPr>
          <w:rFonts w:hint="eastAsia" w:ascii="彩虹粗仿宋" w:hAnsi="Times New Roman" w:eastAsia="彩虹粗仿宋"/>
          <w:sz w:val="32"/>
          <w:szCs w:val="32"/>
        </w:rPr>
        <w:t>.候选供应商应具备扫码终端研发能力。要求候选供应商出具扫码终端研发能力的承诺函。承诺函包含以下内容：（1）候选供应商具备扫码终端研发能力；（2）候选供应商投标所用产品为其自主研发生产的，若发现弄虚作假则直接取消中标资格并纳入建行龙集采黑名单。（3）提供的硬件设备需已经完成与建总行收单系统和建行生活智慧食堂系统对接，具备批量直接供货使用条件。</w:t>
      </w:r>
    </w:p>
    <w:p>
      <w:pPr>
        <w:adjustRightInd w:val="0"/>
        <w:snapToGrid w:val="0"/>
        <w:spacing w:line="360" w:lineRule="auto"/>
        <w:ind w:firstLine="640" w:firstLineChars="200"/>
        <w:rPr>
          <w:rFonts w:ascii="彩虹粗仿宋" w:hAnsi="Times New Roman" w:eastAsia="彩虹粗仿宋"/>
          <w:sz w:val="32"/>
          <w:szCs w:val="32"/>
        </w:rPr>
      </w:pPr>
      <w:r>
        <w:rPr>
          <w:rFonts w:hint="eastAsia" w:ascii="彩虹粗仿宋" w:hAnsi="Times New Roman" w:eastAsia="彩虹粗仿宋"/>
          <w:sz w:val="32"/>
          <w:szCs w:val="32"/>
          <w:lang w:val="en-US" w:eastAsia="zh-CN"/>
        </w:rPr>
        <w:t>12</w:t>
      </w:r>
      <w:r>
        <w:rPr>
          <w:rFonts w:hint="eastAsia" w:ascii="彩虹粗仿宋" w:hAnsi="Times New Roman" w:eastAsia="彩虹粗仿宋"/>
          <w:sz w:val="32"/>
          <w:szCs w:val="32"/>
        </w:rPr>
        <w:t>.供应商提供近两年内与本项目相关的案例合同。</w:t>
      </w:r>
    </w:p>
    <w:bookmarkEnd w:id="0"/>
    <w:p>
      <w:pPr>
        <w:adjustRightInd w:val="0"/>
        <w:snapToGrid w:val="0"/>
        <w:spacing w:line="360" w:lineRule="auto"/>
        <w:ind w:firstLine="643" w:firstLineChars="200"/>
        <w:rPr>
          <w:rFonts w:ascii="彩虹粗仿宋" w:hAnsi="宋体" w:eastAsia="彩虹粗仿宋"/>
          <w:b/>
          <w:bCs/>
          <w:snapToGrid w:val="0"/>
          <w:kern w:val="0"/>
          <w:sz w:val="32"/>
          <w:szCs w:val="32"/>
        </w:rPr>
      </w:pPr>
      <w:r>
        <w:rPr>
          <w:rFonts w:hint="eastAsia" w:ascii="彩虹粗仿宋" w:hAnsi="宋体" w:eastAsia="彩虹粗仿宋"/>
          <w:b/>
          <w:bCs/>
          <w:snapToGrid w:val="0"/>
          <w:kern w:val="0"/>
          <w:sz w:val="32"/>
          <w:szCs w:val="32"/>
        </w:rPr>
        <w:t>二、采购需求</w:t>
      </w:r>
    </w:p>
    <w:p>
      <w:pPr>
        <w:adjustRightInd w:val="0"/>
        <w:snapToGrid w:val="0"/>
        <w:spacing w:line="360" w:lineRule="auto"/>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1.采购内容</w:t>
      </w:r>
    </w:p>
    <w:p>
      <w:pPr>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本次采购产品为用于服务商户客户的扫码盒子（被扫4G）设备。采购产品应具备功能全面的功能特征、稳定的性能、可靠的安全性。产品应能满足我行商户收款时提供语音播报交易内容的功能，并具备根据我行的使用需求做进一步定制开发其他商户赋能的能力。</w:t>
      </w:r>
    </w:p>
    <w:p>
      <w:pPr>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采购产品供应商应提供成熟完整的解决方案，供应商需具备自主生产、研发能力，其产品应在国内市场具备一定的占有率。</w:t>
      </w:r>
    </w:p>
    <w:p>
      <w:pPr>
        <w:adjustRightInd w:val="0"/>
        <w:snapToGrid w:val="0"/>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下文中未做“选配”备注的条款为强制性条款，是采购方对技术规格及服务的最低要求，供应商必须满足。如有一条不能满足，则视为不能实质上满足采购文件要求。</w:t>
      </w:r>
    </w:p>
    <w:p>
      <w:pPr>
        <w:spacing w:line="560" w:lineRule="exact"/>
        <w:ind w:firstLine="643" w:firstLineChars="200"/>
        <w:rPr>
          <w:rFonts w:ascii="Times New Roman" w:hAnsi="Times New Roman" w:eastAsia="彩虹粗仿宋" w:cs="Times New Roman"/>
          <w:b/>
          <w:bCs/>
          <w:sz w:val="32"/>
          <w:szCs w:val="24"/>
        </w:rPr>
      </w:pPr>
      <w:r>
        <w:rPr>
          <w:rFonts w:hint="eastAsia" w:ascii="Times New Roman" w:hAnsi="Times New Roman" w:eastAsia="彩虹粗仿宋" w:cs="Times New Roman"/>
          <w:b/>
          <w:bCs/>
          <w:sz w:val="32"/>
          <w:szCs w:val="24"/>
        </w:rPr>
        <w:t>（一）整体性要求</w:t>
      </w:r>
    </w:p>
    <w:tbl>
      <w:tblPr>
        <w:tblStyle w:val="3"/>
        <w:tblW w:w="8520" w:type="dxa"/>
        <w:tblInd w:w="0" w:type="dxa"/>
        <w:tblLayout w:type="fixed"/>
        <w:tblCellMar>
          <w:top w:w="0" w:type="dxa"/>
          <w:left w:w="0" w:type="dxa"/>
          <w:bottom w:w="0" w:type="dxa"/>
          <w:right w:w="0" w:type="dxa"/>
        </w:tblCellMar>
      </w:tblPr>
      <w:tblGrid>
        <w:gridCol w:w="1008"/>
        <w:gridCol w:w="2213"/>
        <w:gridCol w:w="5299"/>
      </w:tblGrid>
      <w:tr>
        <w:tblPrEx>
          <w:tblCellMar>
            <w:top w:w="0" w:type="dxa"/>
            <w:left w:w="0" w:type="dxa"/>
            <w:bottom w:w="0" w:type="dxa"/>
            <w:right w:w="0" w:type="dxa"/>
          </w:tblCellMar>
        </w:tblPrEx>
        <w:trPr>
          <w:trHeight w:val="270" w:hRule="atLeast"/>
        </w:trPr>
        <w:tc>
          <w:tcPr>
            <w:tcW w:w="10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snapToGrid w:val="0"/>
              <w:spacing w:line="360" w:lineRule="auto"/>
              <w:jc w:val="center"/>
              <w:textAlignment w:val="top"/>
              <w:rPr>
                <w:rFonts w:ascii="彩虹粗仿宋" w:hAnsi="宋体" w:eastAsia="彩虹粗仿宋" w:cs="宋体"/>
                <w:b/>
                <w:color w:val="000000"/>
                <w:sz w:val="28"/>
                <w:szCs w:val="28"/>
              </w:rPr>
            </w:pPr>
            <w:r>
              <w:rPr>
                <w:rFonts w:hint="eastAsia" w:ascii="彩虹粗仿宋" w:hAnsi="宋体" w:eastAsia="彩虹粗仿宋" w:cs="宋体"/>
                <w:b/>
                <w:color w:val="000000"/>
                <w:sz w:val="28"/>
                <w:szCs w:val="28"/>
                <w:lang w:bidi="ar"/>
              </w:rPr>
              <w:t>指标分类</w:t>
            </w: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snapToGrid w:val="0"/>
              <w:spacing w:line="360" w:lineRule="auto"/>
              <w:jc w:val="center"/>
              <w:textAlignment w:val="top"/>
              <w:rPr>
                <w:rFonts w:ascii="彩虹粗仿宋" w:hAnsi="宋体" w:eastAsia="彩虹粗仿宋" w:cs="宋体"/>
                <w:b/>
                <w:color w:val="000000"/>
                <w:sz w:val="28"/>
                <w:szCs w:val="28"/>
              </w:rPr>
            </w:pPr>
            <w:r>
              <w:rPr>
                <w:rFonts w:hint="eastAsia" w:ascii="彩虹粗仿宋" w:hAnsi="宋体" w:eastAsia="彩虹粗仿宋" w:cs="宋体"/>
                <w:b/>
                <w:color w:val="000000"/>
                <w:sz w:val="28"/>
                <w:szCs w:val="28"/>
                <w:lang w:bidi="ar"/>
              </w:rPr>
              <w:t>细项</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snapToGrid w:val="0"/>
              <w:spacing w:line="360" w:lineRule="auto"/>
              <w:jc w:val="center"/>
              <w:textAlignment w:val="top"/>
              <w:rPr>
                <w:rFonts w:ascii="彩虹粗仿宋" w:hAnsi="宋体" w:eastAsia="彩虹粗仿宋" w:cs="宋体"/>
                <w:b/>
                <w:color w:val="000000"/>
                <w:sz w:val="28"/>
                <w:szCs w:val="28"/>
              </w:rPr>
            </w:pPr>
            <w:r>
              <w:rPr>
                <w:rFonts w:hint="eastAsia" w:ascii="彩虹粗仿宋" w:hAnsi="宋体" w:eastAsia="彩虹粗仿宋" w:cs="宋体"/>
                <w:b/>
                <w:color w:val="000000"/>
                <w:sz w:val="28"/>
                <w:szCs w:val="28"/>
                <w:lang w:bidi="ar"/>
              </w:rPr>
              <w:t>指标说明</w:t>
            </w:r>
          </w:p>
        </w:tc>
      </w:tr>
      <w:tr>
        <w:tblPrEx>
          <w:tblCellMar>
            <w:top w:w="0" w:type="dxa"/>
            <w:left w:w="0" w:type="dxa"/>
            <w:bottom w:w="0" w:type="dxa"/>
            <w:right w:w="0" w:type="dxa"/>
          </w:tblCellMar>
        </w:tblPrEx>
        <w:trPr>
          <w:trHeight w:val="270" w:hRule="atLeast"/>
        </w:trPr>
        <w:tc>
          <w:tcPr>
            <w:tcW w:w="1008"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tcPr>
          <w:p>
            <w:pPr>
              <w:widowControl/>
              <w:snapToGrid w:val="0"/>
              <w:spacing w:line="360" w:lineRule="auto"/>
              <w:jc w:val="center"/>
              <w:textAlignment w:val="top"/>
              <w:rPr>
                <w:rFonts w:ascii="彩虹粗仿宋" w:hAnsi="宋体" w:eastAsia="彩虹粗仿宋" w:cs="宋体"/>
                <w:b/>
                <w:color w:val="000000"/>
                <w:sz w:val="28"/>
                <w:szCs w:val="28"/>
                <w:lang w:bidi="ar"/>
              </w:rPr>
            </w:pPr>
          </w:p>
          <w:p>
            <w:pPr>
              <w:widowControl/>
              <w:snapToGrid w:val="0"/>
              <w:spacing w:line="360" w:lineRule="auto"/>
              <w:jc w:val="center"/>
              <w:textAlignment w:val="top"/>
              <w:rPr>
                <w:rFonts w:ascii="彩虹粗仿宋" w:hAnsi="宋体" w:eastAsia="彩虹粗仿宋" w:cs="宋体"/>
                <w:b/>
                <w:color w:val="000000"/>
                <w:sz w:val="28"/>
                <w:szCs w:val="28"/>
                <w:lang w:bidi="ar"/>
              </w:rPr>
            </w:pPr>
          </w:p>
          <w:p>
            <w:pPr>
              <w:widowControl/>
              <w:snapToGrid w:val="0"/>
              <w:spacing w:line="360" w:lineRule="auto"/>
              <w:jc w:val="center"/>
              <w:textAlignment w:val="top"/>
              <w:rPr>
                <w:rFonts w:ascii="彩虹粗仿宋" w:hAnsi="宋体" w:eastAsia="彩虹粗仿宋" w:cs="宋体"/>
                <w:b/>
                <w:color w:val="000000"/>
                <w:sz w:val="28"/>
                <w:szCs w:val="28"/>
                <w:lang w:bidi="ar"/>
              </w:rPr>
            </w:pPr>
          </w:p>
          <w:p>
            <w:pPr>
              <w:widowControl/>
              <w:snapToGrid w:val="0"/>
              <w:spacing w:line="360" w:lineRule="auto"/>
              <w:jc w:val="center"/>
              <w:textAlignment w:val="top"/>
              <w:rPr>
                <w:rFonts w:ascii="彩虹粗仿宋" w:hAnsi="宋体" w:eastAsia="彩虹粗仿宋" w:cs="宋体"/>
                <w:b/>
                <w:color w:val="000000"/>
                <w:sz w:val="28"/>
                <w:szCs w:val="28"/>
                <w:lang w:bidi="ar"/>
              </w:rPr>
            </w:pPr>
          </w:p>
          <w:p>
            <w:pPr>
              <w:widowControl/>
              <w:snapToGrid w:val="0"/>
              <w:spacing w:line="360" w:lineRule="auto"/>
              <w:jc w:val="center"/>
              <w:textAlignment w:val="top"/>
              <w:rPr>
                <w:rFonts w:ascii="彩虹粗仿宋" w:hAnsi="宋体" w:eastAsia="彩虹粗仿宋" w:cs="宋体"/>
                <w:b/>
                <w:color w:val="000000"/>
                <w:sz w:val="28"/>
                <w:szCs w:val="28"/>
                <w:lang w:bidi="ar"/>
              </w:rPr>
            </w:pPr>
          </w:p>
          <w:p>
            <w:pPr>
              <w:widowControl/>
              <w:snapToGrid w:val="0"/>
              <w:spacing w:line="360" w:lineRule="auto"/>
              <w:jc w:val="center"/>
              <w:textAlignment w:val="top"/>
              <w:rPr>
                <w:rFonts w:ascii="彩虹粗仿宋" w:hAnsi="宋体" w:eastAsia="彩虹粗仿宋" w:cs="宋体"/>
                <w:b/>
                <w:color w:val="000000"/>
                <w:sz w:val="28"/>
                <w:szCs w:val="28"/>
                <w:lang w:bidi="ar"/>
              </w:rPr>
            </w:pPr>
          </w:p>
          <w:p>
            <w:pPr>
              <w:widowControl/>
              <w:snapToGrid w:val="0"/>
              <w:spacing w:line="360" w:lineRule="auto"/>
              <w:jc w:val="center"/>
              <w:textAlignment w:val="top"/>
              <w:rPr>
                <w:rFonts w:ascii="彩虹粗仿宋" w:hAnsi="宋体" w:eastAsia="彩虹粗仿宋" w:cs="宋体"/>
                <w:b/>
                <w:color w:val="000000"/>
                <w:sz w:val="28"/>
                <w:szCs w:val="28"/>
                <w:lang w:bidi="ar"/>
              </w:rPr>
            </w:pPr>
          </w:p>
          <w:p>
            <w:pPr>
              <w:widowControl/>
              <w:snapToGrid w:val="0"/>
              <w:spacing w:line="360" w:lineRule="auto"/>
              <w:jc w:val="center"/>
              <w:textAlignment w:val="top"/>
              <w:rPr>
                <w:rFonts w:ascii="彩虹粗仿宋" w:hAnsi="宋体" w:eastAsia="彩虹粗仿宋" w:cs="宋体"/>
                <w:b/>
                <w:color w:val="000000"/>
                <w:sz w:val="28"/>
                <w:szCs w:val="28"/>
                <w:lang w:bidi="ar"/>
              </w:rPr>
            </w:pPr>
          </w:p>
          <w:p>
            <w:pPr>
              <w:widowControl/>
              <w:snapToGrid w:val="0"/>
              <w:spacing w:line="360" w:lineRule="auto"/>
              <w:jc w:val="center"/>
              <w:textAlignment w:val="top"/>
              <w:rPr>
                <w:rFonts w:ascii="彩虹粗仿宋" w:hAnsi="宋体" w:eastAsia="彩虹粗仿宋" w:cs="宋体"/>
                <w:b/>
                <w:color w:val="000000"/>
                <w:sz w:val="28"/>
                <w:szCs w:val="28"/>
                <w:lang w:bidi="ar"/>
              </w:rPr>
            </w:pPr>
          </w:p>
          <w:p>
            <w:pPr>
              <w:widowControl/>
              <w:snapToGrid w:val="0"/>
              <w:spacing w:line="360" w:lineRule="auto"/>
              <w:jc w:val="center"/>
              <w:textAlignment w:val="top"/>
              <w:rPr>
                <w:rFonts w:ascii="彩虹粗仿宋" w:hAnsi="宋体" w:eastAsia="彩虹粗仿宋" w:cs="宋体"/>
                <w:b/>
                <w:color w:val="000000"/>
                <w:sz w:val="28"/>
                <w:szCs w:val="28"/>
              </w:rPr>
            </w:pPr>
            <w:r>
              <w:rPr>
                <w:rFonts w:hint="eastAsia" w:ascii="彩虹粗仿宋" w:hAnsi="宋体" w:eastAsia="彩虹粗仿宋" w:cs="宋体"/>
                <w:b/>
                <w:color w:val="000000"/>
                <w:sz w:val="28"/>
                <w:szCs w:val="28"/>
                <w:lang w:bidi="ar"/>
              </w:rPr>
              <w:t>整体要求</w:t>
            </w: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Times New Roman" w:eastAsia="彩虹粗仿宋" w:cs="Times New Roman"/>
                <w:color w:val="000000"/>
                <w:sz w:val="28"/>
                <w:szCs w:val="28"/>
              </w:rPr>
            </w:pPr>
            <w:r>
              <w:rPr>
                <w:rFonts w:hint="eastAsia" w:ascii="彩虹粗仿宋" w:hAnsi="宋体" w:eastAsia="彩虹粗仿宋" w:cs="Times New Roman"/>
                <w:sz w:val="28"/>
                <w:szCs w:val="28"/>
              </w:rPr>
              <w:t>CPU</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rPr>
            </w:pPr>
            <w:r>
              <w:rPr>
                <w:rFonts w:hint="eastAsia" w:ascii="彩虹粗仿宋" w:hAnsi="宋体" w:eastAsia="彩虹粗仿宋" w:cs="Times New Roman"/>
                <w:sz w:val="28"/>
                <w:szCs w:val="28"/>
              </w:rPr>
              <w:t>32位CPU或以上。</w:t>
            </w:r>
          </w:p>
        </w:tc>
      </w:tr>
      <w:tr>
        <w:tblPrEx>
          <w:tblCellMar>
            <w:top w:w="0" w:type="dxa"/>
            <w:left w:w="0" w:type="dxa"/>
            <w:bottom w:w="0" w:type="dxa"/>
            <w:right w:w="0" w:type="dxa"/>
          </w:tblCellMar>
        </w:tblPrEx>
        <w:trPr>
          <w:trHeight w:val="27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jc w:val="left"/>
              <w:textAlignment w:val="top"/>
              <w:rPr>
                <w:rFonts w:ascii="彩虹粗仿宋" w:hAnsi="宋体" w:eastAsia="彩虹粗仿宋" w:cs="宋体"/>
                <w:color w:val="000000"/>
                <w:sz w:val="28"/>
                <w:szCs w:val="28"/>
              </w:rPr>
            </w:pPr>
            <w:r>
              <w:rPr>
                <w:rFonts w:hint="eastAsia" w:ascii="彩虹粗仿宋" w:hAnsi="宋体" w:eastAsia="彩虹粗仿宋" w:cs="Times New Roman"/>
                <w:sz w:val="28"/>
                <w:szCs w:val="28"/>
              </w:rPr>
              <w:t>内存</w:t>
            </w:r>
          </w:p>
          <w:p>
            <w:pPr>
              <w:widowControl/>
              <w:snapToGrid w:val="0"/>
              <w:spacing w:line="360" w:lineRule="auto"/>
              <w:jc w:val="left"/>
              <w:textAlignment w:val="top"/>
              <w:rPr>
                <w:rFonts w:ascii="彩虹粗仿宋" w:hAnsi="宋体" w:eastAsia="彩虹粗仿宋" w:cs="宋体"/>
                <w:color w:val="000000"/>
                <w:sz w:val="28"/>
                <w:szCs w:val="28"/>
              </w:rPr>
            </w:pPr>
            <w:r>
              <w:rPr>
                <w:rFonts w:hint="eastAsia" w:ascii="彩虹粗仿宋" w:hAnsi="宋体" w:eastAsia="彩虹粗仿宋" w:cs="Times New Roman"/>
                <w:sz w:val="28"/>
                <w:szCs w:val="28"/>
              </w:rPr>
              <w:t>通信模块</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rPr>
            </w:pPr>
            <w:r>
              <w:rPr>
                <w:rFonts w:hint="eastAsia" w:ascii="彩虹粗仿宋" w:hAnsi="宋体" w:eastAsia="彩虹粗仿宋" w:cs="Times New Roman"/>
                <w:sz w:val="28"/>
                <w:szCs w:val="28"/>
              </w:rPr>
              <w:t>8M或以上RAM，20M或以上FLASH。</w:t>
            </w:r>
          </w:p>
        </w:tc>
      </w:tr>
      <w:tr>
        <w:tblPrEx>
          <w:tblCellMar>
            <w:top w:w="0" w:type="dxa"/>
            <w:left w:w="0" w:type="dxa"/>
            <w:bottom w:w="0" w:type="dxa"/>
            <w:right w:w="0" w:type="dxa"/>
          </w:tblCellMar>
        </w:tblPrEx>
        <w:trPr>
          <w:trHeight w:val="27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val="0"/>
              <w:spacing w:line="360" w:lineRule="auto"/>
              <w:jc w:val="left"/>
              <w:rPr>
                <w:rFonts w:ascii="彩虹粗仿宋" w:hAnsi="宋体" w:eastAsia="彩虹粗仿宋" w:cs="宋体"/>
                <w:color w:val="000000"/>
                <w:sz w:val="28"/>
                <w:szCs w:val="28"/>
              </w:rPr>
            </w:pP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rPr>
            </w:pPr>
            <w:r>
              <w:rPr>
                <w:rFonts w:hint="eastAsia" w:ascii="彩虹粗仿宋" w:hAnsi="宋体" w:eastAsia="彩虹粗仿宋" w:cs="Times New Roman"/>
                <w:sz w:val="28"/>
                <w:szCs w:val="28"/>
              </w:rPr>
              <w:t>具备独立稳定通讯模块：4G（全网通）+WiFi（支持2.4GHz，IEEE802.11b/g/n）。</w:t>
            </w:r>
          </w:p>
        </w:tc>
      </w:tr>
      <w:tr>
        <w:tblPrEx>
          <w:tblCellMar>
            <w:top w:w="0" w:type="dxa"/>
            <w:left w:w="0" w:type="dxa"/>
            <w:bottom w:w="0" w:type="dxa"/>
            <w:right w:w="0" w:type="dxa"/>
          </w:tblCellMar>
        </w:tblPrEx>
        <w:trPr>
          <w:trHeight w:val="51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snapToGrid w:val="0"/>
              <w:spacing w:line="360" w:lineRule="auto"/>
              <w:jc w:val="left"/>
              <w:textAlignment w:val="top"/>
              <w:rPr>
                <w:rFonts w:ascii="彩虹粗仿宋" w:hAnsi="宋体" w:eastAsia="彩虹粗仿宋" w:cs="宋体"/>
                <w:color w:val="000000"/>
                <w:sz w:val="28"/>
                <w:szCs w:val="28"/>
              </w:rPr>
            </w:pPr>
            <w:r>
              <w:rPr>
                <w:rFonts w:hint="eastAsia" w:ascii="彩虹粗仿宋" w:hAnsi="宋体" w:eastAsia="彩虹粗仿宋" w:cs="Times New Roman"/>
                <w:sz w:val="28"/>
                <w:szCs w:val="28"/>
              </w:rPr>
              <w:t>数字键盘</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rPr>
            </w:pPr>
            <w:r>
              <w:rPr>
                <w:rFonts w:hint="eastAsia" w:ascii="彩虹粗仿宋" w:hAnsi="宋体" w:eastAsia="彩虹粗仿宋" w:cs="Times New Roman"/>
                <w:sz w:val="28"/>
                <w:szCs w:val="28"/>
              </w:rPr>
              <w:t>标配（一体机）。</w:t>
            </w:r>
          </w:p>
        </w:tc>
      </w:tr>
      <w:tr>
        <w:tblPrEx>
          <w:tblCellMar>
            <w:top w:w="0" w:type="dxa"/>
            <w:left w:w="0" w:type="dxa"/>
            <w:bottom w:w="0" w:type="dxa"/>
            <w:right w:w="0" w:type="dxa"/>
          </w:tblCellMar>
        </w:tblPrEx>
        <w:trPr>
          <w:trHeight w:val="27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rPr>
            </w:pPr>
            <w:r>
              <w:rPr>
                <w:rFonts w:hint="eastAsia" w:ascii="彩虹粗仿宋" w:hAnsi="宋体" w:eastAsia="彩虹粗仿宋" w:cs="Times New Roman"/>
                <w:sz w:val="28"/>
                <w:szCs w:val="28"/>
              </w:rPr>
              <w:t>屏幕</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rPr>
                <w:rFonts w:ascii="彩虹粗仿宋" w:hAnsi="宋体" w:eastAsia="彩虹粗仿宋" w:cs="Times New Roman"/>
                <w:kern w:val="0"/>
                <w:sz w:val="28"/>
                <w:szCs w:val="28"/>
              </w:rPr>
            </w:pPr>
            <w:r>
              <w:rPr>
                <w:rFonts w:hint="eastAsia" w:ascii="彩虹粗仿宋" w:hAnsi="宋体" w:eastAsia="彩虹粗仿宋" w:cs="Times New Roman"/>
                <w:kern w:val="0"/>
                <w:sz w:val="28"/>
                <w:szCs w:val="28"/>
              </w:rPr>
              <w:t>彩屏，显示尺寸2.4寸及以上，</w:t>
            </w:r>
          </w:p>
          <w:p>
            <w:pPr>
              <w:widowControl/>
              <w:snapToGrid w:val="0"/>
              <w:spacing w:line="360" w:lineRule="auto"/>
              <w:textAlignment w:val="top"/>
              <w:rPr>
                <w:rFonts w:ascii="彩虹粗仿宋" w:hAnsi="宋体" w:eastAsia="彩虹粗仿宋" w:cs="宋体"/>
                <w:color w:val="000000"/>
                <w:sz w:val="28"/>
                <w:szCs w:val="28"/>
              </w:rPr>
            </w:pPr>
            <w:r>
              <w:rPr>
                <w:rFonts w:hint="eastAsia" w:ascii="彩虹粗仿宋" w:hAnsi="宋体" w:eastAsia="彩虹粗仿宋" w:cs="Times New Roman"/>
                <w:sz w:val="28"/>
                <w:szCs w:val="28"/>
              </w:rPr>
              <w:t>分辨率320*240及以上 。</w:t>
            </w:r>
          </w:p>
        </w:tc>
      </w:tr>
      <w:tr>
        <w:tblPrEx>
          <w:tblCellMar>
            <w:top w:w="0" w:type="dxa"/>
            <w:left w:w="0" w:type="dxa"/>
            <w:bottom w:w="0" w:type="dxa"/>
            <w:right w:w="0" w:type="dxa"/>
          </w:tblCellMar>
        </w:tblPrEx>
        <w:trPr>
          <w:trHeight w:val="27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rPr>
            </w:pPr>
            <w:r>
              <w:rPr>
                <w:rFonts w:hint="eastAsia" w:ascii="彩虹粗仿宋" w:hAnsi="宋体" w:eastAsia="彩虹粗仿宋" w:cs="Times New Roman"/>
                <w:sz w:val="28"/>
                <w:szCs w:val="28"/>
              </w:rPr>
              <w:t>语音播报</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rPr>
            </w:pPr>
            <w:r>
              <w:rPr>
                <w:rFonts w:hint="eastAsia" w:ascii="彩虹粗仿宋" w:hAnsi="宋体" w:eastAsia="彩虹粗仿宋" w:cs="Times New Roman"/>
                <w:sz w:val="28"/>
                <w:szCs w:val="28"/>
              </w:rPr>
              <w:t>支持wave文件播报、支持TTS。</w:t>
            </w:r>
          </w:p>
        </w:tc>
      </w:tr>
      <w:tr>
        <w:tblPrEx>
          <w:tblCellMar>
            <w:top w:w="0" w:type="dxa"/>
            <w:left w:w="0" w:type="dxa"/>
            <w:bottom w:w="0" w:type="dxa"/>
            <w:right w:w="0" w:type="dxa"/>
          </w:tblCellMar>
        </w:tblPrEx>
        <w:trPr>
          <w:trHeight w:val="27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rPr>
            </w:pPr>
            <w:r>
              <w:rPr>
                <w:rFonts w:hint="eastAsia" w:ascii="彩虹粗仿宋" w:hAnsi="宋体" w:eastAsia="彩虹粗仿宋" w:cs="Times New Roman"/>
                <w:sz w:val="28"/>
                <w:szCs w:val="28"/>
              </w:rPr>
              <w:t>物理接口</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rPr>
            </w:pPr>
            <w:r>
              <w:rPr>
                <w:rFonts w:hint="eastAsia" w:ascii="彩虹粗仿宋" w:hAnsi="宋体" w:eastAsia="彩虹粗仿宋" w:cs="Times New Roman"/>
                <w:sz w:val="28"/>
                <w:szCs w:val="28"/>
              </w:rPr>
              <w:t>至少1个USB（标准或mini\micro\typec）或1个RS232接口,并禁止非法接入。</w:t>
            </w:r>
          </w:p>
        </w:tc>
      </w:tr>
      <w:tr>
        <w:tblPrEx>
          <w:tblCellMar>
            <w:top w:w="0" w:type="dxa"/>
            <w:left w:w="0" w:type="dxa"/>
            <w:bottom w:w="0" w:type="dxa"/>
            <w:right w:w="0" w:type="dxa"/>
          </w:tblCellMar>
        </w:tblPrEx>
        <w:trPr>
          <w:trHeight w:val="27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Times New Roman"/>
                <w:sz w:val="28"/>
                <w:szCs w:val="28"/>
              </w:rPr>
              <w:t>电源</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Times New Roman"/>
                <w:sz w:val="28"/>
                <w:szCs w:val="28"/>
              </w:rPr>
              <w:t>具备电源插口及电源适配器，支持AC 110-240V 50HZ。</w:t>
            </w:r>
          </w:p>
        </w:tc>
      </w:tr>
      <w:tr>
        <w:tblPrEx>
          <w:tblCellMar>
            <w:top w:w="0" w:type="dxa"/>
            <w:left w:w="0" w:type="dxa"/>
            <w:bottom w:w="0" w:type="dxa"/>
            <w:right w:w="0" w:type="dxa"/>
          </w:tblCellMar>
        </w:tblPrEx>
        <w:trPr>
          <w:trHeight w:val="51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rPr>
            </w:pPr>
            <w:r>
              <w:rPr>
                <w:rFonts w:hint="eastAsia" w:ascii="彩虹粗仿宋" w:hAnsi="宋体" w:eastAsia="彩虹粗仿宋" w:cs="Times New Roman"/>
                <w:sz w:val="28"/>
                <w:szCs w:val="28"/>
              </w:rPr>
              <w:t>电池</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黑体" w:cs="宋体"/>
                <w:color w:val="000000"/>
                <w:sz w:val="28"/>
                <w:szCs w:val="28"/>
              </w:rPr>
            </w:pPr>
            <w:r>
              <w:rPr>
                <w:rFonts w:hint="eastAsia" w:ascii="彩虹黑体" w:hAnsi="宋体" w:eastAsia="彩虹黑体" w:cs="Times New Roman"/>
                <w:snapToGrid w:val="0"/>
                <w:kern w:val="0"/>
                <w:sz w:val="28"/>
                <w:szCs w:val="28"/>
              </w:rPr>
              <w:t>可充电锂电池, 不低于2000mAh。</w:t>
            </w:r>
          </w:p>
        </w:tc>
      </w:tr>
      <w:tr>
        <w:tblPrEx>
          <w:tblCellMar>
            <w:top w:w="0" w:type="dxa"/>
            <w:left w:w="0" w:type="dxa"/>
            <w:bottom w:w="0" w:type="dxa"/>
            <w:right w:w="0" w:type="dxa"/>
          </w:tblCellMar>
        </w:tblPrEx>
        <w:trPr>
          <w:trHeight w:val="51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Times New Roman"/>
                <w:sz w:val="28"/>
                <w:szCs w:val="28"/>
              </w:rPr>
            </w:pPr>
            <w:r>
              <w:rPr>
                <w:rFonts w:hint="eastAsia" w:ascii="彩虹粗仿宋" w:hAnsi="宋体" w:eastAsia="彩虹粗仿宋" w:cs="Times New Roman"/>
                <w:sz w:val="28"/>
                <w:szCs w:val="28"/>
              </w:rPr>
              <w:t>流量卡（SIM）</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Times New Roman"/>
                <w:sz w:val="28"/>
                <w:szCs w:val="28"/>
              </w:rPr>
            </w:pPr>
            <w:r>
              <w:rPr>
                <w:rFonts w:hint="eastAsia" w:ascii="彩虹粗仿宋" w:hAnsi="宋体" w:eastAsia="彩虹粗仿宋" w:cs="Times New Roman"/>
                <w:sz w:val="28"/>
                <w:szCs w:val="28"/>
              </w:rPr>
              <w:t>配置100M以上流量SIM卡（有效期3年）</w:t>
            </w:r>
          </w:p>
        </w:tc>
      </w:tr>
      <w:tr>
        <w:tblPrEx>
          <w:tblCellMar>
            <w:top w:w="0" w:type="dxa"/>
            <w:left w:w="0" w:type="dxa"/>
            <w:bottom w:w="0" w:type="dxa"/>
            <w:right w:w="0" w:type="dxa"/>
          </w:tblCellMar>
        </w:tblPrEx>
        <w:trPr>
          <w:trHeight w:val="51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rPr>
            </w:pPr>
            <w:r>
              <w:rPr>
                <w:rFonts w:hint="eastAsia" w:ascii="彩虹粗仿宋" w:hAnsi="宋体" w:eastAsia="彩虹粗仿宋" w:cs="Times New Roman"/>
                <w:sz w:val="28"/>
                <w:szCs w:val="28"/>
              </w:rPr>
              <w:t>摄像头</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rPr>
            </w:pPr>
            <w:r>
              <w:rPr>
                <w:rFonts w:hint="eastAsia" w:ascii="彩虹粗仿宋" w:hAnsi="宋体" w:eastAsia="彩虹粗仿宋" w:cs="Times New Roman"/>
                <w:sz w:val="28"/>
                <w:szCs w:val="28"/>
              </w:rPr>
              <w:t>30万像素或以上，支持条形码、二维码扫描。</w:t>
            </w:r>
          </w:p>
        </w:tc>
      </w:tr>
      <w:tr>
        <w:tblPrEx>
          <w:tblCellMar>
            <w:top w:w="0" w:type="dxa"/>
            <w:left w:w="0" w:type="dxa"/>
            <w:bottom w:w="0" w:type="dxa"/>
            <w:right w:w="0" w:type="dxa"/>
          </w:tblCellMar>
        </w:tblPrEx>
        <w:trPr>
          <w:trHeight w:val="51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Times New Roman"/>
                <w:sz w:val="28"/>
                <w:szCs w:val="28"/>
              </w:rPr>
              <w:t>定位模块</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Times New Roman"/>
                <w:sz w:val="28"/>
                <w:szCs w:val="28"/>
              </w:rPr>
              <w:t>基站、WIFI定位。</w:t>
            </w:r>
          </w:p>
        </w:tc>
      </w:tr>
      <w:tr>
        <w:tblPrEx>
          <w:tblCellMar>
            <w:top w:w="0" w:type="dxa"/>
            <w:left w:w="0" w:type="dxa"/>
            <w:bottom w:w="0" w:type="dxa"/>
            <w:right w:w="0" w:type="dxa"/>
          </w:tblCellMar>
        </w:tblPrEx>
        <w:trPr>
          <w:trHeight w:val="51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Times New Roman"/>
                <w:sz w:val="28"/>
                <w:szCs w:val="28"/>
              </w:rPr>
              <w:t>打印机</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彩虹粗仿宋"/>
                <w:sz w:val="28"/>
                <w:szCs w:val="28"/>
              </w:rPr>
              <w:t>可支持外接打印机等配件。（选配）</w:t>
            </w:r>
          </w:p>
        </w:tc>
      </w:tr>
      <w:tr>
        <w:tblPrEx>
          <w:tblCellMar>
            <w:top w:w="0" w:type="dxa"/>
            <w:left w:w="0" w:type="dxa"/>
            <w:bottom w:w="0" w:type="dxa"/>
            <w:right w:w="0" w:type="dxa"/>
          </w:tblCellMar>
        </w:tblPrEx>
        <w:trPr>
          <w:trHeight w:val="51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sz w:val="28"/>
                <w:szCs w:val="28"/>
              </w:rPr>
              <w:t>设备编号规范</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sz w:val="28"/>
                <w:szCs w:val="28"/>
              </w:rPr>
              <w:t>支持机身印刻符合管理规范的唯一性设备编号。</w:t>
            </w:r>
          </w:p>
        </w:tc>
      </w:tr>
      <w:tr>
        <w:tblPrEx>
          <w:tblCellMar>
            <w:top w:w="0" w:type="dxa"/>
            <w:left w:w="0" w:type="dxa"/>
            <w:bottom w:w="0" w:type="dxa"/>
            <w:right w:w="0" w:type="dxa"/>
          </w:tblCellMar>
        </w:tblPrEx>
        <w:trPr>
          <w:trHeight w:val="51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sz w:val="28"/>
                <w:szCs w:val="28"/>
              </w:rPr>
              <w:t>终端标识印制</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sz w:val="28"/>
                <w:szCs w:val="28"/>
              </w:rPr>
              <w:t>支持机具外壳印制中国建设银行指定的标识和机身颜色，并在机身标示建行设备号、设备型号。</w:t>
            </w:r>
          </w:p>
        </w:tc>
      </w:tr>
      <w:tr>
        <w:tblPrEx>
          <w:tblCellMar>
            <w:top w:w="0" w:type="dxa"/>
            <w:left w:w="0" w:type="dxa"/>
            <w:bottom w:w="0" w:type="dxa"/>
            <w:right w:w="0" w:type="dxa"/>
          </w:tblCellMar>
        </w:tblPrEx>
        <w:trPr>
          <w:trHeight w:val="51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sz w:val="28"/>
                <w:szCs w:val="28"/>
              </w:rPr>
              <w:t>终端设备工作环境</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sz w:val="28"/>
                <w:szCs w:val="28"/>
              </w:rPr>
              <w:t>温度0℃-50℃；湿度10%-90% 无凝结。</w:t>
            </w:r>
          </w:p>
        </w:tc>
      </w:tr>
      <w:tr>
        <w:tblPrEx>
          <w:tblCellMar>
            <w:top w:w="0" w:type="dxa"/>
            <w:left w:w="0" w:type="dxa"/>
            <w:bottom w:w="0" w:type="dxa"/>
            <w:right w:w="0" w:type="dxa"/>
          </w:tblCellMar>
        </w:tblPrEx>
        <w:trPr>
          <w:trHeight w:val="51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sz w:val="28"/>
                <w:szCs w:val="28"/>
              </w:rPr>
              <w:t>扫码速度</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sz w:val="28"/>
                <w:szCs w:val="28"/>
              </w:rPr>
              <w:t>对焦时间不高于2s，静态解码速度不高于120ms。</w:t>
            </w:r>
          </w:p>
        </w:tc>
      </w:tr>
      <w:tr>
        <w:tblPrEx>
          <w:tblCellMar>
            <w:top w:w="0" w:type="dxa"/>
            <w:left w:w="0" w:type="dxa"/>
            <w:bottom w:w="0" w:type="dxa"/>
            <w:right w:w="0" w:type="dxa"/>
          </w:tblCellMar>
        </w:tblPrEx>
        <w:trPr>
          <w:trHeight w:val="51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sz w:val="28"/>
                <w:szCs w:val="28"/>
              </w:rPr>
              <w:t>扫码距离范围</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jc w:val="left"/>
              <w:rPr>
                <w:rFonts w:ascii="彩虹粗仿宋" w:hAnsi="宋体" w:eastAsia="彩虹粗仿宋" w:cs="宋体"/>
                <w:kern w:val="0"/>
                <w:sz w:val="28"/>
                <w:szCs w:val="28"/>
              </w:rPr>
            </w:pPr>
            <w:r>
              <w:rPr>
                <w:rFonts w:hint="eastAsia" w:ascii="彩虹粗仿宋" w:hAnsi="宋体" w:eastAsia="彩虹粗仿宋" w:cs="宋体"/>
                <w:kern w:val="0"/>
                <w:sz w:val="28"/>
                <w:szCs w:val="28"/>
              </w:rPr>
              <w:t>静态一维码，不低于：0-160mm;</w:t>
            </w:r>
          </w:p>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sz w:val="28"/>
                <w:szCs w:val="28"/>
              </w:rPr>
              <w:t>静态二维码，不低于：0-280mm。</w:t>
            </w:r>
          </w:p>
        </w:tc>
      </w:tr>
      <w:tr>
        <w:tblPrEx>
          <w:tblCellMar>
            <w:top w:w="0" w:type="dxa"/>
            <w:left w:w="0" w:type="dxa"/>
            <w:bottom w:w="0" w:type="dxa"/>
            <w:right w:w="0" w:type="dxa"/>
          </w:tblCellMar>
        </w:tblPrEx>
        <w:trPr>
          <w:trHeight w:val="51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sz w:val="28"/>
                <w:szCs w:val="28"/>
              </w:rPr>
              <w:t>扫码角度范围</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jc w:val="left"/>
              <w:rPr>
                <w:rFonts w:ascii="彩虹粗仿宋" w:hAnsi="宋体" w:eastAsia="彩虹粗仿宋" w:cs="宋体"/>
                <w:kern w:val="0"/>
                <w:sz w:val="28"/>
                <w:szCs w:val="28"/>
              </w:rPr>
            </w:pPr>
            <w:r>
              <w:rPr>
                <w:rFonts w:hint="eastAsia" w:ascii="彩虹粗仿宋" w:hAnsi="宋体" w:eastAsia="彩虹粗仿宋" w:cs="宋体"/>
                <w:kern w:val="0"/>
                <w:sz w:val="28"/>
                <w:szCs w:val="28"/>
              </w:rPr>
              <w:t>一维码倾角±50°和仰角±60°；</w:t>
            </w:r>
          </w:p>
          <w:p>
            <w:pPr>
              <w:adjustRightInd w:val="0"/>
              <w:snapToGrid w:val="0"/>
              <w:spacing w:line="360" w:lineRule="auto"/>
              <w:rPr>
                <w:rFonts w:ascii="彩虹粗仿宋" w:hAnsi="宋体" w:eastAsia="彩虹粗仿宋" w:cs="宋体"/>
                <w:sz w:val="28"/>
                <w:szCs w:val="28"/>
              </w:rPr>
            </w:pPr>
            <w:r>
              <w:rPr>
                <w:rFonts w:hint="eastAsia" w:ascii="彩虹粗仿宋" w:hAnsi="宋体" w:eastAsia="彩虹粗仿宋" w:cs="宋体"/>
                <w:sz w:val="28"/>
                <w:szCs w:val="28"/>
              </w:rPr>
              <w:t>二维码倾角±60°和仰角±60°：</w:t>
            </w:r>
          </w:p>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sz w:val="28"/>
                <w:szCs w:val="28"/>
              </w:rPr>
              <w:t>支持旋转识别。</w:t>
            </w:r>
          </w:p>
        </w:tc>
      </w:tr>
      <w:tr>
        <w:tblPrEx>
          <w:tblCellMar>
            <w:top w:w="0" w:type="dxa"/>
            <w:left w:w="0" w:type="dxa"/>
            <w:bottom w:w="0" w:type="dxa"/>
            <w:right w:w="0" w:type="dxa"/>
          </w:tblCellMar>
        </w:tblPrEx>
        <w:trPr>
          <w:trHeight w:val="51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sz w:val="28"/>
                <w:szCs w:val="28"/>
              </w:rPr>
              <w:t>交易处理速度</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sz w:val="28"/>
                <w:szCs w:val="28"/>
              </w:rPr>
              <w:t>每笔交易处理速度：不高于3秒/笔。</w:t>
            </w:r>
          </w:p>
        </w:tc>
      </w:tr>
      <w:tr>
        <w:tblPrEx>
          <w:tblCellMar>
            <w:top w:w="0" w:type="dxa"/>
            <w:left w:w="0" w:type="dxa"/>
            <w:bottom w:w="0" w:type="dxa"/>
            <w:right w:w="0" w:type="dxa"/>
          </w:tblCellMar>
        </w:tblPrEx>
        <w:trPr>
          <w:trHeight w:val="51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color w:val="000000"/>
                <w:sz w:val="28"/>
                <w:szCs w:val="28"/>
              </w:rPr>
              <w:t>用户界面</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color w:val="000000"/>
                <w:sz w:val="28"/>
                <w:szCs w:val="28"/>
              </w:rPr>
              <w:t>用户界面简洁美观，功能清晰</w:t>
            </w:r>
          </w:p>
        </w:tc>
      </w:tr>
      <w:tr>
        <w:tblPrEx>
          <w:tblCellMar>
            <w:top w:w="0" w:type="dxa"/>
            <w:left w:w="0" w:type="dxa"/>
            <w:bottom w:w="0" w:type="dxa"/>
            <w:right w:w="0" w:type="dxa"/>
          </w:tblCellMar>
        </w:tblPrEx>
        <w:trPr>
          <w:trHeight w:val="51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color w:val="000000"/>
                <w:sz w:val="28"/>
                <w:szCs w:val="28"/>
              </w:rPr>
              <w:t>操作手册</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color w:val="000000"/>
                <w:sz w:val="28"/>
                <w:szCs w:val="28"/>
              </w:rPr>
              <w:t>操作手册覆盖全面，说明清晰；可提供电子档操作手册（支持快速检索）供我行在移动平台发布。</w:t>
            </w:r>
          </w:p>
        </w:tc>
      </w:tr>
      <w:tr>
        <w:tblPrEx>
          <w:tblCellMar>
            <w:top w:w="0" w:type="dxa"/>
            <w:left w:w="0" w:type="dxa"/>
            <w:bottom w:w="0" w:type="dxa"/>
            <w:right w:w="0" w:type="dxa"/>
          </w:tblCellMar>
        </w:tblPrEx>
        <w:trPr>
          <w:trHeight w:val="51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color w:val="000000"/>
                <w:sz w:val="28"/>
                <w:szCs w:val="28"/>
              </w:rPr>
              <w:t>开发支持</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color w:val="000000"/>
                <w:sz w:val="28"/>
                <w:szCs w:val="28"/>
              </w:rPr>
              <w:t>承诺</w:t>
            </w:r>
            <w:r>
              <w:rPr>
                <w:rFonts w:hint="eastAsia" w:ascii="彩虹粗仿宋" w:hAnsi="宋体" w:eastAsia="彩虹粗仿宋" w:cs="彩虹粗仿宋"/>
                <w:color w:val="000000"/>
                <w:sz w:val="28"/>
                <w:szCs w:val="28"/>
              </w:rPr>
              <w:t>在建行银行提供的平台下，负责本厂商产品的实时客服、运维及迭代优化支持。</w:t>
            </w:r>
          </w:p>
        </w:tc>
      </w:tr>
      <w:tr>
        <w:tblPrEx>
          <w:tblCellMar>
            <w:top w:w="0" w:type="dxa"/>
            <w:left w:w="0" w:type="dxa"/>
            <w:bottom w:w="0" w:type="dxa"/>
            <w:right w:w="0" w:type="dxa"/>
          </w:tblCellMar>
        </w:tblPrEx>
        <w:trPr>
          <w:trHeight w:val="51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color w:val="000000"/>
                <w:sz w:val="28"/>
                <w:szCs w:val="28"/>
              </w:rPr>
              <w:t>用户界面</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color w:val="000000"/>
                <w:sz w:val="28"/>
                <w:szCs w:val="28"/>
              </w:rPr>
              <w:t>用户界面简洁美观，功能清晰</w:t>
            </w:r>
          </w:p>
        </w:tc>
      </w:tr>
      <w:tr>
        <w:tblPrEx>
          <w:tblCellMar>
            <w:top w:w="0" w:type="dxa"/>
            <w:left w:w="0" w:type="dxa"/>
            <w:bottom w:w="0" w:type="dxa"/>
            <w:right w:w="0" w:type="dxa"/>
          </w:tblCellMar>
        </w:tblPrEx>
        <w:trPr>
          <w:trHeight w:val="51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color w:val="000000"/>
                <w:sz w:val="28"/>
                <w:szCs w:val="28"/>
              </w:rPr>
              <w:t>操作手册</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color w:val="000000"/>
                <w:sz w:val="28"/>
                <w:szCs w:val="28"/>
              </w:rPr>
              <w:t>操作手册覆盖全面，说明清晰；可提供电子档操作手册（支持快速检索）供我行在移动平台发布。</w:t>
            </w:r>
          </w:p>
        </w:tc>
      </w:tr>
      <w:tr>
        <w:tblPrEx>
          <w:tblCellMar>
            <w:top w:w="0" w:type="dxa"/>
            <w:left w:w="0" w:type="dxa"/>
            <w:bottom w:w="0" w:type="dxa"/>
            <w:right w:w="0" w:type="dxa"/>
          </w:tblCellMar>
        </w:tblPrEx>
        <w:trPr>
          <w:trHeight w:val="51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color w:val="000000"/>
                <w:sz w:val="28"/>
                <w:szCs w:val="28"/>
              </w:rPr>
              <w:t>开发支持</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color w:val="000000"/>
                <w:sz w:val="28"/>
                <w:szCs w:val="28"/>
              </w:rPr>
              <w:t>承诺</w:t>
            </w:r>
            <w:r>
              <w:rPr>
                <w:rFonts w:hint="eastAsia" w:ascii="彩虹粗仿宋" w:hAnsi="宋体" w:eastAsia="彩虹粗仿宋" w:cs="彩虹粗仿宋"/>
                <w:color w:val="000000"/>
                <w:sz w:val="28"/>
                <w:szCs w:val="28"/>
              </w:rPr>
              <w:t>在建行银行提供的平台下，负责本厂商产品的实时客服、运维及迭代优化支持。</w:t>
            </w:r>
          </w:p>
        </w:tc>
      </w:tr>
      <w:tr>
        <w:tblPrEx>
          <w:tblCellMar>
            <w:top w:w="0" w:type="dxa"/>
            <w:left w:w="0" w:type="dxa"/>
            <w:bottom w:w="0" w:type="dxa"/>
            <w:right w:w="0" w:type="dxa"/>
          </w:tblCellMar>
        </w:tblPrEx>
        <w:trPr>
          <w:trHeight w:val="51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sz w:val="28"/>
                <w:szCs w:val="28"/>
              </w:rPr>
              <w:t>扫码速度</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sz w:val="28"/>
                <w:szCs w:val="28"/>
              </w:rPr>
              <w:t>静态扫码（一维\二维）速度不高于120ms。</w:t>
            </w:r>
          </w:p>
        </w:tc>
      </w:tr>
      <w:tr>
        <w:tblPrEx>
          <w:tblCellMar>
            <w:top w:w="0" w:type="dxa"/>
            <w:left w:w="0" w:type="dxa"/>
            <w:bottom w:w="0" w:type="dxa"/>
            <w:right w:w="0" w:type="dxa"/>
          </w:tblCellMar>
        </w:tblPrEx>
        <w:trPr>
          <w:trHeight w:val="510" w:hRule="atLeast"/>
        </w:trPr>
        <w:tc>
          <w:tcPr>
            <w:tcW w:w="1008" w:type="dxa"/>
            <w:vMerge w:val="continue"/>
            <w:tcBorders>
              <w:left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sz w:val="28"/>
                <w:szCs w:val="28"/>
              </w:rPr>
              <w:t>扫码距离范围</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jc w:val="left"/>
              <w:rPr>
                <w:rFonts w:ascii="彩虹粗仿宋" w:hAnsi="宋体" w:eastAsia="彩虹粗仿宋" w:cs="宋体"/>
                <w:kern w:val="0"/>
                <w:sz w:val="28"/>
                <w:szCs w:val="28"/>
              </w:rPr>
            </w:pPr>
            <w:r>
              <w:rPr>
                <w:rFonts w:hint="eastAsia" w:ascii="彩虹粗仿宋" w:hAnsi="宋体" w:eastAsia="彩虹粗仿宋" w:cs="宋体"/>
                <w:kern w:val="0"/>
                <w:sz w:val="28"/>
                <w:szCs w:val="28"/>
              </w:rPr>
              <w:t>静态一维码，不低于：0-160mm;</w:t>
            </w:r>
          </w:p>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sz w:val="28"/>
                <w:szCs w:val="28"/>
              </w:rPr>
              <w:t>静态二维码，不低于：0-280mm。</w:t>
            </w:r>
          </w:p>
        </w:tc>
      </w:tr>
      <w:tr>
        <w:tblPrEx>
          <w:tblCellMar>
            <w:top w:w="0" w:type="dxa"/>
            <w:left w:w="0" w:type="dxa"/>
            <w:bottom w:w="0" w:type="dxa"/>
            <w:right w:w="0" w:type="dxa"/>
          </w:tblCellMar>
        </w:tblPrEx>
        <w:trPr>
          <w:trHeight w:val="510" w:hRule="atLeast"/>
        </w:trPr>
        <w:tc>
          <w:tcPr>
            <w:tcW w:w="1008"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sz w:val="28"/>
                <w:szCs w:val="28"/>
              </w:rPr>
              <w:t>交易处理速度</w:t>
            </w:r>
          </w:p>
        </w:tc>
        <w:tc>
          <w:tcPr>
            <w:tcW w:w="52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lang w:bidi="ar"/>
              </w:rPr>
            </w:pPr>
            <w:r>
              <w:rPr>
                <w:rFonts w:hint="eastAsia" w:ascii="彩虹粗仿宋" w:hAnsi="宋体" w:eastAsia="彩虹粗仿宋" w:cs="宋体"/>
                <w:sz w:val="28"/>
                <w:szCs w:val="28"/>
              </w:rPr>
              <w:t>每笔交易处理速度：底线不高于5秒/笔。</w:t>
            </w:r>
          </w:p>
        </w:tc>
      </w:tr>
    </w:tbl>
    <w:p>
      <w:pPr>
        <w:spacing w:line="360" w:lineRule="auto"/>
        <w:ind w:firstLine="643" w:firstLineChars="200"/>
        <w:outlineLvl w:val="2"/>
        <w:rPr>
          <w:rFonts w:ascii="Times New Roman" w:hAnsi="Times New Roman" w:eastAsia="彩虹粗仿宋" w:cs="Times New Roman"/>
          <w:b/>
          <w:bCs/>
          <w:sz w:val="32"/>
          <w:szCs w:val="24"/>
        </w:rPr>
      </w:pPr>
      <w:r>
        <w:rPr>
          <w:rFonts w:hint="eastAsia" w:ascii="Times New Roman" w:hAnsi="Times New Roman" w:eastAsia="彩虹粗仿宋" w:cs="Times New Roman"/>
          <w:b/>
          <w:bCs/>
          <w:sz w:val="32"/>
          <w:szCs w:val="24"/>
        </w:rPr>
        <w:t>（二）功能性要求</w:t>
      </w:r>
    </w:p>
    <w:tbl>
      <w:tblPr>
        <w:tblStyle w:val="3"/>
        <w:tblW w:w="8379" w:type="dxa"/>
        <w:tblInd w:w="0" w:type="dxa"/>
        <w:tblLayout w:type="fixed"/>
        <w:tblCellMar>
          <w:top w:w="0" w:type="dxa"/>
          <w:left w:w="0" w:type="dxa"/>
          <w:bottom w:w="0" w:type="dxa"/>
          <w:right w:w="0" w:type="dxa"/>
        </w:tblCellMar>
      </w:tblPr>
      <w:tblGrid>
        <w:gridCol w:w="869"/>
        <w:gridCol w:w="2352"/>
        <w:gridCol w:w="5158"/>
      </w:tblGrid>
      <w:tr>
        <w:tblPrEx>
          <w:tblCellMar>
            <w:top w:w="0" w:type="dxa"/>
            <w:left w:w="0" w:type="dxa"/>
            <w:bottom w:w="0" w:type="dxa"/>
            <w:right w:w="0" w:type="dxa"/>
          </w:tblCellMar>
        </w:tblPrEx>
        <w:trPr>
          <w:trHeight w:val="270" w:hRule="atLeast"/>
        </w:trPr>
        <w:tc>
          <w:tcPr>
            <w:tcW w:w="8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snapToGrid w:val="0"/>
              <w:spacing w:line="360" w:lineRule="auto"/>
              <w:textAlignment w:val="top"/>
              <w:rPr>
                <w:rFonts w:ascii="彩虹粗仿宋" w:hAnsi="宋体" w:eastAsia="彩虹粗仿宋" w:cs="宋体"/>
                <w:b/>
                <w:color w:val="000000"/>
                <w:sz w:val="28"/>
                <w:szCs w:val="28"/>
              </w:rPr>
            </w:pPr>
            <w:r>
              <w:rPr>
                <w:rFonts w:hint="eastAsia" w:ascii="彩虹粗仿宋" w:hAnsi="宋体" w:eastAsia="彩虹粗仿宋" w:cs="宋体"/>
                <w:b/>
                <w:color w:val="000000"/>
                <w:sz w:val="28"/>
                <w:szCs w:val="28"/>
                <w:lang w:bidi="ar"/>
              </w:rPr>
              <w:t>指标分类</w:t>
            </w: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snapToGrid w:val="0"/>
              <w:spacing w:line="360" w:lineRule="auto"/>
              <w:textAlignment w:val="top"/>
              <w:rPr>
                <w:rFonts w:ascii="彩虹粗仿宋" w:hAnsi="宋体" w:eastAsia="彩虹粗仿宋" w:cs="宋体"/>
                <w:b/>
                <w:color w:val="000000"/>
                <w:sz w:val="28"/>
                <w:szCs w:val="28"/>
              </w:rPr>
            </w:pPr>
            <w:r>
              <w:rPr>
                <w:rFonts w:hint="eastAsia" w:ascii="彩虹粗仿宋" w:hAnsi="宋体" w:eastAsia="彩虹粗仿宋" w:cs="宋体"/>
                <w:b/>
                <w:color w:val="000000"/>
                <w:sz w:val="28"/>
                <w:szCs w:val="28"/>
                <w:lang w:bidi="ar"/>
              </w:rPr>
              <w:t>细项</w:t>
            </w:r>
          </w:p>
        </w:tc>
        <w:tc>
          <w:tcPr>
            <w:tcW w:w="51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snapToGrid w:val="0"/>
              <w:spacing w:line="360" w:lineRule="auto"/>
              <w:textAlignment w:val="top"/>
              <w:rPr>
                <w:rFonts w:ascii="彩虹粗仿宋" w:hAnsi="宋体" w:eastAsia="彩虹粗仿宋" w:cs="宋体"/>
                <w:b/>
                <w:color w:val="000000"/>
                <w:sz w:val="28"/>
                <w:szCs w:val="28"/>
              </w:rPr>
            </w:pPr>
            <w:r>
              <w:rPr>
                <w:rFonts w:hint="eastAsia" w:ascii="彩虹粗仿宋" w:hAnsi="宋体" w:eastAsia="彩虹粗仿宋" w:cs="宋体"/>
                <w:b/>
                <w:color w:val="000000"/>
                <w:sz w:val="28"/>
                <w:szCs w:val="28"/>
                <w:lang w:bidi="ar"/>
              </w:rPr>
              <w:t>指标说明</w:t>
            </w:r>
          </w:p>
        </w:tc>
      </w:tr>
      <w:tr>
        <w:tblPrEx>
          <w:tblCellMar>
            <w:top w:w="0" w:type="dxa"/>
            <w:left w:w="0" w:type="dxa"/>
            <w:bottom w:w="0" w:type="dxa"/>
            <w:right w:w="0" w:type="dxa"/>
          </w:tblCellMar>
        </w:tblPrEx>
        <w:trPr>
          <w:trHeight w:val="270" w:hRule="atLeast"/>
        </w:trPr>
        <w:tc>
          <w:tcPr>
            <w:tcW w:w="86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snapToGrid w:val="0"/>
              <w:spacing w:line="360" w:lineRule="auto"/>
              <w:textAlignment w:val="top"/>
              <w:rPr>
                <w:rFonts w:ascii="彩虹粗仿宋" w:hAnsi="宋体" w:eastAsia="彩虹粗仿宋" w:cs="宋体"/>
                <w:b/>
                <w:color w:val="000000"/>
                <w:sz w:val="28"/>
                <w:szCs w:val="28"/>
                <w:lang w:bidi="ar"/>
              </w:rPr>
            </w:pPr>
          </w:p>
          <w:p>
            <w:pPr>
              <w:widowControl/>
              <w:snapToGrid w:val="0"/>
              <w:spacing w:line="360" w:lineRule="auto"/>
              <w:textAlignment w:val="top"/>
              <w:rPr>
                <w:rFonts w:ascii="彩虹粗仿宋" w:hAnsi="宋体" w:eastAsia="彩虹粗仿宋" w:cs="宋体"/>
                <w:b/>
                <w:color w:val="000000"/>
                <w:sz w:val="28"/>
                <w:szCs w:val="28"/>
                <w:lang w:bidi="ar"/>
              </w:rPr>
            </w:pPr>
          </w:p>
          <w:p>
            <w:pPr>
              <w:widowControl/>
              <w:snapToGrid w:val="0"/>
              <w:spacing w:line="360" w:lineRule="auto"/>
              <w:textAlignment w:val="top"/>
              <w:rPr>
                <w:rFonts w:ascii="彩虹粗仿宋" w:hAnsi="宋体" w:eastAsia="彩虹粗仿宋" w:cs="宋体"/>
                <w:b/>
                <w:color w:val="000000"/>
                <w:sz w:val="28"/>
                <w:szCs w:val="28"/>
                <w:lang w:bidi="ar"/>
              </w:rPr>
            </w:pPr>
          </w:p>
          <w:p>
            <w:pPr>
              <w:widowControl/>
              <w:snapToGrid w:val="0"/>
              <w:spacing w:line="360" w:lineRule="auto"/>
              <w:textAlignment w:val="top"/>
              <w:rPr>
                <w:rFonts w:ascii="彩虹粗仿宋" w:hAnsi="宋体" w:eastAsia="彩虹粗仿宋" w:cs="宋体"/>
                <w:b/>
                <w:color w:val="000000"/>
                <w:sz w:val="28"/>
                <w:szCs w:val="28"/>
              </w:rPr>
            </w:pPr>
            <w:r>
              <w:rPr>
                <w:rFonts w:hint="eastAsia" w:ascii="彩虹粗仿宋" w:hAnsi="宋体" w:eastAsia="彩虹粗仿宋" w:cs="宋体"/>
                <w:b/>
                <w:color w:val="000000"/>
                <w:sz w:val="28"/>
                <w:szCs w:val="28"/>
                <w:lang w:bidi="ar"/>
              </w:rPr>
              <w:t>功能性要求</w:t>
            </w:r>
          </w:p>
        </w:tc>
        <w:tc>
          <w:tcPr>
            <w:tcW w:w="2352"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rPr>
            </w:pPr>
            <w:r>
              <w:rPr>
                <w:rFonts w:hint="eastAsia" w:ascii="宋体" w:hAnsi="宋体" w:cs="宋体"/>
                <w:sz w:val="28"/>
                <w:szCs w:val="24"/>
              </w:rPr>
              <w:t>基础</w:t>
            </w:r>
            <w:r>
              <w:rPr>
                <w:rFonts w:ascii="宋体" w:hAnsi="宋体" w:cs="宋体"/>
                <w:sz w:val="28"/>
                <w:szCs w:val="24"/>
              </w:rPr>
              <w:t>功能</w:t>
            </w:r>
          </w:p>
        </w:tc>
        <w:tc>
          <w:tcPr>
            <w:tcW w:w="51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rPr>
            </w:pPr>
            <w:r>
              <w:rPr>
                <w:rFonts w:hint="eastAsia" w:ascii="宋体" w:hAnsi="宋体" w:cs="彩虹粗仿宋"/>
                <w:sz w:val="28"/>
                <w:szCs w:val="24"/>
              </w:rPr>
              <w:t>支持一维码\二维码扫码功能</w:t>
            </w:r>
            <w:r>
              <w:rPr>
                <w:rFonts w:hint="eastAsia" w:ascii="宋体" w:hAnsi="宋体" w:cs="彩虹粗仿宋"/>
                <w:b/>
                <w:sz w:val="28"/>
                <w:szCs w:val="24"/>
              </w:rPr>
              <w:t>。</w:t>
            </w:r>
          </w:p>
        </w:tc>
      </w:tr>
      <w:tr>
        <w:tblPrEx>
          <w:tblCellMar>
            <w:top w:w="0" w:type="dxa"/>
            <w:left w:w="0" w:type="dxa"/>
            <w:bottom w:w="0" w:type="dxa"/>
            <w:right w:w="0" w:type="dxa"/>
          </w:tblCellMar>
        </w:tblPrEx>
        <w:trPr>
          <w:trHeight w:val="765" w:hRule="atLeast"/>
        </w:trPr>
        <w:tc>
          <w:tcPr>
            <w:tcW w:w="8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jc w:val="left"/>
              <w:textAlignment w:val="top"/>
              <w:rPr>
                <w:rFonts w:ascii="彩虹粗仿宋" w:hAnsi="宋体" w:eastAsia="彩虹粗仿宋" w:cs="宋体"/>
                <w:color w:val="000000"/>
                <w:sz w:val="28"/>
                <w:szCs w:val="28"/>
              </w:rPr>
            </w:pPr>
            <w:r>
              <w:rPr>
                <w:rFonts w:hint="eastAsia" w:ascii="宋体" w:hAnsi="宋体" w:cs="宋体"/>
                <w:sz w:val="28"/>
                <w:szCs w:val="24"/>
              </w:rPr>
              <w:t>交易提示</w:t>
            </w:r>
          </w:p>
        </w:tc>
        <w:tc>
          <w:tcPr>
            <w:tcW w:w="51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left"/>
              <w:rPr>
                <w:rFonts w:ascii="宋体" w:hAnsi="宋体" w:cs="宋体"/>
                <w:sz w:val="28"/>
                <w:szCs w:val="24"/>
              </w:rPr>
            </w:pPr>
            <w:r>
              <w:rPr>
                <w:rFonts w:hint="eastAsia" w:ascii="宋体" w:hAnsi="宋体" w:cs="宋体"/>
                <w:sz w:val="28"/>
                <w:szCs w:val="24"/>
              </w:rPr>
              <w:t>1.具备真人发声音提示音；</w:t>
            </w:r>
          </w:p>
          <w:p>
            <w:pPr>
              <w:adjustRightInd w:val="0"/>
              <w:snapToGrid w:val="0"/>
              <w:spacing w:line="360" w:lineRule="auto"/>
              <w:rPr>
                <w:rFonts w:ascii="宋体" w:hAnsi="宋体" w:cs="宋体"/>
                <w:sz w:val="28"/>
                <w:szCs w:val="24"/>
              </w:rPr>
            </w:pPr>
            <w:r>
              <w:rPr>
                <w:rFonts w:hint="eastAsia" w:ascii="宋体" w:hAnsi="宋体" w:cs="宋体"/>
                <w:sz w:val="28"/>
                <w:szCs w:val="24"/>
              </w:rPr>
              <w:t>2.具有二维码识别提示音；</w:t>
            </w:r>
          </w:p>
          <w:p>
            <w:pPr>
              <w:adjustRightInd w:val="0"/>
              <w:snapToGrid w:val="0"/>
              <w:spacing w:line="360" w:lineRule="auto"/>
              <w:rPr>
                <w:rFonts w:ascii="宋体" w:hAnsi="宋体" w:cs="宋体"/>
                <w:sz w:val="28"/>
                <w:szCs w:val="24"/>
              </w:rPr>
            </w:pPr>
            <w:r>
              <w:rPr>
                <w:rFonts w:hint="eastAsia" w:ascii="宋体" w:hAnsi="宋体" w:cs="宋体"/>
                <w:sz w:val="28"/>
                <w:szCs w:val="24"/>
              </w:rPr>
              <w:t>3.具有读卡提示音；</w:t>
            </w:r>
          </w:p>
        </w:tc>
      </w:tr>
      <w:tr>
        <w:tblPrEx>
          <w:tblCellMar>
            <w:top w:w="0" w:type="dxa"/>
            <w:left w:w="0" w:type="dxa"/>
            <w:bottom w:w="0" w:type="dxa"/>
            <w:right w:w="0" w:type="dxa"/>
          </w:tblCellMar>
        </w:tblPrEx>
        <w:trPr>
          <w:trHeight w:val="655" w:hRule="atLeast"/>
        </w:trPr>
        <w:tc>
          <w:tcPr>
            <w:tcW w:w="8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rPr>
            </w:pPr>
            <w:r>
              <w:rPr>
                <w:rFonts w:hint="eastAsia" w:ascii="宋体" w:hAnsi="宋体" w:cs="宋体"/>
                <w:sz w:val="28"/>
                <w:szCs w:val="24"/>
              </w:rPr>
              <w:t>版本更新</w:t>
            </w:r>
          </w:p>
        </w:tc>
        <w:tc>
          <w:tcPr>
            <w:tcW w:w="51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rPr>
            </w:pPr>
            <w:r>
              <w:rPr>
                <w:rFonts w:hint="eastAsia" w:ascii="宋体" w:hAnsi="宋体" w:cs="宋体"/>
                <w:sz w:val="28"/>
                <w:szCs w:val="24"/>
              </w:rPr>
              <w:t>具备统一执行版本更新的能力。</w:t>
            </w:r>
          </w:p>
        </w:tc>
      </w:tr>
      <w:tr>
        <w:tblPrEx>
          <w:tblCellMar>
            <w:top w:w="0" w:type="dxa"/>
            <w:left w:w="0" w:type="dxa"/>
            <w:bottom w:w="0" w:type="dxa"/>
            <w:right w:w="0" w:type="dxa"/>
          </w:tblCellMar>
        </w:tblPrEx>
        <w:trPr>
          <w:trHeight w:val="510" w:hRule="atLeast"/>
        </w:trPr>
        <w:tc>
          <w:tcPr>
            <w:tcW w:w="8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rPr>
            </w:pPr>
            <w:r>
              <w:rPr>
                <w:rFonts w:hint="eastAsia" w:ascii="宋体" w:hAnsi="宋体" w:cs="宋体"/>
                <w:color w:val="000000"/>
                <w:sz w:val="28"/>
                <w:szCs w:val="28"/>
              </w:rPr>
              <w:t>支持定位功能</w:t>
            </w:r>
          </w:p>
        </w:tc>
        <w:tc>
          <w:tcPr>
            <w:tcW w:w="51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rPr>
            </w:pPr>
            <w:r>
              <w:rPr>
                <w:rFonts w:hint="eastAsia" w:ascii="宋体" w:hAnsi="宋体" w:cs="宋体"/>
                <w:sz w:val="28"/>
                <w:szCs w:val="24"/>
              </w:rPr>
              <w:t>基站、WIFI定位。</w:t>
            </w:r>
          </w:p>
        </w:tc>
      </w:tr>
      <w:tr>
        <w:tblPrEx>
          <w:tblCellMar>
            <w:top w:w="0" w:type="dxa"/>
            <w:left w:w="0" w:type="dxa"/>
            <w:bottom w:w="0" w:type="dxa"/>
            <w:right w:w="0" w:type="dxa"/>
          </w:tblCellMar>
        </w:tblPrEx>
        <w:trPr>
          <w:trHeight w:val="510" w:hRule="atLeast"/>
        </w:trPr>
        <w:tc>
          <w:tcPr>
            <w:tcW w:w="8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宋体" w:hAnsi="宋体" w:cs="宋体"/>
                <w:color w:val="000000"/>
                <w:sz w:val="28"/>
                <w:szCs w:val="28"/>
              </w:rPr>
            </w:pPr>
            <w:r>
              <w:rPr>
                <w:rFonts w:hint="eastAsia" w:ascii="宋体" w:hAnsi="宋体" w:cs="宋体"/>
                <w:color w:val="000000"/>
                <w:sz w:val="28"/>
                <w:szCs w:val="28"/>
              </w:rPr>
              <w:t>支持定位信息上送</w:t>
            </w:r>
          </w:p>
        </w:tc>
        <w:tc>
          <w:tcPr>
            <w:tcW w:w="51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宋体" w:hAnsi="宋体" w:cs="宋体"/>
                <w:color w:val="000000"/>
                <w:sz w:val="28"/>
                <w:szCs w:val="28"/>
              </w:rPr>
            </w:pPr>
            <w:r>
              <w:rPr>
                <w:rFonts w:hint="eastAsia" w:ascii="宋体" w:hAnsi="宋体" w:cs="宋体"/>
                <w:color w:val="000000"/>
                <w:sz w:val="28"/>
                <w:szCs w:val="28"/>
              </w:rPr>
              <w:t>在交易报文上送定位信息。</w:t>
            </w:r>
          </w:p>
        </w:tc>
      </w:tr>
      <w:tr>
        <w:tblPrEx>
          <w:tblCellMar>
            <w:top w:w="0" w:type="dxa"/>
            <w:left w:w="0" w:type="dxa"/>
            <w:bottom w:w="0" w:type="dxa"/>
            <w:right w:w="0" w:type="dxa"/>
          </w:tblCellMar>
        </w:tblPrEx>
        <w:trPr>
          <w:trHeight w:val="270" w:hRule="atLeast"/>
        </w:trPr>
        <w:tc>
          <w:tcPr>
            <w:tcW w:w="8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snapToGrid w:val="0"/>
              <w:spacing w:line="360" w:lineRule="auto"/>
              <w:rPr>
                <w:rFonts w:ascii="彩虹粗仿宋" w:hAnsi="宋体" w:eastAsia="彩虹粗仿宋" w:cs="宋体"/>
                <w:b/>
                <w:color w:val="000000"/>
                <w:sz w:val="28"/>
                <w:szCs w:val="28"/>
              </w:rPr>
            </w:pP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rPr>
            </w:pPr>
            <w:r>
              <w:rPr>
                <w:rFonts w:hint="eastAsia" w:ascii="宋体" w:hAnsi="宋体" w:cs="宋体"/>
                <w:color w:val="000000"/>
                <w:sz w:val="28"/>
                <w:szCs w:val="28"/>
              </w:rPr>
              <w:t>支持移机判断</w:t>
            </w:r>
          </w:p>
        </w:tc>
        <w:tc>
          <w:tcPr>
            <w:tcW w:w="51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line="360" w:lineRule="auto"/>
              <w:textAlignment w:val="top"/>
              <w:rPr>
                <w:rFonts w:ascii="彩虹粗仿宋" w:hAnsi="宋体" w:eastAsia="彩虹粗仿宋" w:cs="宋体"/>
                <w:color w:val="000000"/>
                <w:sz w:val="28"/>
                <w:szCs w:val="28"/>
              </w:rPr>
            </w:pPr>
            <w:r>
              <w:rPr>
                <w:rFonts w:hint="eastAsia" w:ascii="宋体" w:hAnsi="宋体" w:cs="宋体"/>
                <w:color w:val="000000"/>
                <w:sz w:val="28"/>
                <w:szCs w:val="28"/>
              </w:rPr>
              <w:t>设备移机后识别并上送新的定位信息。</w:t>
            </w:r>
          </w:p>
        </w:tc>
      </w:tr>
    </w:tbl>
    <w:p>
      <w:pPr>
        <w:spacing w:line="360" w:lineRule="auto"/>
        <w:ind w:firstLine="643" w:firstLineChars="200"/>
        <w:outlineLvl w:val="2"/>
        <w:rPr>
          <w:rFonts w:ascii="Times New Roman" w:hAnsi="Times New Roman" w:eastAsia="彩虹粗仿宋" w:cs="Times New Roman"/>
          <w:b/>
          <w:bCs/>
          <w:sz w:val="32"/>
          <w:szCs w:val="24"/>
        </w:rPr>
      </w:pPr>
      <w:r>
        <w:rPr>
          <w:rFonts w:hint="eastAsia" w:ascii="Times New Roman" w:hAnsi="Times New Roman" w:eastAsia="彩虹粗仿宋" w:cs="Times New Roman"/>
          <w:b/>
          <w:bCs/>
          <w:sz w:val="32"/>
          <w:szCs w:val="24"/>
        </w:rPr>
        <w:t>（三）安全性要求</w:t>
      </w:r>
    </w:p>
    <w:tbl>
      <w:tblPr>
        <w:tblStyle w:val="4"/>
        <w:tblW w:w="80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2352"/>
        <w:gridCol w:w="4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69" w:type="dxa"/>
          </w:tcPr>
          <w:p>
            <w:pPr>
              <w:widowControl/>
              <w:snapToGrid w:val="0"/>
              <w:spacing w:line="360" w:lineRule="auto"/>
              <w:textAlignment w:val="top"/>
              <w:rPr>
                <w:rFonts w:ascii="彩虹粗仿宋" w:hAnsi="宋体" w:eastAsia="彩虹粗仿宋" w:cs="宋体"/>
                <w:b/>
                <w:kern w:val="0"/>
                <w:sz w:val="28"/>
                <w:szCs w:val="28"/>
              </w:rPr>
            </w:pPr>
            <w:r>
              <w:rPr>
                <w:rFonts w:hint="eastAsia" w:ascii="彩虹粗仿宋" w:hAnsi="宋体" w:eastAsia="彩虹粗仿宋" w:cs="宋体"/>
                <w:b/>
                <w:kern w:val="0"/>
                <w:sz w:val="28"/>
                <w:szCs w:val="28"/>
                <w:lang w:bidi="ar"/>
              </w:rPr>
              <w:t>指标分类</w:t>
            </w:r>
          </w:p>
        </w:tc>
        <w:tc>
          <w:tcPr>
            <w:tcW w:w="2352" w:type="dxa"/>
          </w:tcPr>
          <w:p>
            <w:pPr>
              <w:widowControl/>
              <w:snapToGrid w:val="0"/>
              <w:spacing w:line="360" w:lineRule="auto"/>
              <w:textAlignment w:val="top"/>
              <w:rPr>
                <w:rFonts w:ascii="彩虹粗仿宋" w:hAnsi="宋体" w:eastAsia="彩虹粗仿宋" w:cs="宋体"/>
                <w:b/>
                <w:kern w:val="0"/>
                <w:sz w:val="28"/>
                <w:szCs w:val="28"/>
              </w:rPr>
            </w:pPr>
            <w:r>
              <w:rPr>
                <w:rFonts w:hint="eastAsia" w:ascii="彩虹粗仿宋" w:hAnsi="宋体" w:eastAsia="彩虹粗仿宋" w:cs="宋体"/>
                <w:b/>
                <w:kern w:val="0"/>
                <w:sz w:val="28"/>
                <w:szCs w:val="28"/>
                <w:lang w:bidi="ar"/>
              </w:rPr>
              <w:t>细项</w:t>
            </w:r>
          </w:p>
        </w:tc>
        <w:tc>
          <w:tcPr>
            <w:tcW w:w="4874" w:type="dxa"/>
          </w:tcPr>
          <w:p>
            <w:pPr>
              <w:widowControl/>
              <w:snapToGrid w:val="0"/>
              <w:spacing w:line="360" w:lineRule="auto"/>
              <w:textAlignment w:val="top"/>
              <w:rPr>
                <w:rFonts w:ascii="彩虹粗仿宋" w:hAnsi="宋体" w:eastAsia="彩虹粗仿宋" w:cs="宋体"/>
                <w:b/>
                <w:kern w:val="0"/>
                <w:sz w:val="28"/>
                <w:szCs w:val="28"/>
              </w:rPr>
            </w:pPr>
            <w:r>
              <w:rPr>
                <w:rFonts w:hint="eastAsia" w:ascii="彩虹粗仿宋" w:hAnsi="宋体" w:eastAsia="彩虹粗仿宋" w:cs="宋体"/>
                <w:b/>
                <w:kern w:val="0"/>
                <w:sz w:val="28"/>
                <w:szCs w:val="28"/>
                <w:lang w:bidi="ar"/>
              </w:rPr>
              <w:t>指标说明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69" w:type="dxa"/>
            <w:vMerge w:val="restart"/>
          </w:tcPr>
          <w:p>
            <w:pPr>
              <w:widowControl/>
              <w:snapToGrid w:val="0"/>
              <w:spacing w:line="360" w:lineRule="auto"/>
              <w:jc w:val="center"/>
              <w:textAlignment w:val="top"/>
              <w:rPr>
                <w:rFonts w:ascii="彩虹粗仿宋" w:hAnsi="宋体" w:eastAsia="彩虹粗仿宋" w:cs="宋体"/>
                <w:b/>
                <w:kern w:val="0"/>
                <w:sz w:val="28"/>
                <w:szCs w:val="28"/>
                <w:lang w:bidi="ar"/>
              </w:rPr>
            </w:pPr>
          </w:p>
          <w:p>
            <w:pPr>
              <w:widowControl/>
              <w:snapToGrid w:val="0"/>
              <w:spacing w:line="360" w:lineRule="auto"/>
              <w:jc w:val="center"/>
              <w:textAlignment w:val="top"/>
              <w:rPr>
                <w:rFonts w:ascii="彩虹粗仿宋" w:hAnsi="宋体" w:eastAsia="彩虹粗仿宋" w:cs="宋体"/>
                <w:b/>
                <w:kern w:val="0"/>
                <w:sz w:val="28"/>
                <w:szCs w:val="28"/>
                <w:lang w:bidi="ar"/>
              </w:rPr>
            </w:pPr>
          </w:p>
          <w:p>
            <w:pPr>
              <w:widowControl/>
              <w:snapToGrid w:val="0"/>
              <w:spacing w:line="360" w:lineRule="auto"/>
              <w:jc w:val="center"/>
              <w:textAlignment w:val="top"/>
              <w:rPr>
                <w:rFonts w:ascii="彩虹粗仿宋" w:hAnsi="宋体" w:eastAsia="彩虹粗仿宋" w:cs="宋体"/>
                <w:b/>
                <w:kern w:val="0"/>
                <w:sz w:val="28"/>
                <w:szCs w:val="28"/>
                <w:lang w:bidi="ar"/>
              </w:rPr>
            </w:pPr>
          </w:p>
          <w:p>
            <w:pPr>
              <w:widowControl/>
              <w:snapToGrid w:val="0"/>
              <w:spacing w:line="360" w:lineRule="auto"/>
              <w:jc w:val="center"/>
              <w:textAlignment w:val="top"/>
              <w:rPr>
                <w:rFonts w:ascii="彩虹粗仿宋" w:hAnsi="宋体" w:eastAsia="彩虹粗仿宋" w:cs="宋体"/>
                <w:b/>
                <w:kern w:val="0"/>
                <w:sz w:val="28"/>
                <w:szCs w:val="28"/>
              </w:rPr>
            </w:pPr>
            <w:r>
              <w:rPr>
                <w:rFonts w:hint="eastAsia" w:ascii="彩虹粗仿宋" w:hAnsi="宋体" w:eastAsia="彩虹粗仿宋" w:cs="宋体"/>
                <w:b/>
                <w:kern w:val="0"/>
                <w:sz w:val="28"/>
                <w:szCs w:val="28"/>
                <w:lang w:bidi="ar"/>
              </w:rPr>
              <w:t>安全性要求</w:t>
            </w:r>
          </w:p>
        </w:tc>
        <w:tc>
          <w:tcPr>
            <w:tcW w:w="2352" w:type="dxa"/>
            <w:vAlign w:val="center"/>
          </w:tcPr>
          <w:p>
            <w:pPr>
              <w:widowControl/>
              <w:snapToGrid w:val="0"/>
              <w:spacing w:line="360" w:lineRule="auto"/>
              <w:textAlignment w:val="top"/>
              <w:rPr>
                <w:rFonts w:ascii="彩虹粗仿宋" w:hAnsi="宋体" w:eastAsia="彩虹粗仿宋" w:cs="宋体"/>
                <w:kern w:val="0"/>
                <w:sz w:val="28"/>
                <w:szCs w:val="28"/>
              </w:rPr>
            </w:pPr>
            <w:r>
              <w:rPr>
                <w:rFonts w:hint="eastAsia" w:ascii="宋体" w:hAnsi="宋体" w:cs="宋体"/>
                <w:kern w:val="0"/>
                <w:sz w:val="28"/>
                <w:szCs w:val="24"/>
              </w:rPr>
              <w:t>数据存储</w:t>
            </w:r>
          </w:p>
        </w:tc>
        <w:tc>
          <w:tcPr>
            <w:tcW w:w="4874" w:type="dxa"/>
            <w:vAlign w:val="center"/>
          </w:tcPr>
          <w:p>
            <w:pPr>
              <w:widowControl/>
              <w:snapToGrid w:val="0"/>
              <w:spacing w:line="360" w:lineRule="auto"/>
              <w:textAlignment w:val="top"/>
              <w:rPr>
                <w:rFonts w:ascii="彩虹粗仿宋" w:hAnsi="宋体" w:eastAsia="彩虹粗仿宋" w:cs="宋体"/>
                <w:kern w:val="0"/>
                <w:sz w:val="28"/>
                <w:szCs w:val="28"/>
              </w:rPr>
            </w:pPr>
            <w:r>
              <w:rPr>
                <w:rFonts w:hint="eastAsia" w:ascii="宋体" w:hAnsi="宋体" w:cs="宋体"/>
                <w:kern w:val="0"/>
                <w:sz w:val="28"/>
                <w:szCs w:val="24"/>
              </w:rPr>
              <w:t>完成交易后，账户信息、交易信息等客户相关敏感数据不得存储在应用系统内存以及硬件中。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69" w:type="dxa"/>
            <w:vMerge w:val="continue"/>
          </w:tcPr>
          <w:p>
            <w:pPr>
              <w:snapToGrid w:val="0"/>
              <w:spacing w:line="360" w:lineRule="auto"/>
              <w:rPr>
                <w:rFonts w:ascii="彩虹粗仿宋" w:hAnsi="宋体" w:eastAsia="彩虹粗仿宋" w:cs="宋体"/>
                <w:b/>
                <w:kern w:val="0"/>
                <w:sz w:val="28"/>
                <w:szCs w:val="28"/>
              </w:rPr>
            </w:pPr>
          </w:p>
        </w:tc>
        <w:tc>
          <w:tcPr>
            <w:tcW w:w="2352" w:type="dxa"/>
            <w:vAlign w:val="center"/>
          </w:tcPr>
          <w:p>
            <w:pPr>
              <w:widowControl/>
              <w:snapToGrid w:val="0"/>
              <w:spacing w:line="360" w:lineRule="auto"/>
              <w:textAlignment w:val="top"/>
              <w:rPr>
                <w:rFonts w:ascii="彩虹粗仿宋" w:hAnsi="宋体" w:eastAsia="彩虹粗仿宋" w:cs="宋体"/>
                <w:kern w:val="0"/>
                <w:sz w:val="28"/>
                <w:szCs w:val="28"/>
              </w:rPr>
            </w:pPr>
            <w:r>
              <w:rPr>
                <w:rFonts w:hint="eastAsia" w:ascii="宋体" w:hAnsi="宋体" w:cs="宋体"/>
                <w:kern w:val="0"/>
                <w:sz w:val="28"/>
                <w:szCs w:val="24"/>
              </w:rPr>
              <w:t>数据处理</w:t>
            </w:r>
          </w:p>
        </w:tc>
        <w:tc>
          <w:tcPr>
            <w:tcW w:w="4874" w:type="dxa"/>
            <w:vAlign w:val="center"/>
          </w:tcPr>
          <w:p>
            <w:pPr>
              <w:widowControl/>
              <w:snapToGrid w:val="0"/>
              <w:spacing w:line="360" w:lineRule="auto"/>
              <w:textAlignment w:val="top"/>
              <w:rPr>
                <w:rFonts w:ascii="彩虹粗仿宋" w:hAnsi="宋体" w:eastAsia="彩虹粗仿宋" w:cs="宋体"/>
                <w:kern w:val="0"/>
                <w:sz w:val="28"/>
                <w:szCs w:val="28"/>
              </w:rPr>
            </w:pPr>
            <w:r>
              <w:rPr>
                <w:rFonts w:hint="eastAsia" w:ascii="宋体" w:hAnsi="宋体" w:cs="宋体"/>
                <w:kern w:val="0"/>
                <w:sz w:val="28"/>
                <w:szCs w:val="24"/>
              </w:rPr>
              <w:t>数据处理不允许以明文形式保存，内置硬件安全加密模块，支持DES、TDES、AES、RSA、SM2、SM4、SHA等主流加密算法。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69" w:type="dxa"/>
            <w:vMerge w:val="continue"/>
          </w:tcPr>
          <w:p>
            <w:pPr>
              <w:snapToGrid w:val="0"/>
              <w:spacing w:line="360" w:lineRule="auto"/>
              <w:rPr>
                <w:rFonts w:ascii="彩虹粗仿宋" w:hAnsi="宋体" w:eastAsia="彩虹粗仿宋" w:cs="宋体"/>
                <w:b/>
                <w:kern w:val="0"/>
                <w:sz w:val="28"/>
                <w:szCs w:val="28"/>
              </w:rPr>
            </w:pPr>
          </w:p>
        </w:tc>
        <w:tc>
          <w:tcPr>
            <w:tcW w:w="2352" w:type="dxa"/>
            <w:vAlign w:val="center"/>
          </w:tcPr>
          <w:p>
            <w:pPr>
              <w:widowControl/>
              <w:snapToGrid w:val="0"/>
              <w:spacing w:line="360" w:lineRule="auto"/>
              <w:textAlignment w:val="top"/>
              <w:rPr>
                <w:rFonts w:ascii="彩虹粗仿宋" w:hAnsi="宋体" w:eastAsia="彩虹粗仿宋" w:cs="宋体"/>
                <w:kern w:val="0"/>
                <w:sz w:val="28"/>
                <w:szCs w:val="28"/>
              </w:rPr>
            </w:pPr>
            <w:r>
              <w:rPr>
                <w:rFonts w:hint="eastAsia" w:ascii="宋体" w:hAnsi="宋体" w:cs="宋体"/>
                <w:kern w:val="0"/>
                <w:sz w:val="28"/>
                <w:szCs w:val="24"/>
              </w:rPr>
              <w:t>数据传输</w:t>
            </w:r>
          </w:p>
        </w:tc>
        <w:tc>
          <w:tcPr>
            <w:tcW w:w="4874" w:type="dxa"/>
            <w:vAlign w:val="center"/>
          </w:tcPr>
          <w:p>
            <w:pPr>
              <w:widowControl/>
              <w:snapToGrid w:val="0"/>
              <w:spacing w:line="360" w:lineRule="auto"/>
              <w:textAlignment w:val="top"/>
              <w:rPr>
                <w:rFonts w:ascii="彩虹粗仿宋" w:hAnsi="宋体" w:eastAsia="彩虹粗仿宋" w:cs="宋体"/>
                <w:kern w:val="0"/>
                <w:sz w:val="28"/>
                <w:szCs w:val="28"/>
              </w:rPr>
            </w:pPr>
            <w:r>
              <w:rPr>
                <w:rFonts w:hint="eastAsia" w:ascii="宋体" w:hAnsi="宋体" w:cs="宋体"/>
                <w:kern w:val="0"/>
                <w:sz w:val="28"/>
                <w:szCs w:val="24"/>
              </w:rPr>
              <w:t>数据不得以明文传输。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69" w:type="dxa"/>
            <w:vMerge w:val="continue"/>
          </w:tcPr>
          <w:p>
            <w:pPr>
              <w:snapToGrid w:val="0"/>
              <w:spacing w:line="360" w:lineRule="auto"/>
              <w:rPr>
                <w:rFonts w:ascii="彩虹粗仿宋" w:hAnsi="宋体" w:eastAsia="彩虹粗仿宋" w:cs="宋体"/>
                <w:b/>
                <w:kern w:val="0"/>
                <w:sz w:val="28"/>
                <w:szCs w:val="28"/>
              </w:rPr>
            </w:pPr>
          </w:p>
        </w:tc>
        <w:tc>
          <w:tcPr>
            <w:tcW w:w="2352" w:type="dxa"/>
            <w:vAlign w:val="center"/>
          </w:tcPr>
          <w:p>
            <w:pPr>
              <w:widowControl/>
              <w:snapToGrid w:val="0"/>
              <w:spacing w:line="360" w:lineRule="auto"/>
              <w:textAlignment w:val="top"/>
              <w:rPr>
                <w:rFonts w:ascii="宋体" w:hAnsi="宋体" w:cs="宋体"/>
                <w:kern w:val="0"/>
                <w:sz w:val="28"/>
                <w:szCs w:val="24"/>
              </w:rPr>
            </w:pPr>
            <w:r>
              <w:rPr>
                <w:rFonts w:hint="eastAsia" w:ascii="宋体" w:hAnsi="宋体" w:cs="宋体"/>
                <w:kern w:val="0"/>
                <w:sz w:val="28"/>
                <w:szCs w:val="24"/>
              </w:rPr>
              <w:t>安全认证</w:t>
            </w:r>
          </w:p>
        </w:tc>
        <w:tc>
          <w:tcPr>
            <w:tcW w:w="4874" w:type="dxa"/>
            <w:vAlign w:val="center"/>
          </w:tcPr>
          <w:p>
            <w:pPr>
              <w:widowControl/>
              <w:snapToGrid w:val="0"/>
              <w:spacing w:line="360" w:lineRule="auto"/>
              <w:textAlignment w:val="top"/>
              <w:rPr>
                <w:rFonts w:ascii="宋体" w:hAnsi="宋体" w:cs="宋体"/>
                <w:kern w:val="0"/>
                <w:sz w:val="28"/>
                <w:szCs w:val="24"/>
              </w:rPr>
            </w:pPr>
            <w:r>
              <w:rPr>
                <w:rFonts w:hint="eastAsia" w:ascii="宋体" w:hAnsi="宋体" w:cs="宋体"/>
                <w:kern w:val="0"/>
                <w:sz w:val="28"/>
                <w:szCs w:val="24"/>
              </w:rPr>
              <w:t>3C产品认证、电信设备进网许可证、中国银联支付终端设备安全认证证书</w:t>
            </w:r>
          </w:p>
        </w:tc>
      </w:tr>
    </w:tbl>
    <w:p>
      <w:pPr>
        <w:adjustRightInd w:val="0"/>
        <w:snapToGrid w:val="0"/>
        <w:spacing w:line="360" w:lineRule="auto"/>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2.数量要求</w:t>
      </w:r>
    </w:p>
    <w:p>
      <w:pPr>
        <w:adjustRightInd w:val="0"/>
        <w:snapToGrid w:val="0"/>
        <w:spacing w:line="360" w:lineRule="auto"/>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采购合同期限为两年，产品数量约15000台，具体以实际下单采购为准。</w:t>
      </w:r>
    </w:p>
    <w:p>
      <w:pPr>
        <w:ind w:firstLine="643" w:firstLineChars="200"/>
        <w:rPr>
          <w:rFonts w:ascii="彩虹粗仿宋" w:eastAsia="彩虹粗仿宋"/>
          <w:b/>
          <w:bCs/>
          <w:sz w:val="32"/>
          <w:szCs w:val="32"/>
        </w:rPr>
      </w:pPr>
      <w:r>
        <w:rPr>
          <w:rFonts w:hint="eastAsia" w:ascii="彩虹粗仿宋" w:eastAsia="彩虹粗仿宋"/>
          <w:b/>
          <w:bCs/>
          <w:sz w:val="32"/>
          <w:szCs w:val="32"/>
        </w:rPr>
        <w:t>三、供货安排</w:t>
      </w:r>
    </w:p>
    <w:p>
      <w:pPr>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包括产品配送时间要求、配送地点要求、包装要求、供货中产生的费用问题等。</w:t>
      </w:r>
    </w:p>
    <w:p>
      <w:pPr>
        <w:adjustRightInd w:val="0"/>
        <w:snapToGrid w:val="0"/>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1.供货时间。我行发送采购订单之日起7个工作日。</w:t>
      </w:r>
    </w:p>
    <w:p>
      <w:pPr>
        <w:adjustRightInd w:val="0"/>
        <w:snapToGrid w:val="0"/>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2.供货地点。以分行要求为准。</w:t>
      </w:r>
    </w:p>
    <w:p>
      <w:pPr>
        <w:adjustRightInd w:val="0"/>
        <w:snapToGrid w:val="0"/>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3.设备包装。坚固包装，根据设备的不同特性和要求采取防潮、防雨、防锈、防震、防磁等保护措施，以确保设备安全无损地到达交货地点。</w:t>
      </w:r>
    </w:p>
    <w:p>
      <w:pPr>
        <w:spacing w:line="560" w:lineRule="exact"/>
        <w:ind w:firstLine="643" w:firstLineChars="200"/>
        <w:rPr>
          <w:rFonts w:ascii="彩虹粗仿宋" w:eastAsia="彩虹粗仿宋"/>
          <w:b/>
          <w:bCs/>
          <w:sz w:val="32"/>
          <w:szCs w:val="32"/>
        </w:rPr>
      </w:pPr>
      <w:r>
        <w:rPr>
          <w:rFonts w:hint="eastAsia" w:ascii="彩虹粗仿宋" w:eastAsia="彩虹粗仿宋"/>
          <w:b/>
          <w:bCs/>
          <w:sz w:val="32"/>
          <w:szCs w:val="32"/>
        </w:rPr>
        <w:t>四、报价要求</w:t>
      </w:r>
    </w:p>
    <w:p>
      <w:pPr>
        <w:pStyle w:val="2"/>
        <w:widowControl/>
        <w:spacing w:beforeAutospacing="0" w:afterAutospacing="0" w:line="360" w:lineRule="auto"/>
        <w:ind w:firstLine="640" w:firstLineChars="200"/>
        <w:rPr>
          <w:rFonts w:ascii="彩虹粗仿宋" w:hAnsi="宋体" w:eastAsia="彩虹粗仿宋" w:cstheme="minorBidi"/>
          <w:snapToGrid w:val="0"/>
          <w:sz w:val="32"/>
          <w:szCs w:val="32"/>
        </w:rPr>
      </w:pPr>
      <w:r>
        <w:rPr>
          <w:rFonts w:hint="eastAsia" w:ascii="彩虹粗仿宋" w:hAnsi="宋体" w:eastAsia="彩虹粗仿宋" w:cs="宋体"/>
          <w:sz w:val="32"/>
          <w:szCs w:val="32"/>
        </w:rPr>
        <w:t>1.实际结算时，分行按照合同协议单价和经二级分行验收的实际数量付款。协议期内，如依据我国法律法规及税收政策，本项下所涉及的增值税税率发生调整，按照不含税价不变的原则，根据调整后的增值税税率相应调整合同价款。</w:t>
      </w:r>
    </w:p>
    <w:p>
      <w:pPr>
        <w:pStyle w:val="2"/>
        <w:widowControl/>
        <w:spacing w:beforeAutospacing="0" w:afterAutospacing="0" w:line="360" w:lineRule="auto"/>
        <w:ind w:firstLine="640" w:firstLineChars="200"/>
        <w:rPr>
          <w:rFonts w:ascii="彩虹粗仿宋" w:eastAsia="彩虹粗仿宋"/>
          <w:sz w:val="32"/>
          <w:szCs w:val="32"/>
        </w:rPr>
      </w:pPr>
      <w:r>
        <w:rPr>
          <w:rFonts w:hint="eastAsia" w:ascii="彩虹粗仿宋" w:hAnsi="宋体" w:eastAsia="彩虹粗仿宋" w:cstheme="minorBidi"/>
          <w:snapToGrid w:val="0"/>
          <w:sz w:val="32"/>
          <w:szCs w:val="32"/>
        </w:rPr>
        <w:t>2.本次报价中的数量为预估数量，实际采购数量由招标人根据实际需要确定，最终采购金额据实结算。</w:t>
      </w:r>
    </w:p>
    <w:p>
      <w:pPr>
        <w:ind w:left="638" w:leftChars="304"/>
        <w:rPr>
          <w:rFonts w:ascii="彩虹粗仿宋" w:eastAsia="彩虹粗仿宋"/>
          <w:b/>
          <w:bCs/>
          <w:sz w:val="32"/>
          <w:szCs w:val="32"/>
        </w:rPr>
      </w:pPr>
      <w:r>
        <w:rPr>
          <w:rFonts w:hint="eastAsia" w:ascii="彩虹粗仿宋" w:eastAsia="彩虹粗仿宋"/>
          <w:b/>
          <w:bCs/>
          <w:sz w:val="32"/>
          <w:szCs w:val="32"/>
        </w:rPr>
        <w:t>五、售后服务</w:t>
      </w:r>
    </w:p>
    <w:p>
      <w:pPr>
        <w:widowControl/>
        <w:ind w:firstLine="640" w:firstLineChars="200"/>
        <w:jc w:val="left"/>
        <w:rPr>
          <w:rFonts w:ascii="彩虹粗仿宋" w:eastAsia="彩虹粗仿宋" w:cs="微软雅黑"/>
          <w:bCs/>
          <w:sz w:val="32"/>
          <w:szCs w:val="32"/>
          <w:lang w:val="zh-CN"/>
        </w:rPr>
      </w:pPr>
      <w:r>
        <w:rPr>
          <w:rFonts w:hint="eastAsia" w:ascii="彩虹粗仿宋" w:eastAsia="彩虹粗仿宋" w:cs="微软雅黑"/>
          <w:bCs/>
          <w:sz w:val="32"/>
          <w:szCs w:val="32"/>
          <w:lang w:val="zh-CN"/>
        </w:rPr>
        <w:t>本次采购供应商需具备完善的服务及支持能力，能迅速响应分行采购需求，及时供货，支持向全国提供设备配送、安装、技术支持、故障检测、保修更换等服务(集团商户)。采购产品质保期限不得低于三年，质保期内如产品出现任何质量问题，厂商应提供无条件维修、更换或退货。</w:t>
      </w:r>
    </w:p>
    <w:p>
      <w:pPr>
        <w:pStyle w:val="6"/>
        <w:numPr>
          <w:ilvl w:val="0"/>
          <w:numId w:val="1"/>
        </w:numPr>
        <w:ind w:firstLineChars="0"/>
        <w:rPr>
          <w:rFonts w:ascii="彩虹粗仿宋" w:eastAsia="彩虹粗仿宋"/>
          <w:b/>
          <w:bCs/>
          <w:sz w:val="32"/>
          <w:szCs w:val="32"/>
        </w:rPr>
      </w:pPr>
      <w:r>
        <w:rPr>
          <w:rFonts w:hint="eastAsia" w:ascii="彩虹粗仿宋" w:eastAsia="彩虹粗仿宋"/>
          <w:b/>
          <w:bCs/>
          <w:sz w:val="32"/>
          <w:szCs w:val="32"/>
        </w:rPr>
        <w:t>其他要求</w:t>
      </w:r>
    </w:p>
    <w:p>
      <w:pPr>
        <w:spacing w:line="560" w:lineRule="exact"/>
        <w:ind w:firstLine="643" w:firstLineChars="200"/>
        <w:rPr>
          <w:rFonts w:ascii="彩虹粗仿宋" w:eastAsia="彩虹粗仿宋"/>
          <w:b/>
          <w:sz w:val="32"/>
          <w:szCs w:val="32"/>
        </w:rPr>
      </w:pPr>
      <w:r>
        <w:rPr>
          <w:rFonts w:hint="eastAsia" w:ascii="彩虹粗仿宋" w:eastAsia="彩虹粗仿宋"/>
          <w:b/>
          <w:sz w:val="32"/>
          <w:szCs w:val="32"/>
        </w:rPr>
        <w:t>1.通讯网络要求</w:t>
      </w:r>
    </w:p>
    <w:p>
      <w:pPr>
        <w:spacing w:line="560" w:lineRule="exact"/>
        <w:ind w:firstLine="640"/>
        <w:rPr>
          <w:rFonts w:ascii="彩虹粗仿宋" w:eastAsia="彩虹粗仿宋"/>
          <w:sz w:val="32"/>
          <w:szCs w:val="32"/>
        </w:rPr>
      </w:pPr>
      <w:r>
        <w:rPr>
          <w:rFonts w:hint="eastAsia" w:ascii="彩虹粗仿宋" w:eastAsia="彩虹粗仿宋"/>
          <w:sz w:val="32"/>
          <w:szCs w:val="32"/>
        </w:rPr>
        <w:t>具备独立稳定网络通讯模块，支持4G和WIFI网络通讯。确保每台扫码终端质保期的流量配置。三年流量到期后提供我行商户充值的渠道，价格不高于供应商采购价格。</w:t>
      </w:r>
    </w:p>
    <w:p>
      <w:pPr>
        <w:spacing w:line="560" w:lineRule="exact"/>
        <w:ind w:firstLine="643" w:firstLineChars="200"/>
        <w:rPr>
          <w:rFonts w:ascii="彩虹粗仿宋" w:eastAsia="彩虹粗仿宋"/>
          <w:b/>
          <w:bCs/>
          <w:sz w:val="32"/>
          <w:szCs w:val="32"/>
        </w:rPr>
      </w:pPr>
      <w:r>
        <w:rPr>
          <w:rFonts w:hint="eastAsia" w:ascii="彩虹粗仿宋" w:eastAsia="彩虹粗仿宋"/>
          <w:b/>
          <w:bCs/>
          <w:sz w:val="32"/>
          <w:szCs w:val="32"/>
        </w:rPr>
        <w:t>2.产品多样性及个性化定制</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能具备多款产品供我行选择，根据商户不同场景在不违反人民银行和总行有关支付受理终端安全性规定的前提下免费开展个性化定制。如：符合人行卡码一体新型终端产品，且有接入建行收单系统经验产商设备等。</w:t>
      </w:r>
    </w:p>
    <w:p>
      <w:pPr>
        <w:widowControl/>
        <w:ind w:firstLine="640" w:firstLineChars="200"/>
        <w:jc w:val="left"/>
        <w:rPr>
          <w:rFonts w:ascii="彩虹粗仿宋" w:hAnsi="宋体" w:eastAsia="彩虹粗仿宋"/>
          <w:snapToGrid w:val="0"/>
          <w:kern w:val="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ingdings 3"/>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Wingdings 3"/>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0000019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Segoe UI">
    <w:altName w:val="Noto Naskh Arabic"/>
    <w:panose1 w:val="020B0502040204020203"/>
    <w:charset w:val="00"/>
    <w:family w:val="swiss"/>
    <w:pitch w:val="default"/>
    <w:sig w:usb0="00000000" w:usb1="00000000" w:usb2="00000009" w:usb3="00000000" w:csb0="000001FF" w:csb1="00000000"/>
  </w:font>
  <w:font w:name="FreeSerif">
    <w:panose1 w:val="02020603050405020304"/>
    <w:charset w:val="00"/>
    <w:family w:val="auto"/>
    <w:pitch w:val="default"/>
    <w:sig w:usb0="E593AEFF" w:usb1="C200FDFF" w:usb2="03501B28" w:usb3="00000000" w:csb0="600101FF" w:csb1="DFFF0000"/>
  </w:font>
  <w:font w:name="Wingdings 3">
    <w:panose1 w:val="05040102010807070707"/>
    <w:charset w:val="00"/>
    <w:family w:val="auto"/>
    <w:pitch w:val="default"/>
    <w:sig w:usb0="00000000" w:usb1="00000000" w:usb2="00000000" w:usb3="00000000" w:csb0="80000000" w:csb1="00000000"/>
  </w:font>
  <w:font w:name="Noto Naskh Arabic">
    <w:panose1 w:val="020B0502040504020204"/>
    <w:charset w:val="00"/>
    <w:family w:val="auto"/>
    <w:pitch w:val="default"/>
    <w:sig w:usb0="80002003" w:usb1="80002000" w:usb2="00000008" w:usb3="00000000" w:csb0="00000041" w:csb1="000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2A7741"/>
    <w:multiLevelType w:val="multilevel"/>
    <w:tmpl w:val="042A7741"/>
    <w:lvl w:ilvl="0" w:tentative="0">
      <w:start w:val="6"/>
      <w:numFmt w:val="japaneseCounting"/>
      <w:lvlText w:val="%1、"/>
      <w:lvlJc w:val="left"/>
      <w:pPr>
        <w:ind w:left="1363" w:hanging="72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9DF35E2"/>
    <w:rsid w:val="FDAE56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spacing w:beforeAutospacing="1" w:afterAutospacing="1"/>
      <w:jc w:val="left"/>
    </w:pPr>
    <w:rPr>
      <w:rFonts w:ascii="Cambria" w:hAnsi="Cambria" w:eastAsia="黑体" w:cs="Times New Roman"/>
      <w:kern w:val="0"/>
      <w:sz w:val="24"/>
    </w:r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2024-08-15T21:20:00Z</dcterms:created>
  <dc:creator>ccb</dc:creator>
  <cp:lastModifiedBy>ccb</cp:lastModifiedBy>
  <dcterms:modified xsi:type="dcterms:W3CDTF">2025-10-30T15:43:15Z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E182A73A54BB06861A90BD66E5AB7B1E_43</vt:lpwstr>
  </property>
</Properties>
</file>