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彩虹小标宋" w:eastAsia="彩虹小标宋"/>
          <w:snapToGrid w:val="0"/>
          <w:sz w:val="44"/>
          <w:szCs w:val="44"/>
        </w:rPr>
      </w:pPr>
      <w:r>
        <w:rPr>
          <w:rFonts w:hint="eastAsia" w:ascii="彩虹小标宋" w:eastAsia="彩虹小标宋"/>
          <w:snapToGrid w:val="0"/>
          <w:sz w:val="44"/>
          <w:szCs w:val="44"/>
        </w:rPr>
        <w:t>采购需求</w:t>
      </w:r>
    </w:p>
    <w:p>
      <w:pPr>
        <w:adjustRightInd w:val="0"/>
        <w:snapToGrid w:val="0"/>
        <w:spacing w:line="560" w:lineRule="atLeast"/>
        <w:ind w:firstLine="642" w:firstLineChars="200"/>
        <w:rPr>
          <w:rFonts w:ascii="彩虹粗仿宋" w:hAnsi="宋体" w:eastAsia="彩虹粗仿宋" w:cs="Times New Roman"/>
          <w:b/>
          <w:snapToGrid w:val="0"/>
          <w:kern w:val="0"/>
          <w:sz w:val="32"/>
          <w:szCs w:val="32"/>
        </w:rPr>
      </w:pPr>
    </w:p>
    <w:p>
      <w:pPr>
        <w:adjustRightInd w:val="0"/>
        <w:snapToGrid w:val="0"/>
        <w:spacing w:line="560" w:lineRule="atLeast"/>
        <w:ind w:firstLine="642" w:firstLineChars="200"/>
        <w:rPr>
          <w:rFonts w:ascii="彩虹粗仿宋" w:hAnsi="宋体" w:eastAsia="彩虹粗仿宋" w:cs="Times New Roman"/>
          <w:b/>
          <w:snapToGrid w:val="0"/>
          <w:kern w:val="0"/>
          <w:sz w:val="32"/>
          <w:szCs w:val="32"/>
        </w:rPr>
      </w:pPr>
      <w:r>
        <w:rPr>
          <w:rFonts w:hint="eastAsia" w:ascii="彩虹粗仿宋" w:hAnsi="宋体" w:eastAsia="彩虹粗仿宋" w:cs="Times New Roman"/>
          <w:b/>
          <w:snapToGrid w:val="0"/>
          <w:kern w:val="0"/>
          <w:sz w:val="32"/>
          <w:szCs w:val="32"/>
        </w:rPr>
        <w:t>一、对于候选供应商的要求</w:t>
      </w:r>
    </w:p>
    <w:p>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1.供应商具有独立承担民事责任的能力，遵守国家有关法律、法规，具有良好的商业信誉和健全的财务会计制度。</w:t>
      </w:r>
    </w:p>
    <w:p>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2.供应商当前未处于限制开展生产经营活动、责令停产停业、责令关闭、限制从业等重大行政处罚期内。</w:t>
      </w:r>
    </w:p>
    <w:p>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3.供应商当前未被“信用中国”网站列入税收违法黑名单；未被“中国执行信息公开网”列入失信被执行人名单；未被“中国政府采购网”列入政府采购严重违法失信行为记录名单；未被“国家企业信用信息公示系统”网站列入严重违法失信名单。</w:t>
      </w:r>
    </w:p>
    <w:p>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4.法定代表人（负责人）为同一人或存在控股、管理关系的不同申请人，不得同时参加本项目。</w:t>
      </w:r>
    </w:p>
    <w:p>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5.供应商与建设银行不存在利益冲突，不存在损害建设银行合法利益和声誉的情形，不存在针对建设银行的重大诚信问题。</w:t>
      </w:r>
    </w:p>
    <w:p>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6.供应商在资格审查时未处于建设银行福建省分行供应商禁用或退出期内。</w:t>
      </w:r>
    </w:p>
    <w:p>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7.供应商承诺在本项目采购过程中不存在下列情形，如存在下列情形之一，建设银行有权取消其候选资格。情形包括但不限于：</w:t>
      </w:r>
    </w:p>
    <w:p>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（1）法定代表人（负责人）在生产经营活动中受到刑事处罚；</w:t>
      </w:r>
    </w:p>
    <w:p>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（2）重大并购或重组，影响正常生产经营；</w:t>
      </w:r>
    </w:p>
    <w:p>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（3）其他重大风险事项，影响正常采购合作。</w:t>
      </w:r>
    </w:p>
    <w:p>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8.本项目不接受联合体报名申请。</w:t>
      </w:r>
    </w:p>
    <w:p>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9.供应商提供的服务或服务成果不存在任何侵犯第三方知识产权的情形。如果第三方声称供应商向建设银行提供的服务或服务成果侵犯其知识产权，并已就此对建设银行或供应商提起（包括威胁提起或很可能提起）法律诉讼程序或知识产权行政执法程序（简称侵权诉讼），一方供应商自知悉上述事项起将立即书面通知另一方，建设银行有权采取相应措施，供应商将依法承担全部责任。</w:t>
      </w:r>
    </w:p>
    <w:p>
      <w:pPr>
        <w:spacing w:line="360" w:lineRule="auto"/>
        <w:ind w:firstLine="642" w:firstLineChars="200"/>
        <w:rPr>
          <w:rFonts w:ascii="彩虹粗仿宋" w:hAnsi="宋体" w:eastAsia="彩虹粗仿宋" w:cs="Times New Roman"/>
          <w:b/>
          <w:snapToGrid w:val="0"/>
          <w:kern w:val="0"/>
          <w:sz w:val="32"/>
          <w:szCs w:val="32"/>
        </w:rPr>
      </w:pPr>
      <w:r>
        <w:rPr>
          <w:rFonts w:hint="eastAsia" w:ascii="彩虹粗仿宋" w:hAnsi="宋体" w:eastAsia="彩虹粗仿宋" w:cs="Times New Roman"/>
          <w:b/>
          <w:snapToGrid w:val="0"/>
          <w:kern w:val="0"/>
          <w:sz w:val="32"/>
          <w:szCs w:val="32"/>
        </w:rPr>
        <w:t>二、对于拟采购</w:t>
      </w:r>
      <w:bookmarkStart w:id="0" w:name="_GoBack"/>
      <w:r>
        <w:rPr>
          <w:rFonts w:hint="eastAsia" w:ascii="彩虹粗仿宋" w:hAnsi="宋体" w:eastAsia="彩虹粗仿宋" w:cs="Times New Roman"/>
          <w:b/>
          <w:snapToGrid w:val="0"/>
          <w:kern w:val="0"/>
          <w:sz w:val="32"/>
          <w:szCs w:val="32"/>
          <w:lang w:eastAsia="zh-CN"/>
        </w:rPr>
        <w:t>软件</w:t>
      </w:r>
      <w:bookmarkEnd w:id="0"/>
      <w:r>
        <w:rPr>
          <w:rFonts w:hint="eastAsia" w:ascii="彩虹粗仿宋" w:hAnsi="宋体" w:eastAsia="彩虹粗仿宋" w:cs="Times New Roman"/>
          <w:b/>
          <w:snapToGrid w:val="0"/>
          <w:kern w:val="0"/>
          <w:sz w:val="32"/>
          <w:szCs w:val="32"/>
          <w:lang w:eastAsia="zh-CN"/>
        </w:rPr>
        <w:t>服务</w:t>
      </w:r>
      <w:r>
        <w:rPr>
          <w:rFonts w:hint="eastAsia" w:ascii="彩虹粗仿宋" w:hAnsi="宋体" w:eastAsia="彩虹粗仿宋" w:cs="Times New Roman"/>
          <w:b/>
          <w:snapToGrid w:val="0"/>
          <w:kern w:val="0"/>
          <w:sz w:val="32"/>
          <w:szCs w:val="32"/>
        </w:rPr>
        <w:t>的要求</w:t>
      </w:r>
    </w:p>
    <w:p>
      <w:pPr>
        <w:adjustRightInd w:val="0"/>
        <w:snapToGrid w:val="0"/>
        <w:spacing w:line="560" w:lineRule="atLeast"/>
        <w:ind w:firstLine="642" w:firstLineChars="200"/>
        <w:rPr>
          <w:rFonts w:hint="eastAsia" w:ascii="彩虹粗仿宋" w:hAnsi="宋体" w:eastAsia="彩虹粗仿宋" w:cs="Times New Roman"/>
          <w:b/>
          <w:snapToGrid w:val="0"/>
          <w:kern w:val="0"/>
          <w:sz w:val="32"/>
          <w:szCs w:val="32"/>
        </w:rPr>
      </w:pPr>
      <w:r>
        <w:rPr>
          <w:rFonts w:hint="eastAsia" w:ascii="彩虹粗仿宋" w:hAnsi="宋体" w:eastAsia="彩虹粗仿宋" w:cs="Times New Roman"/>
          <w:b/>
          <w:snapToGrid w:val="0"/>
          <w:kern w:val="0"/>
          <w:sz w:val="32"/>
          <w:szCs w:val="32"/>
        </w:rPr>
        <w:t>（一）基本要求</w:t>
      </w:r>
    </w:p>
    <w:tbl>
      <w:tblPr>
        <w:tblStyle w:val="2"/>
        <w:tblW w:w="5594"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71"/>
        <w:gridCol w:w="1155"/>
        <w:gridCol w:w="1436"/>
        <w:gridCol w:w="2135"/>
        <w:gridCol w:w="766"/>
        <w:gridCol w:w="734"/>
        <w:gridCol w:w="243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0" w:hRule="atLeast"/>
        </w:trPr>
        <w:tc>
          <w:tcPr>
            <w:tcW w:w="45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kern w:val="0"/>
                <w:sz w:val="20"/>
                <w:szCs w:val="20"/>
                <w:highlight w:val="none"/>
                <w:lang w:val="en-US" w:eastAsia="zh-CN"/>
              </w:rPr>
            </w:pPr>
            <w:r>
              <w:rPr>
                <w:rFonts w:hint="eastAsia" w:ascii="宋体" w:hAnsi="宋体" w:eastAsia="宋体" w:cs="宋体"/>
                <w:kern w:val="0"/>
                <w:sz w:val="20"/>
                <w:szCs w:val="20"/>
                <w:highlight w:val="none"/>
              </w:rPr>
              <w:t>序号</w:t>
            </w:r>
          </w:p>
        </w:tc>
        <w:tc>
          <w:tcPr>
            <w:tcW w:w="605"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kern w:val="0"/>
                <w:sz w:val="20"/>
                <w:szCs w:val="20"/>
                <w:highlight w:val="none"/>
                <w:lang w:val="en-US" w:eastAsia="zh-CN"/>
              </w:rPr>
            </w:pPr>
            <w:r>
              <w:rPr>
                <w:rFonts w:hint="eastAsia" w:ascii="宋体" w:hAnsi="宋体" w:eastAsia="宋体" w:cs="宋体"/>
                <w:kern w:val="0"/>
                <w:sz w:val="20"/>
                <w:szCs w:val="20"/>
                <w:highlight w:val="none"/>
                <w:lang w:val="en-US" w:eastAsia="zh-CN"/>
              </w:rPr>
              <w:t>项目名称</w:t>
            </w:r>
          </w:p>
        </w:tc>
        <w:tc>
          <w:tcPr>
            <w:tcW w:w="753"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kern w:val="0"/>
                <w:sz w:val="20"/>
                <w:szCs w:val="20"/>
                <w:highlight w:val="none"/>
                <w:lang w:val="en-US" w:eastAsia="zh-CN"/>
              </w:rPr>
            </w:pPr>
            <w:r>
              <w:rPr>
                <w:rFonts w:hint="eastAsia" w:ascii="宋体" w:hAnsi="宋体" w:eastAsia="宋体" w:cs="宋体"/>
                <w:kern w:val="0"/>
                <w:sz w:val="20"/>
                <w:szCs w:val="20"/>
                <w:highlight w:val="none"/>
                <w:lang w:val="en-US" w:eastAsia="zh-CN"/>
              </w:rPr>
              <w:t>一级模块</w:t>
            </w:r>
          </w:p>
        </w:tc>
        <w:tc>
          <w:tcPr>
            <w:tcW w:w="11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kern w:val="0"/>
                <w:sz w:val="20"/>
                <w:szCs w:val="20"/>
                <w:highlight w:val="none"/>
                <w:lang w:val="en-US" w:eastAsia="zh-CN"/>
              </w:rPr>
            </w:pPr>
            <w:r>
              <w:rPr>
                <w:rFonts w:hint="eastAsia" w:ascii="宋体" w:hAnsi="宋体" w:eastAsia="宋体" w:cs="宋体"/>
                <w:kern w:val="0"/>
                <w:sz w:val="20"/>
                <w:szCs w:val="20"/>
                <w:highlight w:val="none"/>
                <w:lang w:val="en-US" w:eastAsia="zh-CN"/>
              </w:rPr>
              <w:t>二级模块</w:t>
            </w:r>
          </w:p>
        </w:tc>
        <w:tc>
          <w:tcPr>
            <w:tcW w:w="40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kern w:val="0"/>
                <w:sz w:val="20"/>
                <w:szCs w:val="20"/>
                <w:highlight w:val="none"/>
                <w:lang w:val="en-US" w:eastAsia="zh-CN"/>
              </w:rPr>
            </w:pPr>
            <w:r>
              <w:rPr>
                <w:rFonts w:hint="eastAsia" w:ascii="宋体" w:hAnsi="宋体" w:eastAsia="宋体" w:cs="宋体"/>
                <w:kern w:val="0"/>
                <w:sz w:val="20"/>
                <w:szCs w:val="20"/>
                <w:highlight w:val="none"/>
                <w:lang w:val="en-US" w:eastAsia="zh-CN"/>
              </w:rPr>
              <w:t>数量</w:t>
            </w:r>
          </w:p>
        </w:tc>
        <w:tc>
          <w:tcPr>
            <w:tcW w:w="38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kern w:val="0"/>
                <w:sz w:val="20"/>
                <w:szCs w:val="20"/>
                <w:highlight w:val="none"/>
                <w:lang w:val="en-US" w:eastAsia="zh-CN"/>
              </w:rPr>
            </w:pPr>
            <w:r>
              <w:rPr>
                <w:rFonts w:hint="eastAsia" w:ascii="宋体" w:hAnsi="宋体" w:eastAsia="宋体" w:cs="宋体"/>
                <w:kern w:val="0"/>
                <w:sz w:val="20"/>
                <w:szCs w:val="20"/>
                <w:highlight w:val="none"/>
                <w:lang w:val="en-US" w:eastAsia="zh-CN"/>
              </w:rPr>
              <w:t>单位</w:t>
            </w:r>
          </w:p>
        </w:tc>
        <w:tc>
          <w:tcPr>
            <w:tcW w:w="127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bottom"/>
              <w:rPr>
                <w:rFonts w:hint="eastAsia" w:ascii="宋体" w:hAnsi="宋体" w:eastAsia="宋体" w:cs="宋体"/>
                <w:kern w:val="0"/>
                <w:sz w:val="20"/>
                <w:szCs w:val="20"/>
                <w:highlight w:val="none"/>
                <w:lang w:val="en-US" w:eastAsia="zh-CN"/>
              </w:rPr>
            </w:pPr>
            <w:r>
              <w:rPr>
                <w:rFonts w:hint="eastAsia" w:ascii="宋体" w:hAnsi="宋体" w:eastAsia="宋体" w:cs="宋体"/>
                <w:kern w:val="0"/>
                <w:sz w:val="20"/>
                <w:szCs w:val="20"/>
                <w:highlight w:val="none"/>
                <w:lang w:val="en-US" w:eastAsia="zh-CN"/>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456" w:type="pct"/>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等线" w:hAnsi="等线" w:eastAsia="等线" w:cs="等线"/>
                <w:i w:val="0"/>
                <w:iCs w:val="0"/>
                <w:color w:val="000000"/>
                <w:kern w:val="0"/>
                <w:sz w:val="22"/>
                <w:szCs w:val="22"/>
                <w:u w:val="none"/>
                <w:lang w:val="en-US" w:eastAsia="zh-CN" w:bidi="ar"/>
              </w:rPr>
            </w:pPr>
            <w:r>
              <w:rPr>
                <w:rFonts w:hint="eastAsia" w:ascii="等线" w:hAnsi="等线" w:eastAsia="等线" w:cs="等线"/>
                <w:i w:val="0"/>
                <w:iCs w:val="0"/>
                <w:color w:val="000000"/>
                <w:kern w:val="0"/>
                <w:sz w:val="22"/>
                <w:szCs w:val="22"/>
                <w:u w:val="none"/>
                <w:lang w:val="en-US" w:eastAsia="zh-CN" w:bidi="ar"/>
              </w:rPr>
              <w:t>1</w:t>
            </w:r>
          </w:p>
        </w:tc>
        <w:tc>
          <w:tcPr>
            <w:tcW w:w="60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智慧柜员机国芯适配业务社保卡附柜人社接口改造</w:t>
            </w:r>
          </w:p>
        </w:tc>
        <w:tc>
          <w:tcPr>
            <w:tcW w:w="75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社保卡管理系统接口适配</w:t>
            </w:r>
          </w:p>
        </w:tc>
        <w:tc>
          <w:tcPr>
            <w:tcW w:w="11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1.自助设备管理</w:t>
            </w:r>
          </w:p>
        </w:tc>
        <w:tc>
          <w:tcPr>
            <w:tcW w:w="401" w:type="pct"/>
            <w:vMerge w:val="restart"/>
            <w:tcBorders>
              <w:top w:val="single" w:color="000000" w:sz="4" w:space="0"/>
              <w:left w:val="single" w:color="000000" w:sz="4" w:space="0"/>
              <w:right w:val="single" w:color="000000" w:sz="4" w:space="0"/>
            </w:tcBorders>
            <w:shd w:val="clear" w:color="auto" w:fill="auto"/>
            <w:noWrap/>
            <w:vAlign w:val="bottom"/>
          </w:tcPr>
          <w:p>
            <w:pPr>
              <w:rPr>
                <w:rFonts w:hint="eastAsia" w:ascii="等线" w:hAnsi="等线" w:eastAsia="等线" w:cs="等线"/>
                <w:i w:val="0"/>
                <w:iCs w:val="0"/>
                <w:color w:val="000000"/>
                <w:sz w:val="22"/>
                <w:szCs w:val="22"/>
                <w:u w:val="none"/>
                <w:lang w:val="en-US" w:eastAsia="zh-CN"/>
              </w:rPr>
            </w:pPr>
            <w:r>
              <w:rPr>
                <w:rFonts w:hint="eastAsia" w:ascii="等线" w:hAnsi="等线" w:eastAsia="等线" w:cs="等线"/>
                <w:i w:val="0"/>
                <w:iCs w:val="0"/>
                <w:color w:val="000000"/>
                <w:sz w:val="22"/>
                <w:szCs w:val="22"/>
                <w:u w:val="none"/>
                <w:lang w:val="en-US" w:eastAsia="zh-CN"/>
              </w:rPr>
              <w:t>1</w:t>
            </w:r>
          </w:p>
        </w:tc>
        <w:tc>
          <w:tcPr>
            <w:tcW w:w="384" w:type="pct"/>
            <w:vMerge w:val="restart"/>
            <w:tcBorders>
              <w:top w:val="single" w:color="000000" w:sz="4" w:space="0"/>
              <w:left w:val="single" w:color="000000" w:sz="4" w:space="0"/>
              <w:right w:val="single" w:color="000000" w:sz="4" w:space="0"/>
            </w:tcBorders>
            <w:shd w:val="clear" w:color="auto" w:fill="auto"/>
            <w:noWrap/>
            <w:vAlign w:val="bottom"/>
          </w:tcPr>
          <w:p>
            <w:pPr>
              <w:rPr>
                <w:rFonts w:hint="eastAsia" w:ascii="等线" w:hAnsi="等线" w:eastAsia="等线" w:cs="等线"/>
                <w:i w:val="0"/>
                <w:iCs w:val="0"/>
                <w:color w:val="000000"/>
                <w:sz w:val="22"/>
                <w:szCs w:val="22"/>
                <w:u w:val="none"/>
                <w:lang w:eastAsia="zh-CN"/>
              </w:rPr>
            </w:pPr>
            <w:r>
              <w:rPr>
                <w:rFonts w:hint="eastAsia" w:ascii="等线" w:hAnsi="等线" w:eastAsia="等线" w:cs="等线"/>
                <w:i w:val="0"/>
                <w:iCs w:val="0"/>
                <w:color w:val="000000"/>
                <w:sz w:val="22"/>
                <w:szCs w:val="22"/>
                <w:u w:val="none"/>
                <w:lang w:eastAsia="zh-CN"/>
              </w:rPr>
              <w:t>套</w:t>
            </w:r>
          </w:p>
        </w:tc>
        <w:tc>
          <w:tcPr>
            <w:tcW w:w="127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 xml:space="preserve">  3年软件维护服务,省内地市（除厦门外）服务业务流程和政策要求不一样导致H5后端和前端页面均需调整。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456" w:type="pct"/>
            <w:vMerge w:val="continue"/>
            <w:tcBorders>
              <w:left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60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75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11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2.数据采集业务对接改造</w:t>
            </w:r>
          </w:p>
        </w:tc>
        <w:tc>
          <w:tcPr>
            <w:tcW w:w="401" w:type="pct"/>
            <w:vMerge w:val="continue"/>
            <w:tcBorders>
              <w:left w:val="single" w:color="000000" w:sz="4" w:space="0"/>
              <w:right w:val="single" w:color="000000" w:sz="4" w:space="0"/>
            </w:tcBorders>
            <w:shd w:val="clear" w:color="auto" w:fill="auto"/>
            <w:noWrap/>
            <w:vAlign w:val="bottom"/>
          </w:tcPr>
          <w:p>
            <w:pPr>
              <w:rPr>
                <w:rFonts w:hint="eastAsia" w:ascii="等线" w:hAnsi="等线" w:eastAsia="等线" w:cs="等线"/>
                <w:i w:val="0"/>
                <w:iCs w:val="0"/>
                <w:color w:val="000000"/>
                <w:sz w:val="22"/>
                <w:szCs w:val="22"/>
                <w:u w:val="none"/>
              </w:rPr>
            </w:pPr>
          </w:p>
        </w:tc>
        <w:tc>
          <w:tcPr>
            <w:tcW w:w="384" w:type="pct"/>
            <w:vMerge w:val="continue"/>
            <w:tcBorders>
              <w:left w:val="single" w:color="000000" w:sz="4" w:space="0"/>
              <w:right w:val="single" w:color="000000" w:sz="4" w:space="0"/>
            </w:tcBorders>
            <w:shd w:val="clear" w:color="auto" w:fill="auto"/>
            <w:noWrap/>
            <w:vAlign w:val="bottom"/>
          </w:tcPr>
          <w:p>
            <w:pPr>
              <w:rPr>
                <w:rFonts w:hint="eastAsia" w:ascii="等线" w:hAnsi="等线" w:eastAsia="等线" w:cs="等线"/>
                <w:i w:val="0"/>
                <w:iCs w:val="0"/>
                <w:color w:val="000000"/>
                <w:sz w:val="22"/>
                <w:szCs w:val="22"/>
                <w:u w:val="none"/>
              </w:rPr>
            </w:pPr>
          </w:p>
        </w:tc>
        <w:tc>
          <w:tcPr>
            <w:tcW w:w="127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等线" w:hAnsi="等线" w:eastAsia="等线" w:cs="等线"/>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456" w:type="pct"/>
            <w:vMerge w:val="continue"/>
            <w:tcBorders>
              <w:left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60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75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11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3.制卡申请业务流程对接改造</w:t>
            </w:r>
          </w:p>
        </w:tc>
        <w:tc>
          <w:tcPr>
            <w:tcW w:w="401" w:type="pct"/>
            <w:vMerge w:val="continue"/>
            <w:tcBorders>
              <w:left w:val="single" w:color="000000" w:sz="4" w:space="0"/>
              <w:right w:val="single" w:color="000000" w:sz="4" w:space="0"/>
            </w:tcBorders>
            <w:shd w:val="clear" w:color="auto" w:fill="auto"/>
            <w:noWrap/>
            <w:vAlign w:val="bottom"/>
          </w:tcPr>
          <w:p>
            <w:pPr>
              <w:rPr>
                <w:rFonts w:hint="eastAsia" w:ascii="等线" w:hAnsi="等线" w:eastAsia="等线" w:cs="等线"/>
                <w:i w:val="0"/>
                <w:iCs w:val="0"/>
                <w:color w:val="000000"/>
                <w:sz w:val="22"/>
                <w:szCs w:val="22"/>
                <w:u w:val="none"/>
              </w:rPr>
            </w:pPr>
          </w:p>
        </w:tc>
        <w:tc>
          <w:tcPr>
            <w:tcW w:w="384" w:type="pct"/>
            <w:vMerge w:val="continue"/>
            <w:tcBorders>
              <w:left w:val="single" w:color="000000" w:sz="4" w:space="0"/>
              <w:right w:val="single" w:color="000000" w:sz="4" w:space="0"/>
            </w:tcBorders>
            <w:shd w:val="clear" w:color="auto" w:fill="auto"/>
            <w:noWrap/>
            <w:vAlign w:val="bottom"/>
          </w:tcPr>
          <w:p>
            <w:pPr>
              <w:rPr>
                <w:rFonts w:hint="eastAsia" w:ascii="等线" w:hAnsi="等线" w:eastAsia="等线" w:cs="等线"/>
                <w:i w:val="0"/>
                <w:iCs w:val="0"/>
                <w:color w:val="000000"/>
                <w:sz w:val="22"/>
                <w:szCs w:val="22"/>
                <w:u w:val="none"/>
              </w:rPr>
            </w:pPr>
          </w:p>
        </w:tc>
        <w:tc>
          <w:tcPr>
            <w:tcW w:w="127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等线" w:hAnsi="等线" w:eastAsia="等线" w:cs="等线"/>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0" w:hRule="atLeast"/>
        </w:trPr>
        <w:tc>
          <w:tcPr>
            <w:tcW w:w="456" w:type="pct"/>
            <w:vMerge w:val="continue"/>
            <w:tcBorders>
              <w:left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60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75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11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4.社保卡日常管理对接改造</w:t>
            </w:r>
          </w:p>
        </w:tc>
        <w:tc>
          <w:tcPr>
            <w:tcW w:w="401" w:type="pct"/>
            <w:vMerge w:val="continue"/>
            <w:tcBorders>
              <w:left w:val="single" w:color="000000" w:sz="4" w:space="0"/>
              <w:right w:val="single" w:color="000000" w:sz="4" w:space="0"/>
            </w:tcBorders>
            <w:shd w:val="clear" w:color="auto" w:fill="auto"/>
            <w:noWrap/>
            <w:vAlign w:val="bottom"/>
          </w:tcPr>
          <w:p>
            <w:pPr>
              <w:rPr>
                <w:rFonts w:hint="eastAsia" w:ascii="等线" w:hAnsi="等线" w:eastAsia="等线" w:cs="等线"/>
                <w:i w:val="0"/>
                <w:iCs w:val="0"/>
                <w:color w:val="000000"/>
                <w:sz w:val="22"/>
                <w:szCs w:val="22"/>
                <w:u w:val="none"/>
              </w:rPr>
            </w:pPr>
          </w:p>
        </w:tc>
        <w:tc>
          <w:tcPr>
            <w:tcW w:w="384" w:type="pct"/>
            <w:vMerge w:val="continue"/>
            <w:tcBorders>
              <w:left w:val="single" w:color="000000" w:sz="4" w:space="0"/>
              <w:right w:val="single" w:color="000000" w:sz="4" w:space="0"/>
            </w:tcBorders>
            <w:shd w:val="clear" w:color="auto" w:fill="auto"/>
            <w:noWrap/>
            <w:vAlign w:val="bottom"/>
          </w:tcPr>
          <w:p>
            <w:pPr>
              <w:rPr>
                <w:rFonts w:hint="eastAsia" w:ascii="等线" w:hAnsi="等线" w:eastAsia="等线" w:cs="等线"/>
                <w:i w:val="0"/>
                <w:iCs w:val="0"/>
                <w:color w:val="000000"/>
                <w:sz w:val="22"/>
                <w:szCs w:val="22"/>
                <w:u w:val="none"/>
              </w:rPr>
            </w:pPr>
          </w:p>
        </w:tc>
        <w:tc>
          <w:tcPr>
            <w:tcW w:w="127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等线" w:hAnsi="等线" w:eastAsia="等线" w:cs="等线"/>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380" w:hRule="atLeast"/>
        </w:trPr>
        <w:tc>
          <w:tcPr>
            <w:tcW w:w="456" w:type="pct"/>
            <w:vMerge w:val="continue"/>
            <w:tcBorders>
              <w:left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60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75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11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5.社保卡领卡绑定服务对接改造</w:t>
            </w:r>
          </w:p>
        </w:tc>
        <w:tc>
          <w:tcPr>
            <w:tcW w:w="401" w:type="pct"/>
            <w:vMerge w:val="continue"/>
            <w:tcBorders>
              <w:left w:val="single" w:color="000000" w:sz="4" w:space="0"/>
              <w:right w:val="single" w:color="000000" w:sz="4" w:space="0"/>
            </w:tcBorders>
            <w:shd w:val="clear" w:color="auto" w:fill="auto"/>
            <w:noWrap/>
            <w:vAlign w:val="bottom"/>
          </w:tcPr>
          <w:p>
            <w:pPr>
              <w:rPr>
                <w:rFonts w:hint="eastAsia" w:ascii="等线" w:hAnsi="等线" w:eastAsia="等线" w:cs="等线"/>
                <w:i w:val="0"/>
                <w:iCs w:val="0"/>
                <w:color w:val="000000"/>
                <w:sz w:val="22"/>
                <w:szCs w:val="22"/>
                <w:u w:val="none"/>
              </w:rPr>
            </w:pPr>
          </w:p>
        </w:tc>
        <w:tc>
          <w:tcPr>
            <w:tcW w:w="384" w:type="pct"/>
            <w:vMerge w:val="continue"/>
            <w:tcBorders>
              <w:left w:val="single" w:color="000000" w:sz="4" w:space="0"/>
              <w:right w:val="single" w:color="000000" w:sz="4" w:space="0"/>
            </w:tcBorders>
            <w:shd w:val="clear" w:color="auto" w:fill="auto"/>
            <w:noWrap/>
            <w:vAlign w:val="bottom"/>
          </w:tcPr>
          <w:p>
            <w:pPr>
              <w:rPr>
                <w:rFonts w:hint="eastAsia" w:ascii="等线" w:hAnsi="等线" w:eastAsia="等线" w:cs="等线"/>
                <w:i w:val="0"/>
                <w:iCs w:val="0"/>
                <w:color w:val="000000"/>
                <w:sz w:val="22"/>
                <w:szCs w:val="22"/>
                <w:u w:val="none"/>
              </w:rPr>
            </w:pPr>
          </w:p>
        </w:tc>
        <w:tc>
          <w:tcPr>
            <w:tcW w:w="127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等线" w:hAnsi="等线" w:eastAsia="等线" w:cs="等线"/>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6" w:type="pct"/>
            <w:vMerge w:val="continue"/>
            <w:tcBorders>
              <w:left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60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75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 xml:space="preserve"> 社保卡读卡服务适配</w:t>
            </w:r>
          </w:p>
        </w:tc>
        <w:tc>
          <w:tcPr>
            <w:tcW w:w="11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1.社保卡解码管理</w:t>
            </w:r>
          </w:p>
        </w:tc>
        <w:tc>
          <w:tcPr>
            <w:tcW w:w="401" w:type="pct"/>
            <w:vMerge w:val="continue"/>
            <w:tcBorders>
              <w:left w:val="single" w:color="000000" w:sz="4" w:space="0"/>
              <w:right w:val="single" w:color="000000" w:sz="4" w:space="0"/>
            </w:tcBorders>
            <w:shd w:val="clear" w:color="auto" w:fill="auto"/>
            <w:noWrap/>
            <w:vAlign w:val="bottom"/>
          </w:tcPr>
          <w:p>
            <w:pPr>
              <w:rPr>
                <w:rFonts w:hint="eastAsia" w:ascii="等线" w:hAnsi="等线" w:eastAsia="等线" w:cs="等线"/>
                <w:i w:val="0"/>
                <w:iCs w:val="0"/>
                <w:color w:val="000000"/>
                <w:sz w:val="22"/>
                <w:szCs w:val="22"/>
                <w:u w:val="none"/>
              </w:rPr>
            </w:pPr>
          </w:p>
        </w:tc>
        <w:tc>
          <w:tcPr>
            <w:tcW w:w="384" w:type="pct"/>
            <w:vMerge w:val="continue"/>
            <w:tcBorders>
              <w:left w:val="single" w:color="000000" w:sz="4" w:space="0"/>
              <w:right w:val="single" w:color="000000" w:sz="4" w:space="0"/>
            </w:tcBorders>
            <w:shd w:val="clear" w:color="auto" w:fill="auto"/>
            <w:noWrap/>
            <w:vAlign w:val="bottom"/>
          </w:tcPr>
          <w:p>
            <w:pPr>
              <w:rPr>
                <w:rFonts w:hint="eastAsia" w:ascii="等线" w:hAnsi="等线" w:eastAsia="等线" w:cs="等线"/>
                <w:i w:val="0"/>
                <w:iCs w:val="0"/>
                <w:color w:val="000000"/>
                <w:sz w:val="22"/>
                <w:szCs w:val="22"/>
                <w:u w:val="none"/>
              </w:rPr>
            </w:pPr>
          </w:p>
        </w:tc>
        <w:tc>
          <w:tcPr>
            <w:tcW w:w="127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服务限同一品牌的智慧柜员机(STM)设备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6" w:type="pct"/>
            <w:vMerge w:val="continue"/>
            <w:tcBorders>
              <w:left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60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75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11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2.通信安全管理</w:t>
            </w:r>
          </w:p>
        </w:tc>
        <w:tc>
          <w:tcPr>
            <w:tcW w:w="401" w:type="pct"/>
            <w:vMerge w:val="continue"/>
            <w:tcBorders>
              <w:left w:val="single" w:color="000000" w:sz="4" w:space="0"/>
              <w:right w:val="single" w:color="000000" w:sz="4" w:space="0"/>
            </w:tcBorders>
            <w:shd w:val="clear" w:color="auto" w:fill="auto"/>
            <w:noWrap/>
            <w:vAlign w:val="bottom"/>
          </w:tcPr>
          <w:p>
            <w:pPr>
              <w:rPr>
                <w:rFonts w:hint="eastAsia" w:ascii="等线" w:hAnsi="等线" w:eastAsia="等线" w:cs="等线"/>
                <w:i w:val="0"/>
                <w:iCs w:val="0"/>
                <w:color w:val="000000"/>
                <w:sz w:val="22"/>
                <w:szCs w:val="22"/>
                <w:u w:val="none"/>
              </w:rPr>
            </w:pPr>
          </w:p>
        </w:tc>
        <w:tc>
          <w:tcPr>
            <w:tcW w:w="384" w:type="pct"/>
            <w:vMerge w:val="continue"/>
            <w:tcBorders>
              <w:left w:val="single" w:color="000000" w:sz="4" w:space="0"/>
              <w:right w:val="single" w:color="000000" w:sz="4" w:space="0"/>
            </w:tcBorders>
            <w:shd w:val="clear" w:color="auto" w:fill="auto"/>
            <w:noWrap/>
            <w:vAlign w:val="bottom"/>
          </w:tcPr>
          <w:p>
            <w:pPr>
              <w:rPr>
                <w:rFonts w:hint="eastAsia" w:ascii="等线" w:hAnsi="等线" w:eastAsia="等线" w:cs="等线"/>
                <w:i w:val="0"/>
                <w:iCs w:val="0"/>
                <w:color w:val="000000"/>
                <w:sz w:val="22"/>
                <w:szCs w:val="22"/>
                <w:u w:val="none"/>
              </w:rPr>
            </w:pPr>
          </w:p>
        </w:tc>
        <w:tc>
          <w:tcPr>
            <w:tcW w:w="127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等线" w:hAnsi="等线" w:eastAsia="等线" w:cs="等线"/>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6" w:type="pct"/>
            <w:vMerge w:val="continue"/>
            <w:tcBorders>
              <w:left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60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75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11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3.数据保护管理</w:t>
            </w:r>
          </w:p>
        </w:tc>
        <w:tc>
          <w:tcPr>
            <w:tcW w:w="401" w:type="pct"/>
            <w:vMerge w:val="continue"/>
            <w:tcBorders>
              <w:left w:val="single" w:color="000000" w:sz="4" w:space="0"/>
              <w:right w:val="single" w:color="000000" w:sz="4" w:space="0"/>
            </w:tcBorders>
            <w:shd w:val="clear" w:color="auto" w:fill="auto"/>
            <w:noWrap/>
            <w:vAlign w:val="bottom"/>
          </w:tcPr>
          <w:p>
            <w:pPr>
              <w:rPr>
                <w:rFonts w:hint="eastAsia" w:ascii="等线" w:hAnsi="等线" w:eastAsia="等线" w:cs="等线"/>
                <w:i w:val="0"/>
                <w:iCs w:val="0"/>
                <w:color w:val="000000"/>
                <w:sz w:val="22"/>
                <w:szCs w:val="22"/>
                <w:u w:val="none"/>
              </w:rPr>
            </w:pPr>
          </w:p>
        </w:tc>
        <w:tc>
          <w:tcPr>
            <w:tcW w:w="384" w:type="pct"/>
            <w:vMerge w:val="continue"/>
            <w:tcBorders>
              <w:left w:val="single" w:color="000000" w:sz="4" w:space="0"/>
              <w:right w:val="single" w:color="000000" w:sz="4" w:space="0"/>
            </w:tcBorders>
            <w:shd w:val="clear" w:color="auto" w:fill="auto"/>
            <w:noWrap/>
            <w:vAlign w:val="bottom"/>
          </w:tcPr>
          <w:p>
            <w:pPr>
              <w:rPr>
                <w:rFonts w:hint="eastAsia" w:ascii="等线" w:hAnsi="等线" w:eastAsia="等线" w:cs="等线"/>
                <w:i w:val="0"/>
                <w:iCs w:val="0"/>
                <w:color w:val="000000"/>
                <w:sz w:val="22"/>
                <w:szCs w:val="22"/>
                <w:u w:val="none"/>
              </w:rPr>
            </w:pPr>
          </w:p>
        </w:tc>
        <w:tc>
          <w:tcPr>
            <w:tcW w:w="127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等线" w:hAnsi="等线" w:eastAsia="等线" w:cs="等线"/>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6" w:type="pct"/>
            <w:vMerge w:val="continue"/>
            <w:tcBorders>
              <w:left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60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75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11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4.容错管理</w:t>
            </w:r>
          </w:p>
        </w:tc>
        <w:tc>
          <w:tcPr>
            <w:tcW w:w="401" w:type="pct"/>
            <w:vMerge w:val="continue"/>
            <w:tcBorders>
              <w:left w:val="single" w:color="000000" w:sz="4" w:space="0"/>
              <w:right w:val="single" w:color="000000" w:sz="4" w:space="0"/>
            </w:tcBorders>
            <w:shd w:val="clear" w:color="auto" w:fill="auto"/>
            <w:noWrap/>
            <w:vAlign w:val="bottom"/>
          </w:tcPr>
          <w:p>
            <w:pPr>
              <w:rPr>
                <w:rFonts w:hint="eastAsia" w:ascii="等线" w:hAnsi="等线" w:eastAsia="等线" w:cs="等线"/>
                <w:i w:val="0"/>
                <w:iCs w:val="0"/>
                <w:color w:val="000000"/>
                <w:sz w:val="22"/>
                <w:szCs w:val="22"/>
                <w:u w:val="none"/>
              </w:rPr>
            </w:pPr>
          </w:p>
        </w:tc>
        <w:tc>
          <w:tcPr>
            <w:tcW w:w="384" w:type="pct"/>
            <w:vMerge w:val="continue"/>
            <w:tcBorders>
              <w:left w:val="single" w:color="000000" w:sz="4" w:space="0"/>
              <w:right w:val="single" w:color="000000" w:sz="4" w:space="0"/>
            </w:tcBorders>
            <w:shd w:val="clear" w:color="auto" w:fill="auto"/>
            <w:noWrap/>
            <w:vAlign w:val="bottom"/>
          </w:tcPr>
          <w:p>
            <w:pPr>
              <w:rPr>
                <w:rFonts w:hint="eastAsia" w:ascii="等线" w:hAnsi="等线" w:eastAsia="等线" w:cs="等线"/>
                <w:i w:val="0"/>
                <w:iCs w:val="0"/>
                <w:color w:val="000000"/>
                <w:sz w:val="22"/>
                <w:szCs w:val="22"/>
                <w:u w:val="none"/>
              </w:rPr>
            </w:pPr>
          </w:p>
        </w:tc>
        <w:tc>
          <w:tcPr>
            <w:tcW w:w="127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等线" w:hAnsi="等线" w:eastAsia="等线" w:cs="等线"/>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6" w:type="pct"/>
            <w:vMerge w:val="continue"/>
            <w:tcBorders>
              <w:left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60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75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111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5.非对称认证系统环境管理</w:t>
            </w:r>
          </w:p>
        </w:tc>
        <w:tc>
          <w:tcPr>
            <w:tcW w:w="401" w:type="pct"/>
            <w:vMerge w:val="continue"/>
            <w:tcBorders>
              <w:left w:val="single" w:color="000000" w:sz="4" w:space="0"/>
              <w:right w:val="single" w:color="000000" w:sz="4" w:space="0"/>
            </w:tcBorders>
            <w:shd w:val="clear" w:color="auto" w:fill="auto"/>
            <w:noWrap/>
            <w:vAlign w:val="bottom"/>
          </w:tcPr>
          <w:p>
            <w:pPr>
              <w:rPr>
                <w:rFonts w:hint="eastAsia" w:ascii="等线" w:hAnsi="等线" w:eastAsia="等线" w:cs="等线"/>
                <w:i w:val="0"/>
                <w:iCs w:val="0"/>
                <w:color w:val="000000"/>
                <w:sz w:val="22"/>
                <w:szCs w:val="22"/>
                <w:u w:val="none"/>
              </w:rPr>
            </w:pPr>
          </w:p>
        </w:tc>
        <w:tc>
          <w:tcPr>
            <w:tcW w:w="384" w:type="pct"/>
            <w:vMerge w:val="continue"/>
            <w:tcBorders>
              <w:left w:val="single" w:color="000000" w:sz="4" w:space="0"/>
              <w:right w:val="single" w:color="000000" w:sz="4" w:space="0"/>
            </w:tcBorders>
            <w:shd w:val="clear" w:color="auto" w:fill="auto"/>
            <w:noWrap/>
            <w:vAlign w:val="bottom"/>
          </w:tcPr>
          <w:p>
            <w:pPr>
              <w:rPr>
                <w:rFonts w:hint="eastAsia" w:ascii="等线" w:hAnsi="等线" w:eastAsia="等线" w:cs="等线"/>
                <w:i w:val="0"/>
                <w:iCs w:val="0"/>
                <w:color w:val="000000"/>
                <w:sz w:val="22"/>
                <w:szCs w:val="22"/>
                <w:u w:val="none"/>
              </w:rPr>
            </w:pPr>
          </w:p>
        </w:tc>
        <w:tc>
          <w:tcPr>
            <w:tcW w:w="127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等线" w:hAnsi="等线" w:eastAsia="等线" w:cs="等线"/>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456" w:type="pct"/>
            <w:vMerge w:val="continue"/>
            <w:tcBorders>
              <w:left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60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75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111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6.日志管理</w:t>
            </w:r>
          </w:p>
        </w:tc>
        <w:tc>
          <w:tcPr>
            <w:tcW w:w="401" w:type="pct"/>
            <w:vMerge w:val="continue"/>
            <w:tcBorders>
              <w:left w:val="single" w:color="000000" w:sz="4" w:space="0"/>
              <w:right w:val="single" w:color="000000" w:sz="4" w:space="0"/>
            </w:tcBorders>
            <w:shd w:val="clear" w:color="auto" w:fill="auto"/>
            <w:noWrap/>
            <w:vAlign w:val="bottom"/>
          </w:tcPr>
          <w:p>
            <w:pPr>
              <w:rPr>
                <w:rFonts w:hint="eastAsia" w:ascii="等线" w:hAnsi="等线" w:eastAsia="等线" w:cs="等线"/>
                <w:i w:val="0"/>
                <w:iCs w:val="0"/>
                <w:color w:val="000000"/>
                <w:sz w:val="22"/>
                <w:szCs w:val="22"/>
                <w:u w:val="none"/>
              </w:rPr>
            </w:pPr>
          </w:p>
        </w:tc>
        <w:tc>
          <w:tcPr>
            <w:tcW w:w="384" w:type="pct"/>
            <w:vMerge w:val="continue"/>
            <w:tcBorders>
              <w:left w:val="single" w:color="000000" w:sz="4" w:space="0"/>
              <w:right w:val="single" w:color="000000" w:sz="4" w:space="0"/>
            </w:tcBorders>
            <w:shd w:val="clear" w:color="auto" w:fill="auto"/>
            <w:noWrap/>
            <w:vAlign w:val="bottom"/>
          </w:tcPr>
          <w:p>
            <w:pPr>
              <w:rPr>
                <w:rFonts w:hint="eastAsia" w:ascii="等线" w:hAnsi="等线" w:eastAsia="等线" w:cs="等线"/>
                <w:i w:val="0"/>
                <w:iCs w:val="0"/>
                <w:color w:val="000000"/>
                <w:sz w:val="22"/>
                <w:szCs w:val="22"/>
                <w:u w:val="none"/>
              </w:rPr>
            </w:pPr>
          </w:p>
        </w:tc>
        <w:tc>
          <w:tcPr>
            <w:tcW w:w="127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等线" w:hAnsi="等线" w:eastAsia="等线" w:cs="等线"/>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5" w:hRule="atLeast"/>
        </w:trPr>
        <w:tc>
          <w:tcPr>
            <w:tcW w:w="456" w:type="pct"/>
            <w:vMerge w:val="continue"/>
            <w:tcBorders>
              <w:left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60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753"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社保卡H5页面跳转接口功能改造</w:t>
            </w:r>
          </w:p>
        </w:tc>
        <w:tc>
          <w:tcPr>
            <w:tcW w:w="111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1.个人信息查询页</w:t>
            </w:r>
          </w:p>
        </w:tc>
        <w:tc>
          <w:tcPr>
            <w:tcW w:w="401" w:type="pct"/>
            <w:vMerge w:val="continue"/>
            <w:tcBorders>
              <w:left w:val="single" w:color="000000" w:sz="4" w:space="0"/>
              <w:right w:val="single" w:color="000000" w:sz="4" w:space="0"/>
            </w:tcBorders>
            <w:shd w:val="clear" w:color="auto" w:fill="auto"/>
            <w:noWrap/>
            <w:vAlign w:val="bottom"/>
          </w:tcPr>
          <w:p>
            <w:pPr>
              <w:rPr>
                <w:rFonts w:hint="eastAsia" w:ascii="等线" w:hAnsi="等线" w:eastAsia="等线" w:cs="等线"/>
                <w:i w:val="0"/>
                <w:iCs w:val="0"/>
                <w:color w:val="000000"/>
                <w:sz w:val="22"/>
                <w:szCs w:val="22"/>
                <w:u w:val="none"/>
              </w:rPr>
            </w:pPr>
          </w:p>
        </w:tc>
        <w:tc>
          <w:tcPr>
            <w:tcW w:w="384" w:type="pct"/>
            <w:vMerge w:val="continue"/>
            <w:tcBorders>
              <w:left w:val="single" w:color="000000" w:sz="4" w:space="0"/>
              <w:right w:val="single" w:color="000000" w:sz="4" w:space="0"/>
            </w:tcBorders>
            <w:shd w:val="clear" w:color="auto" w:fill="auto"/>
            <w:noWrap/>
            <w:vAlign w:val="bottom"/>
          </w:tcPr>
          <w:p>
            <w:pPr>
              <w:rPr>
                <w:rFonts w:hint="eastAsia" w:ascii="等线" w:hAnsi="等线" w:eastAsia="等线" w:cs="等线"/>
                <w:i w:val="0"/>
                <w:iCs w:val="0"/>
                <w:color w:val="000000"/>
                <w:sz w:val="22"/>
                <w:szCs w:val="22"/>
                <w:u w:val="none"/>
              </w:rPr>
            </w:pPr>
          </w:p>
        </w:tc>
        <w:tc>
          <w:tcPr>
            <w:tcW w:w="1278" w:type="pct"/>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包含人员信息查询、个人基本信息采集、个人基本信息变更、照片查询、照片变更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456" w:type="pct"/>
            <w:vMerge w:val="continue"/>
            <w:tcBorders>
              <w:left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60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75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111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2.制卡申请页</w:t>
            </w:r>
          </w:p>
        </w:tc>
        <w:tc>
          <w:tcPr>
            <w:tcW w:w="401" w:type="pct"/>
            <w:vMerge w:val="continue"/>
            <w:tcBorders>
              <w:left w:val="single" w:color="000000" w:sz="4" w:space="0"/>
              <w:right w:val="single" w:color="000000" w:sz="4" w:space="0"/>
            </w:tcBorders>
            <w:shd w:val="clear" w:color="auto" w:fill="auto"/>
            <w:noWrap/>
            <w:vAlign w:val="bottom"/>
          </w:tcPr>
          <w:p>
            <w:pPr>
              <w:rPr>
                <w:rFonts w:hint="eastAsia" w:ascii="等线" w:hAnsi="等线" w:eastAsia="等线" w:cs="等线"/>
                <w:i w:val="0"/>
                <w:iCs w:val="0"/>
                <w:color w:val="000000"/>
                <w:sz w:val="22"/>
                <w:szCs w:val="22"/>
                <w:u w:val="none"/>
              </w:rPr>
            </w:pPr>
          </w:p>
        </w:tc>
        <w:tc>
          <w:tcPr>
            <w:tcW w:w="384" w:type="pct"/>
            <w:vMerge w:val="continue"/>
            <w:tcBorders>
              <w:left w:val="single" w:color="000000" w:sz="4" w:space="0"/>
              <w:right w:val="single" w:color="000000" w:sz="4" w:space="0"/>
            </w:tcBorders>
            <w:shd w:val="clear" w:color="auto" w:fill="auto"/>
            <w:noWrap/>
            <w:vAlign w:val="bottom"/>
          </w:tcPr>
          <w:p>
            <w:pPr>
              <w:rPr>
                <w:rFonts w:hint="eastAsia" w:ascii="等线" w:hAnsi="等线" w:eastAsia="等线" w:cs="等线"/>
                <w:i w:val="0"/>
                <w:iCs w:val="0"/>
                <w:color w:val="000000"/>
                <w:sz w:val="22"/>
                <w:szCs w:val="22"/>
                <w:u w:val="none"/>
              </w:rPr>
            </w:pPr>
          </w:p>
        </w:tc>
        <w:tc>
          <w:tcPr>
            <w:tcW w:w="1278" w:type="pct"/>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包含个人社保卡信息查询、制卡申请校验、联网停用异地社保卡、制卡申请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456" w:type="pct"/>
            <w:vMerge w:val="continue"/>
            <w:tcBorders>
              <w:left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60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75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111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3.申请记录查询页</w:t>
            </w:r>
          </w:p>
        </w:tc>
        <w:tc>
          <w:tcPr>
            <w:tcW w:w="401" w:type="pct"/>
            <w:vMerge w:val="continue"/>
            <w:tcBorders>
              <w:left w:val="single" w:color="000000" w:sz="4" w:space="0"/>
              <w:right w:val="single" w:color="000000" w:sz="4" w:space="0"/>
            </w:tcBorders>
            <w:shd w:val="clear" w:color="auto" w:fill="auto"/>
            <w:noWrap/>
            <w:vAlign w:val="bottom"/>
          </w:tcPr>
          <w:p>
            <w:pPr>
              <w:rPr>
                <w:rFonts w:hint="eastAsia" w:ascii="等线" w:hAnsi="等线" w:eastAsia="等线" w:cs="等线"/>
                <w:i w:val="0"/>
                <w:iCs w:val="0"/>
                <w:color w:val="000000"/>
                <w:sz w:val="22"/>
                <w:szCs w:val="22"/>
                <w:u w:val="none"/>
              </w:rPr>
            </w:pPr>
          </w:p>
        </w:tc>
        <w:tc>
          <w:tcPr>
            <w:tcW w:w="384" w:type="pct"/>
            <w:vMerge w:val="continue"/>
            <w:tcBorders>
              <w:left w:val="single" w:color="000000" w:sz="4" w:space="0"/>
              <w:right w:val="single" w:color="000000" w:sz="4" w:space="0"/>
            </w:tcBorders>
            <w:shd w:val="clear" w:color="auto" w:fill="auto"/>
            <w:noWrap/>
            <w:vAlign w:val="bottom"/>
          </w:tcPr>
          <w:p>
            <w:pPr>
              <w:rPr>
                <w:rFonts w:hint="eastAsia" w:ascii="等线" w:hAnsi="等线" w:eastAsia="等线" w:cs="等线"/>
                <w:i w:val="0"/>
                <w:iCs w:val="0"/>
                <w:color w:val="000000"/>
                <w:sz w:val="22"/>
                <w:szCs w:val="22"/>
                <w:u w:val="none"/>
              </w:rPr>
            </w:pPr>
          </w:p>
        </w:tc>
        <w:tc>
          <w:tcPr>
            <w:tcW w:w="1278" w:type="pct"/>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包含申请记录查询、制卡申请撤销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456" w:type="pct"/>
            <w:vMerge w:val="continue"/>
            <w:tcBorders>
              <w:left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60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75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111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4.写卡页</w:t>
            </w:r>
          </w:p>
        </w:tc>
        <w:tc>
          <w:tcPr>
            <w:tcW w:w="401" w:type="pct"/>
            <w:vMerge w:val="continue"/>
            <w:tcBorders>
              <w:left w:val="single" w:color="000000" w:sz="4" w:space="0"/>
              <w:right w:val="single" w:color="000000" w:sz="4" w:space="0"/>
            </w:tcBorders>
            <w:shd w:val="clear" w:color="auto" w:fill="auto"/>
            <w:noWrap/>
            <w:vAlign w:val="bottom"/>
          </w:tcPr>
          <w:p>
            <w:pPr>
              <w:rPr>
                <w:rFonts w:hint="eastAsia" w:ascii="等线" w:hAnsi="等线" w:eastAsia="等线" w:cs="等线"/>
                <w:i w:val="0"/>
                <w:iCs w:val="0"/>
                <w:color w:val="000000"/>
                <w:sz w:val="22"/>
                <w:szCs w:val="22"/>
                <w:u w:val="none"/>
              </w:rPr>
            </w:pPr>
          </w:p>
        </w:tc>
        <w:tc>
          <w:tcPr>
            <w:tcW w:w="384" w:type="pct"/>
            <w:vMerge w:val="continue"/>
            <w:tcBorders>
              <w:left w:val="single" w:color="000000" w:sz="4" w:space="0"/>
              <w:right w:val="single" w:color="000000" w:sz="4" w:space="0"/>
            </w:tcBorders>
            <w:shd w:val="clear" w:color="auto" w:fill="auto"/>
            <w:noWrap/>
            <w:vAlign w:val="bottom"/>
          </w:tcPr>
          <w:p>
            <w:pPr>
              <w:rPr>
                <w:rFonts w:hint="eastAsia" w:ascii="等线" w:hAnsi="等线" w:eastAsia="等线" w:cs="等线"/>
                <w:i w:val="0"/>
                <w:iCs w:val="0"/>
                <w:color w:val="000000"/>
                <w:sz w:val="22"/>
                <w:szCs w:val="22"/>
                <w:u w:val="none"/>
              </w:rPr>
            </w:pPr>
          </w:p>
        </w:tc>
        <w:tc>
          <w:tcPr>
            <w:tcW w:w="1278" w:type="pct"/>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包含写卡信息预览、动态库写卡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0" w:hRule="atLeast"/>
        </w:trPr>
        <w:tc>
          <w:tcPr>
            <w:tcW w:w="456" w:type="pct"/>
            <w:vMerge w:val="continue"/>
            <w:tcBorders>
              <w:left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60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75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111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5.打印卡面页</w:t>
            </w:r>
          </w:p>
        </w:tc>
        <w:tc>
          <w:tcPr>
            <w:tcW w:w="401" w:type="pct"/>
            <w:vMerge w:val="continue"/>
            <w:tcBorders>
              <w:left w:val="single" w:color="000000" w:sz="4" w:space="0"/>
              <w:right w:val="single" w:color="000000" w:sz="4" w:space="0"/>
            </w:tcBorders>
            <w:shd w:val="clear" w:color="auto" w:fill="auto"/>
            <w:noWrap/>
            <w:vAlign w:val="bottom"/>
          </w:tcPr>
          <w:p>
            <w:pPr>
              <w:rPr>
                <w:rFonts w:hint="eastAsia" w:ascii="等线" w:hAnsi="等线" w:eastAsia="等线" w:cs="等线"/>
                <w:i w:val="0"/>
                <w:iCs w:val="0"/>
                <w:color w:val="000000"/>
                <w:sz w:val="22"/>
                <w:szCs w:val="22"/>
                <w:u w:val="none"/>
              </w:rPr>
            </w:pPr>
          </w:p>
        </w:tc>
        <w:tc>
          <w:tcPr>
            <w:tcW w:w="384" w:type="pct"/>
            <w:vMerge w:val="continue"/>
            <w:tcBorders>
              <w:left w:val="single" w:color="000000" w:sz="4" w:space="0"/>
              <w:right w:val="single" w:color="000000" w:sz="4" w:space="0"/>
            </w:tcBorders>
            <w:shd w:val="clear" w:color="auto" w:fill="auto"/>
            <w:noWrap/>
            <w:vAlign w:val="bottom"/>
          </w:tcPr>
          <w:p>
            <w:pPr>
              <w:rPr>
                <w:rFonts w:hint="eastAsia" w:ascii="等线" w:hAnsi="等线" w:eastAsia="等线" w:cs="等线"/>
                <w:i w:val="0"/>
                <w:iCs w:val="0"/>
                <w:color w:val="000000"/>
                <w:sz w:val="22"/>
                <w:szCs w:val="22"/>
                <w:u w:val="none"/>
              </w:rPr>
            </w:pPr>
          </w:p>
        </w:tc>
        <w:tc>
          <w:tcPr>
            <w:tcW w:w="1278" w:type="pct"/>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包含卡面预览、卡面打印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85" w:hRule="atLeast"/>
        </w:trPr>
        <w:tc>
          <w:tcPr>
            <w:tcW w:w="456" w:type="pct"/>
            <w:vMerge w:val="continue"/>
            <w:tcBorders>
              <w:left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60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75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111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6.社保卡激活页</w:t>
            </w:r>
          </w:p>
        </w:tc>
        <w:tc>
          <w:tcPr>
            <w:tcW w:w="401" w:type="pct"/>
            <w:vMerge w:val="continue"/>
            <w:tcBorders>
              <w:left w:val="single" w:color="000000" w:sz="4" w:space="0"/>
              <w:right w:val="single" w:color="000000" w:sz="4" w:space="0"/>
            </w:tcBorders>
            <w:shd w:val="clear" w:color="auto" w:fill="auto"/>
            <w:noWrap/>
            <w:vAlign w:val="bottom"/>
          </w:tcPr>
          <w:p>
            <w:pPr>
              <w:rPr>
                <w:rFonts w:hint="eastAsia" w:ascii="等线" w:hAnsi="等线" w:eastAsia="等线" w:cs="等线"/>
                <w:i w:val="0"/>
                <w:iCs w:val="0"/>
                <w:color w:val="000000"/>
                <w:sz w:val="22"/>
                <w:szCs w:val="22"/>
                <w:u w:val="none"/>
              </w:rPr>
            </w:pPr>
          </w:p>
        </w:tc>
        <w:tc>
          <w:tcPr>
            <w:tcW w:w="384" w:type="pct"/>
            <w:vMerge w:val="continue"/>
            <w:tcBorders>
              <w:left w:val="single" w:color="000000" w:sz="4" w:space="0"/>
              <w:right w:val="single" w:color="000000" w:sz="4" w:space="0"/>
            </w:tcBorders>
            <w:shd w:val="clear" w:color="auto" w:fill="auto"/>
            <w:noWrap/>
            <w:vAlign w:val="bottom"/>
          </w:tcPr>
          <w:p>
            <w:pPr>
              <w:rPr>
                <w:rFonts w:hint="eastAsia" w:ascii="等线" w:hAnsi="等线" w:eastAsia="等线" w:cs="等线"/>
                <w:i w:val="0"/>
                <w:iCs w:val="0"/>
                <w:color w:val="000000"/>
                <w:sz w:val="22"/>
                <w:szCs w:val="22"/>
                <w:u w:val="none"/>
              </w:rPr>
            </w:pPr>
          </w:p>
        </w:tc>
        <w:tc>
          <w:tcPr>
            <w:tcW w:w="1278" w:type="pct"/>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激活确认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40" w:hRule="atLeast"/>
        </w:trPr>
        <w:tc>
          <w:tcPr>
            <w:tcW w:w="456" w:type="pct"/>
            <w:vMerge w:val="continue"/>
            <w:tcBorders>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60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等线" w:hAnsi="等线" w:eastAsia="等线" w:cs="等线"/>
                <w:i w:val="0"/>
                <w:iCs w:val="0"/>
                <w:color w:val="000000"/>
                <w:sz w:val="22"/>
                <w:szCs w:val="22"/>
                <w:u w:val="none"/>
              </w:rPr>
            </w:pPr>
          </w:p>
        </w:tc>
        <w:tc>
          <w:tcPr>
            <w:tcW w:w="753"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等线" w:hAnsi="等线" w:eastAsia="等线" w:cs="等线"/>
                <w:i w:val="0"/>
                <w:iCs w:val="0"/>
                <w:color w:val="000000"/>
                <w:sz w:val="22"/>
                <w:szCs w:val="22"/>
                <w:u w:val="none"/>
              </w:rPr>
            </w:pPr>
          </w:p>
        </w:tc>
        <w:tc>
          <w:tcPr>
            <w:tcW w:w="1119" w:type="pct"/>
            <w:tcBorders>
              <w:top w:val="single" w:color="000000" w:sz="4" w:space="0"/>
              <w:left w:val="single" w:color="000000" w:sz="4" w:space="0"/>
              <w:bottom w:val="single" w:color="000000" w:sz="4" w:space="0"/>
              <w:right w:val="single" w:color="000000" w:sz="4" w:space="0"/>
            </w:tcBorders>
            <w:shd w:val="clear" w:color="auto" w:fill="auto"/>
            <w:noWrap/>
            <w:vAlign w:val="bottom"/>
          </w:tcPr>
          <w:p>
            <w:pPr>
              <w:keepNext w:val="0"/>
              <w:keepLines w:val="0"/>
              <w:widowControl/>
              <w:suppressLineNumbers w:val="0"/>
              <w:jc w:val="left"/>
              <w:textAlignment w:val="bottom"/>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7.社保卡状态维护页</w:t>
            </w:r>
          </w:p>
        </w:tc>
        <w:tc>
          <w:tcPr>
            <w:tcW w:w="401" w:type="pct"/>
            <w:vMerge w:val="continue"/>
            <w:tcBorders>
              <w:left w:val="single" w:color="000000" w:sz="4" w:space="0"/>
              <w:bottom w:val="single" w:color="000000" w:sz="4" w:space="0"/>
              <w:right w:val="single" w:color="000000" w:sz="4" w:space="0"/>
            </w:tcBorders>
            <w:shd w:val="clear" w:color="auto" w:fill="auto"/>
            <w:noWrap/>
            <w:vAlign w:val="bottom"/>
          </w:tcPr>
          <w:p>
            <w:pPr>
              <w:rPr>
                <w:rFonts w:hint="eastAsia" w:ascii="等线" w:hAnsi="等线" w:eastAsia="等线" w:cs="等线"/>
                <w:i w:val="0"/>
                <w:iCs w:val="0"/>
                <w:color w:val="000000"/>
                <w:sz w:val="22"/>
                <w:szCs w:val="22"/>
                <w:u w:val="none"/>
              </w:rPr>
            </w:pPr>
          </w:p>
        </w:tc>
        <w:tc>
          <w:tcPr>
            <w:tcW w:w="384" w:type="pct"/>
            <w:vMerge w:val="continue"/>
            <w:tcBorders>
              <w:left w:val="single" w:color="000000" w:sz="4" w:space="0"/>
              <w:bottom w:val="single" w:color="000000" w:sz="4" w:space="0"/>
              <w:right w:val="single" w:color="000000" w:sz="4" w:space="0"/>
            </w:tcBorders>
            <w:shd w:val="clear" w:color="auto" w:fill="auto"/>
            <w:noWrap/>
            <w:vAlign w:val="bottom"/>
          </w:tcPr>
          <w:p>
            <w:pPr>
              <w:rPr>
                <w:rFonts w:hint="eastAsia" w:ascii="等线" w:hAnsi="等线" w:eastAsia="等线" w:cs="等线"/>
                <w:i w:val="0"/>
                <w:iCs w:val="0"/>
                <w:color w:val="000000"/>
                <w:sz w:val="22"/>
                <w:szCs w:val="22"/>
                <w:u w:val="none"/>
              </w:rPr>
            </w:pPr>
          </w:p>
        </w:tc>
        <w:tc>
          <w:tcPr>
            <w:tcW w:w="1278" w:type="pct"/>
            <w:tcBorders>
              <w:top w:val="single" w:color="000000" w:sz="4" w:space="0"/>
              <w:left w:val="single" w:color="000000" w:sz="4" w:space="0"/>
              <w:bottom w:val="single" w:color="000000" w:sz="4" w:space="0"/>
              <w:right w:val="single" w:color="000000" w:sz="4" w:space="0"/>
            </w:tcBorders>
            <w:shd w:val="clear" w:color="auto" w:fill="auto"/>
            <w:vAlign w:val="bottom"/>
          </w:tcPr>
          <w:p>
            <w:pPr>
              <w:keepNext w:val="0"/>
              <w:keepLines w:val="0"/>
              <w:widowControl/>
              <w:suppressLineNumbers w:val="0"/>
              <w:jc w:val="left"/>
              <w:textAlignment w:val="bottom"/>
              <w:rPr>
                <w:rFonts w:hint="eastAsia" w:ascii="等线" w:hAnsi="等线" w:eastAsia="等线" w:cs="等线"/>
                <w:i w:val="0"/>
                <w:iCs w:val="0"/>
                <w:color w:val="000000"/>
                <w:sz w:val="22"/>
                <w:szCs w:val="22"/>
                <w:u w:val="none"/>
              </w:rPr>
            </w:pPr>
            <w:r>
              <w:rPr>
                <w:rFonts w:hint="eastAsia" w:ascii="等线" w:hAnsi="等线" w:eastAsia="等线" w:cs="等线"/>
                <w:i w:val="0"/>
                <w:iCs w:val="0"/>
                <w:color w:val="000000"/>
                <w:kern w:val="0"/>
                <w:sz w:val="22"/>
                <w:szCs w:val="22"/>
                <w:u w:val="none"/>
                <w:lang w:val="en-US" w:eastAsia="zh-CN" w:bidi="ar"/>
              </w:rPr>
              <w:t>包含社保卡状态查询、社保卡挂失、社保卡解除挂失、社保卡停用、社保卡启用、社保卡注销</w:t>
            </w:r>
          </w:p>
        </w:tc>
      </w:tr>
    </w:tbl>
    <w:p>
      <w:pPr>
        <w:adjustRightInd w:val="0"/>
        <w:snapToGrid w:val="0"/>
        <w:spacing w:line="560" w:lineRule="atLeast"/>
        <w:ind w:firstLine="642" w:firstLineChars="200"/>
        <w:rPr>
          <w:rFonts w:ascii="彩虹粗仿宋" w:hAnsi="宋体" w:eastAsia="彩虹粗仿宋" w:cs="Times New Roman"/>
          <w:b/>
          <w:snapToGrid w:val="0"/>
          <w:kern w:val="0"/>
          <w:sz w:val="32"/>
          <w:szCs w:val="32"/>
        </w:rPr>
      </w:pPr>
      <w:r>
        <w:rPr>
          <w:rFonts w:hint="eastAsia" w:ascii="彩虹粗仿宋" w:hAnsi="宋体" w:eastAsia="彩虹粗仿宋" w:cs="Times New Roman"/>
          <w:b/>
          <w:snapToGrid w:val="0"/>
          <w:kern w:val="0"/>
          <w:sz w:val="32"/>
          <w:szCs w:val="32"/>
        </w:rPr>
        <w:t>（二）</w:t>
      </w:r>
      <w:r>
        <w:rPr>
          <w:rFonts w:hint="eastAsia" w:ascii="彩虹粗仿宋" w:hAnsi="宋体" w:eastAsia="彩虹粗仿宋" w:cs="Times New Roman"/>
          <w:b/>
          <w:snapToGrid w:val="0"/>
          <w:kern w:val="0"/>
          <w:sz w:val="32"/>
          <w:szCs w:val="32"/>
          <w:lang w:eastAsia="zh-CN"/>
        </w:rPr>
        <w:t>服务</w:t>
      </w:r>
      <w:r>
        <w:rPr>
          <w:rFonts w:hint="eastAsia" w:ascii="彩虹粗仿宋" w:hAnsi="宋体" w:eastAsia="彩虹粗仿宋" w:cs="Times New Roman"/>
          <w:b/>
          <w:snapToGrid w:val="0"/>
          <w:kern w:val="0"/>
          <w:sz w:val="32"/>
          <w:szCs w:val="32"/>
        </w:rPr>
        <w:t>要求</w:t>
      </w:r>
    </w:p>
    <w:p>
      <w:pPr>
        <w:adjustRightInd w:val="0"/>
        <w:snapToGrid w:val="0"/>
        <w:spacing w:line="560" w:lineRule="atLeast"/>
        <w:ind w:firstLine="642" w:firstLineChars="200"/>
        <w:rPr>
          <w:rFonts w:ascii="彩虹粗仿宋" w:hAnsi="宋体" w:eastAsia="彩虹粗仿宋" w:cs="Times New Roman"/>
          <w:b/>
          <w:bCs/>
          <w:snapToGrid w:val="0"/>
          <w:kern w:val="0"/>
          <w:sz w:val="32"/>
          <w:szCs w:val="32"/>
        </w:rPr>
      </w:pPr>
      <w:r>
        <w:rPr>
          <w:rFonts w:hint="eastAsia" w:ascii="彩虹粗仿宋" w:hAnsi="宋体" w:eastAsia="彩虹粗仿宋" w:cs="Times New Roman"/>
          <w:b/>
          <w:bCs/>
          <w:snapToGrid w:val="0"/>
          <w:kern w:val="0"/>
          <w:sz w:val="32"/>
          <w:szCs w:val="32"/>
        </w:rPr>
        <w:t>1.社保卡支撑服务</w:t>
      </w:r>
    </w:p>
    <w:p>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本板块涵盖社保卡核心技术服务功能，包括数据安全、通信管理及系统运维支撑。</w:t>
      </w:r>
    </w:p>
    <w:p>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(1)社保卡解码管理：对社保卡照片及非对称数据进行解码处理，调整照片尺寸、清晰度及文件大小，并对非对称解码数据进行规则校验，确保数据合规性。</w:t>
      </w:r>
    </w:p>
    <w:p>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(2)通信安全管理：采用跨平台Socket短连接服务实现客户端与H5/其他平台间的数据通信，所有传输数据均加密处理，保障信息交互安全性。</w:t>
      </w:r>
    </w:p>
    <w:p>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(3)数据保护管理：通过JSON格式明文传输提升读取效率，每包数据附加签名校验；对隐私数据加密处理，验证数据所属人、社保卡归属地及版本一致性，写入前需校验密钥权限。</w:t>
      </w:r>
    </w:p>
    <w:p>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(4)非对称认证系统环境管理：基于ACE模块实现新旧密钥双层校验机制，避免重复制卡导致的校验失败次数超限及卡片锁定问题。</w:t>
      </w:r>
    </w:p>
    <w:p>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(5)日志管理：采用log4框架记录每日模块化操作日志，覆盖写卡流程、制卡错误点及回盘信息，支持问题追溯与系统优化。</w:t>
      </w:r>
    </w:p>
    <w:p>
      <w:pPr>
        <w:adjustRightInd w:val="0"/>
        <w:snapToGrid w:val="0"/>
        <w:spacing w:line="560" w:lineRule="atLeast"/>
        <w:ind w:firstLine="642" w:firstLineChars="200"/>
        <w:rPr>
          <w:rFonts w:ascii="彩虹粗仿宋" w:hAnsi="宋体" w:eastAsia="彩虹粗仿宋" w:cs="Times New Roman"/>
          <w:b/>
          <w:bCs/>
          <w:snapToGrid w:val="0"/>
          <w:kern w:val="0"/>
          <w:sz w:val="32"/>
          <w:szCs w:val="32"/>
        </w:rPr>
      </w:pPr>
      <w:r>
        <w:rPr>
          <w:rFonts w:hint="eastAsia" w:ascii="彩虹粗仿宋" w:hAnsi="宋体" w:eastAsia="彩虹粗仿宋" w:cs="Times New Roman"/>
          <w:b/>
          <w:bCs/>
          <w:snapToGrid w:val="0"/>
          <w:kern w:val="0"/>
          <w:sz w:val="32"/>
          <w:szCs w:val="32"/>
        </w:rPr>
        <w:t>2.H5功能改造</w:t>
      </w:r>
    </w:p>
    <w:p>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本板块聚焦H5端全流程功能优化，覆盖用户信息管理、制卡申请及社保卡服务全链路。</w:t>
      </w:r>
    </w:p>
    <w:p>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(1)个人信息查询页：支持人员信息查询核对、首次采集录入（含关键6项信息）、信息变更、照片查询与更新（支持银行端二代证照片读取）。</w:t>
      </w:r>
    </w:p>
    <w:p>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(2)制卡申请页：提供社保卡状态查询、制卡类型确认（新增/补换）、异地卡停用提示、制卡条件校验及申请提交功能。</w:t>
      </w:r>
    </w:p>
    <w:p>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(3)申请记录查询页：支持历史申请记录查询（含时间、渠道、进度），允许对未制卡记录进行撤销操作。</w:t>
      </w:r>
    </w:p>
    <w:p>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(4)写卡页：实现人员信息、社保卡号及RA证书的可视化预览，调用动态库完成密钥读取、数据写入及卡号信息存储。</w:t>
      </w:r>
    </w:p>
    <w:p>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(5)打印卡面页：展示芯片信息对应的卡面内容（含照片及社保信息），联动制卡动态库完成卡面打印。</w:t>
      </w:r>
    </w:p>
    <w:p>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(6)社保卡激活页：提供制卡完成后的一键社保信息激活确认功能。</w:t>
      </w:r>
    </w:p>
    <w:p>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(7)社保卡状态维护页：支持社保卡5种状态（封存/挂失/正常/停用/注销）的查询与切换操作，覆盖挂失解挂、停用启用及注销全生命周期管理。</w:t>
      </w:r>
    </w:p>
    <w:p>
      <w:pPr>
        <w:adjustRightInd w:val="0"/>
        <w:snapToGrid w:val="0"/>
        <w:spacing w:line="560" w:lineRule="atLeast"/>
        <w:ind w:firstLine="642" w:firstLineChars="200"/>
        <w:rPr>
          <w:rFonts w:ascii="彩虹粗仿宋" w:hAnsi="宋体" w:eastAsia="彩虹粗仿宋" w:cs="Times New Roman"/>
          <w:b/>
          <w:bCs/>
          <w:snapToGrid w:val="0"/>
          <w:kern w:val="0"/>
          <w:sz w:val="32"/>
          <w:szCs w:val="32"/>
        </w:rPr>
      </w:pPr>
      <w:r>
        <w:rPr>
          <w:rFonts w:hint="eastAsia" w:ascii="彩虹粗仿宋" w:hAnsi="宋体" w:eastAsia="彩虹粗仿宋" w:cs="Times New Roman"/>
          <w:b/>
          <w:bCs/>
          <w:snapToGrid w:val="0"/>
          <w:kern w:val="0"/>
          <w:sz w:val="32"/>
          <w:szCs w:val="32"/>
        </w:rPr>
        <w:t>3.卡管理系统改造</w:t>
      </w:r>
    </w:p>
    <w:p>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本板块针对卡管理系统进行全流程适配改造，提升银行端服务协同能力。</w:t>
      </w:r>
    </w:p>
    <w:p>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(1)自助设备管理：实现银行STM设备的基础信息维护、授权管理及状态监控。</w:t>
      </w:r>
    </w:p>
    <w:p>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(2)数据采集业务对接改造：优化个人基础信息与制卡必要数据的采集接口，满足银行特定数据格式及流转要求。</w:t>
      </w:r>
    </w:p>
    <w:p>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(3)制卡申请业务流程改造：按银行需求调整社保与金融业务联动的制卡流程，优化数据流转规则。</w:t>
      </w:r>
    </w:p>
    <w:p>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(4)社保卡日常管理改造：适配社保卡挂失解挂、停用启用及注销流程，满足自助服务场景下的操作需求。</w:t>
      </w:r>
    </w:p>
    <w:p>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(5)社保卡领卡绑定服务改造：简化领卡激活与医保数据绑定流程，提升STM机制卡场景的用户体验。</w:t>
      </w:r>
    </w:p>
    <w:p>
      <w:pPr>
        <w:adjustRightInd w:val="0"/>
        <w:snapToGrid w:val="0"/>
        <w:spacing w:line="560" w:lineRule="atLeast"/>
        <w:ind w:firstLine="642" w:firstLineChars="200"/>
        <w:rPr>
          <w:rFonts w:ascii="彩虹粗仿宋" w:hAnsi="宋体" w:eastAsia="彩虹粗仿宋" w:cs="Times New Roman"/>
          <w:b/>
          <w:bCs/>
          <w:snapToGrid w:val="0"/>
          <w:kern w:val="0"/>
          <w:sz w:val="32"/>
          <w:szCs w:val="32"/>
        </w:rPr>
      </w:pPr>
      <w:r>
        <w:rPr>
          <w:rFonts w:hint="eastAsia" w:ascii="彩虹粗仿宋" w:hAnsi="宋体" w:eastAsia="彩虹粗仿宋" w:cs="Times New Roman"/>
          <w:b/>
          <w:bCs/>
          <w:snapToGrid w:val="0"/>
          <w:kern w:val="0"/>
          <w:sz w:val="32"/>
          <w:szCs w:val="32"/>
        </w:rPr>
        <w:t>4.STM机社保卡部署实施服务</w:t>
      </w:r>
    </w:p>
    <w:p>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本板块聚焦STM机端实施适配含国产化适配，确保全流程业务地市化落地。</w:t>
      </w:r>
    </w:p>
    <w:p>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(1)动态库适应性调整：针对不同型号STM机特性，优化制发卡动态库的兼容性及功能适配。</w:t>
      </w:r>
    </w:p>
    <w:p>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(2)H5功能适配及对接：按银行流程规范调整H5功能模块，实现与银行业务系统无缝衔接。</w:t>
      </w:r>
    </w:p>
    <w:p>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(3)业务地市化接口调整：适配福建省（厦门除外）各地市社保卡业务差异，改造H5接口满足本地化制发卡要求。</w:t>
      </w:r>
    </w:p>
    <w:p>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(4)技术支持：提供全流程联调测试支持，包括业务知识指导、技术问题排查及功能完整性验证。</w:t>
      </w:r>
    </w:p>
    <w:p>
      <w:pPr>
        <w:adjustRightInd w:val="0"/>
        <w:snapToGrid w:val="0"/>
        <w:spacing w:line="560" w:lineRule="atLeast"/>
        <w:ind w:firstLine="642" w:firstLineChars="200"/>
        <w:rPr>
          <w:rFonts w:ascii="彩虹粗仿宋" w:hAnsi="宋体" w:eastAsia="彩虹粗仿宋" w:cs="Times New Roman"/>
          <w:b/>
          <w:snapToGrid w:val="0"/>
          <w:kern w:val="0"/>
          <w:sz w:val="32"/>
          <w:szCs w:val="32"/>
        </w:rPr>
      </w:pPr>
      <w:r>
        <w:rPr>
          <w:rFonts w:hint="eastAsia" w:ascii="彩虹粗仿宋" w:hAnsi="宋体" w:eastAsia="彩虹粗仿宋" w:cs="Times New Roman"/>
          <w:b/>
          <w:snapToGrid w:val="0"/>
          <w:kern w:val="0"/>
          <w:sz w:val="32"/>
          <w:szCs w:val="32"/>
        </w:rPr>
        <w:t>（三）技术、环保、质量要求</w:t>
      </w:r>
    </w:p>
    <w:p>
      <w:pPr>
        <w:adjustRightInd w:val="0"/>
        <w:snapToGrid w:val="0"/>
        <w:spacing w:line="560" w:lineRule="atLeast"/>
        <w:ind w:firstLine="640" w:firstLineChars="200"/>
        <w:rPr>
          <w:rFonts w:ascii="彩虹粗仿宋" w:hAnsi="宋体" w:eastAsia="彩虹粗仿宋" w:cs="Times New Roman"/>
          <w:snapToGrid w:val="0"/>
          <w:color w:val="auto"/>
          <w:kern w:val="0"/>
          <w:sz w:val="32"/>
          <w:szCs w:val="32"/>
        </w:rPr>
      </w:pPr>
      <w:r>
        <w:rPr>
          <w:rFonts w:hint="eastAsia" w:ascii="彩虹粗仿宋" w:hAnsi="宋体" w:eastAsia="彩虹粗仿宋" w:cs="Times New Roman"/>
          <w:snapToGrid w:val="0"/>
          <w:color w:val="auto"/>
          <w:kern w:val="0"/>
          <w:sz w:val="32"/>
          <w:szCs w:val="32"/>
        </w:rPr>
        <w:t>无。</w:t>
      </w:r>
    </w:p>
    <w:p>
      <w:pPr>
        <w:adjustRightInd w:val="0"/>
        <w:snapToGrid w:val="0"/>
        <w:spacing w:line="560" w:lineRule="atLeast"/>
        <w:ind w:firstLine="642" w:firstLineChars="200"/>
        <w:rPr>
          <w:rFonts w:ascii="彩虹粗仿宋" w:hAnsi="宋体" w:eastAsia="彩虹粗仿宋" w:cs="Times New Roman"/>
          <w:b/>
          <w:snapToGrid w:val="0"/>
          <w:kern w:val="0"/>
          <w:sz w:val="32"/>
          <w:szCs w:val="32"/>
        </w:rPr>
      </w:pPr>
      <w:r>
        <w:rPr>
          <w:rFonts w:hint="eastAsia" w:ascii="彩虹粗仿宋" w:hAnsi="宋体" w:eastAsia="彩虹粗仿宋" w:cs="Times New Roman"/>
          <w:b/>
          <w:snapToGrid w:val="0"/>
          <w:kern w:val="0"/>
          <w:sz w:val="32"/>
          <w:szCs w:val="32"/>
        </w:rPr>
        <w:t>（四）生产、供货要求</w:t>
      </w:r>
    </w:p>
    <w:p>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入选供应商与我行订立的软件采购合同生效后2个月内，需要将本次采购软件部署至建行指定地点，并调试运行成功。</w:t>
      </w:r>
    </w:p>
    <w:p>
      <w:pPr>
        <w:adjustRightInd w:val="0"/>
        <w:snapToGrid w:val="0"/>
        <w:spacing w:line="560" w:lineRule="atLeast"/>
        <w:ind w:firstLine="642" w:firstLineChars="200"/>
        <w:rPr>
          <w:rFonts w:ascii="彩虹粗仿宋" w:hAnsi="宋体" w:eastAsia="彩虹粗仿宋" w:cs="Times New Roman"/>
          <w:b/>
          <w:snapToGrid w:val="0"/>
          <w:kern w:val="0"/>
          <w:sz w:val="32"/>
          <w:szCs w:val="32"/>
        </w:rPr>
      </w:pPr>
      <w:r>
        <w:rPr>
          <w:rFonts w:hint="eastAsia" w:ascii="彩虹粗仿宋" w:hAnsi="宋体" w:eastAsia="彩虹粗仿宋" w:cs="Times New Roman"/>
          <w:b/>
          <w:snapToGrid w:val="0"/>
          <w:kern w:val="0"/>
          <w:sz w:val="32"/>
          <w:szCs w:val="32"/>
        </w:rPr>
        <w:t>（五）售后服务要求</w:t>
      </w:r>
    </w:p>
    <w:p>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1.售后服务：供应商对本项目提供</w:t>
      </w:r>
      <w:r>
        <w:rPr>
          <w:rFonts w:ascii="彩虹粗仿宋" w:hAnsi="宋体" w:eastAsia="彩虹粗仿宋" w:cs="Times New Roman"/>
          <w:snapToGrid w:val="0"/>
          <w:kern w:val="0"/>
          <w:sz w:val="32"/>
          <w:szCs w:val="32"/>
        </w:rPr>
        <w:t>1</w:t>
      </w:r>
      <w:r>
        <w:rPr>
          <w:rFonts w:hint="eastAsia" w:ascii="彩虹粗仿宋" w:hAnsi="宋体" w:eastAsia="彩虹粗仿宋" w:cs="Times New Roman"/>
          <w:snapToGrid w:val="0"/>
          <w:kern w:val="0"/>
          <w:sz w:val="32"/>
          <w:szCs w:val="32"/>
        </w:rPr>
        <w:t>年的免费保修服务；质保期内，对客户的反映的任何问题应在2小时内进行响应；24小时内修复，特殊情况在24小时内无法修复的，在24小时之内通知用户方，经过双方协商解决。</w:t>
      </w:r>
    </w:p>
    <w:p>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2.产品升级服务：如我行所购产品中的软件或系统发布了任何更新、补丁、版本升级，供应商应为我行无条件提供该更新、补丁、版本升级的使用许可授权及正版安装介质，及安装调试服务。</w:t>
      </w:r>
    </w:p>
    <w:p>
      <w:pPr>
        <w:adjustRightInd w:val="0"/>
        <w:snapToGrid w:val="0"/>
        <w:spacing w:line="560" w:lineRule="atLeast"/>
        <w:ind w:firstLine="642" w:firstLineChars="200"/>
        <w:rPr>
          <w:rFonts w:ascii="彩虹粗仿宋" w:hAnsi="宋体" w:eastAsia="彩虹粗仿宋" w:cs="Times New Roman"/>
          <w:b/>
          <w:snapToGrid w:val="0"/>
          <w:kern w:val="0"/>
          <w:sz w:val="32"/>
          <w:szCs w:val="32"/>
        </w:rPr>
      </w:pPr>
      <w:r>
        <w:rPr>
          <w:rFonts w:hint="eastAsia" w:ascii="彩虹粗仿宋" w:hAnsi="宋体" w:eastAsia="彩虹粗仿宋" w:cs="Times New Roman"/>
          <w:b/>
          <w:snapToGrid w:val="0"/>
          <w:kern w:val="0"/>
          <w:sz w:val="32"/>
          <w:szCs w:val="32"/>
        </w:rPr>
        <w:t>（六）报价要求</w:t>
      </w:r>
    </w:p>
    <w:p>
      <w:pPr>
        <w:adjustRightInd w:val="0"/>
        <w:snapToGrid w:val="0"/>
        <w:spacing w:line="560" w:lineRule="atLeast"/>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备价款包含货物、包装、运输、安装、调试、税收等一切相关费用，除合同价款外我方不再另行承担其他任何费用。候选供应商按照报价单进行报价。供应商报价应合理，价格符合市场行情。</w:t>
      </w:r>
    </w:p>
    <w:p>
      <w:pPr>
        <w:adjustRightInd w:val="0"/>
        <w:snapToGrid w:val="0"/>
        <w:spacing w:line="560" w:lineRule="atLeast"/>
        <w:ind w:firstLine="642" w:firstLineChars="200"/>
        <w:rPr>
          <w:rFonts w:ascii="彩虹粗仿宋" w:hAnsi="宋体" w:eastAsia="彩虹粗仿宋" w:cs="Times New Roman"/>
          <w:b/>
          <w:snapToGrid w:val="0"/>
          <w:kern w:val="0"/>
          <w:sz w:val="32"/>
          <w:szCs w:val="32"/>
        </w:rPr>
      </w:pPr>
      <w:r>
        <w:rPr>
          <w:rFonts w:hint="eastAsia" w:ascii="彩虹粗仿宋" w:hAnsi="宋体" w:eastAsia="彩虹粗仿宋" w:cs="Times New Roman"/>
          <w:b/>
          <w:snapToGrid w:val="0"/>
          <w:kern w:val="0"/>
          <w:sz w:val="32"/>
          <w:szCs w:val="32"/>
        </w:rPr>
        <w:t>（七）款项支付要求</w:t>
      </w:r>
    </w:p>
    <w:p>
      <w:pPr>
        <w:adjustRightInd w:val="0"/>
        <w:snapToGrid w:val="0"/>
        <w:spacing w:line="560" w:lineRule="atLeast"/>
        <w:ind w:firstLine="640" w:firstLineChars="200"/>
        <w:rPr>
          <w:rFonts w:ascii="彩虹粗仿宋" w:hAnsi="宋体" w:eastAsia="彩虹粗仿宋" w:cs="Times New Roman"/>
          <w:snapToGrid w:val="0"/>
          <w:color w:val="auto"/>
          <w:kern w:val="0"/>
          <w:sz w:val="32"/>
          <w:szCs w:val="32"/>
        </w:rPr>
      </w:pPr>
      <w:r>
        <w:rPr>
          <w:rFonts w:hint="eastAsia" w:ascii="彩虹粗仿宋" w:hAnsi="宋体" w:eastAsia="彩虹粗仿宋" w:cs="Times New Roman"/>
          <w:snapToGrid w:val="0"/>
          <w:color w:val="auto"/>
          <w:kern w:val="0"/>
          <w:sz w:val="32"/>
          <w:szCs w:val="32"/>
        </w:rPr>
        <w:t>本次采购拟采用按照上线地市个数付款方式，原则上使用建行账户进行支付。</w:t>
      </w:r>
    </w:p>
    <w:p>
      <w:pPr>
        <w:numPr>
          <w:ilvl w:val="0"/>
          <w:numId w:val="0"/>
        </w:numPr>
        <w:adjustRightInd w:val="0"/>
        <w:snapToGrid w:val="0"/>
        <w:spacing w:line="560" w:lineRule="atLeast"/>
        <w:ind w:firstLine="640" w:firstLineChars="200"/>
        <w:rPr>
          <w:rFonts w:hint="eastAsia" w:ascii="彩虹粗仿宋" w:hAnsi="宋体" w:eastAsia="彩虹粗仿宋" w:cs="Times New Roman"/>
          <w:snapToGrid w:val="0"/>
          <w:color w:val="auto"/>
          <w:kern w:val="0"/>
          <w:sz w:val="32"/>
          <w:szCs w:val="32"/>
          <w:lang w:eastAsia="zh-CN"/>
        </w:rPr>
      </w:pPr>
      <w:r>
        <w:rPr>
          <w:rFonts w:hint="eastAsia" w:ascii="彩虹粗仿宋" w:hAnsi="宋体" w:eastAsia="彩虹粗仿宋" w:cs="Times New Roman"/>
          <w:snapToGrid w:val="0"/>
          <w:color w:val="auto"/>
          <w:kern w:val="0"/>
          <w:sz w:val="32"/>
          <w:szCs w:val="32"/>
          <w:lang w:val="en-US" w:eastAsia="zh-CN"/>
        </w:rPr>
        <w:t>1.</w:t>
      </w:r>
      <w:r>
        <w:rPr>
          <w:rFonts w:hint="eastAsia" w:ascii="彩虹粗仿宋" w:hAnsi="宋体" w:eastAsia="彩虹粗仿宋" w:cs="Times New Roman"/>
          <w:snapToGrid w:val="0"/>
          <w:color w:val="auto"/>
          <w:kern w:val="0"/>
          <w:sz w:val="32"/>
          <w:szCs w:val="32"/>
          <w:lang w:eastAsia="zh-CN"/>
        </w:rPr>
        <w:t>如完成对接期中一套卡管系统，且验收合格并调试成功后15日内支付合同总价款的</w:t>
      </w:r>
      <w:r>
        <w:rPr>
          <w:rFonts w:hint="eastAsia" w:ascii="彩虹粗仿宋" w:hAnsi="宋体" w:eastAsia="彩虹粗仿宋" w:cs="Times New Roman"/>
          <w:snapToGrid w:val="0"/>
          <w:color w:val="auto"/>
          <w:kern w:val="0"/>
          <w:sz w:val="32"/>
          <w:szCs w:val="32"/>
          <w:lang w:val="en-US" w:eastAsia="zh-CN"/>
        </w:rPr>
        <w:t>15</w:t>
      </w:r>
      <w:r>
        <w:rPr>
          <w:rFonts w:hint="eastAsia" w:ascii="彩虹粗仿宋" w:hAnsi="宋体" w:eastAsia="彩虹粗仿宋" w:cs="Times New Roman"/>
          <w:snapToGrid w:val="0"/>
          <w:color w:val="auto"/>
          <w:kern w:val="0"/>
          <w:sz w:val="32"/>
          <w:szCs w:val="32"/>
          <w:lang w:eastAsia="zh-CN"/>
        </w:rPr>
        <w:t>%。</w:t>
      </w:r>
    </w:p>
    <w:p>
      <w:pPr>
        <w:numPr>
          <w:ilvl w:val="0"/>
          <w:numId w:val="0"/>
        </w:numPr>
        <w:adjustRightInd w:val="0"/>
        <w:snapToGrid w:val="0"/>
        <w:spacing w:line="560" w:lineRule="atLeast"/>
        <w:ind w:firstLine="640" w:firstLineChars="200"/>
        <w:rPr>
          <w:rFonts w:hint="eastAsia" w:ascii="彩虹粗仿宋" w:hAnsi="宋体" w:eastAsia="彩虹粗仿宋" w:cs="Times New Roman"/>
          <w:snapToGrid w:val="0"/>
          <w:color w:val="auto"/>
          <w:kern w:val="0"/>
          <w:sz w:val="32"/>
          <w:szCs w:val="32"/>
        </w:rPr>
      </w:pPr>
      <w:r>
        <w:rPr>
          <w:rFonts w:hint="eastAsia" w:ascii="彩虹粗仿宋" w:hAnsi="宋体" w:eastAsia="彩虹粗仿宋" w:cs="Times New Roman"/>
          <w:snapToGrid w:val="0"/>
          <w:color w:val="auto"/>
          <w:kern w:val="0"/>
          <w:sz w:val="32"/>
          <w:szCs w:val="32"/>
          <w:lang w:val="en-US" w:eastAsia="zh-CN"/>
        </w:rPr>
        <w:t>2.</w:t>
      </w:r>
      <w:r>
        <w:rPr>
          <w:rFonts w:hint="eastAsia" w:ascii="彩虹粗仿宋" w:hAnsi="宋体" w:eastAsia="彩虹粗仿宋" w:cs="Times New Roman"/>
          <w:snapToGrid w:val="0"/>
          <w:color w:val="auto"/>
          <w:kern w:val="0"/>
          <w:sz w:val="32"/>
          <w:szCs w:val="32"/>
          <w:lang w:eastAsia="zh-CN"/>
        </w:rPr>
        <w:t>后续每对接一套卡管系统，且调试成功后，支付合同总价款的</w:t>
      </w:r>
      <w:r>
        <w:rPr>
          <w:rFonts w:hint="eastAsia" w:ascii="彩虹粗仿宋" w:hAnsi="宋体" w:eastAsia="彩虹粗仿宋" w:cs="Times New Roman"/>
          <w:snapToGrid w:val="0"/>
          <w:color w:val="auto"/>
          <w:kern w:val="0"/>
          <w:sz w:val="32"/>
          <w:szCs w:val="32"/>
          <w:lang w:val="en-US" w:eastAsia="zh-CN"/>
        </w:rPr>
        <w:t>10</w:t>
      </w:r>
      <w:r>
        <w:rPr>
          <w:rFonts w:hint="eastAsia" w:ascii="彩虹粗仿宋" w:hAnsi="宋体" w:eastAsia="彩虹粗仿宋" w:cs="Times New Roman"/>
          <w:snapToGrid w:val="0"/>
          <w:color w:val="auto"/>
          <w:kern w:val="0"/>
          <w:sz w:val="32"/>
          <w:szCs w:val="32"/>
          <w:lang w:eastAsia="zh-CN"/>
        </w:rPr>
        <w:t>%，共计合同总价款的</w:t>
      </w:r>
      <w:r>
        <w:rPr>
          <w:rFonts w:hint="eastAsia" w:ascii="彩虹粗仿宋" w:hAnsi="宋体" w:eastAsia="彩虹粗仿宋" w:cs="Times New Roman"/>
          <w:snapToGrid w:val="0"/>
          <w:color w:val="auto"/>
          <w:kern w:val="0"/>
          <w:sz w:val="32"/>
          <w:szCs w:val="32"/>
          <w:lang w:val="en-US" w:eastAsia="zh-CN"/>
        </w:rPr>
        <w:t>80%</w:t>
      </w:r>
      <w:r>
        <w:rPr>
          <w:rFonts w:hint="eastAsia" w:ascii="彩虹粗仿宋" w:hAnsi="宋体" w:eastAsia="彩虹粗仿宋" w:cs="Times New Roman"/>
          <w:snapToGrid w:val="0"/>
          <w:color w:val="auto"/>
          <w:kern w:val="0"/>
          <w:sz w:val="32"/>
          <w:szCs w:val="32"/>
          <w:lang w:eastAsia="zh-CN"/>
        </w:rPr>
        <w:t>（省人社当前尚未建立全省统一人社系统平台，除省本级外，目前全省共有</w:t>
      </w:r>
      <w:r>
        <w:rPr>
          <w:rFonts w:hint="eastAsia" w:ascii="彩虹粗仿宋" w:hAnsi="宋体" w:eastAsia="彩虹粗仿宋" w:cs="Times New Roman"/>
          <w:snapToGrid w:val="0"/>
          <w:color w:val="auto"/>
          <w:kern w:val="0"/>
          <w:sz w:val="32"/>
          <w:szCs w:val="32"/>
          <w:lang w:val="en-US" w:eastAsia="zh-CN"/>
        </w:rPr>
        <w:t>9</w:t>
      </w:r>
      <w:r>
        <w:rPr>
          <w:rFonts w:hint="eastAsia" w:ascii="彩虹粗仿宋" w:hAnsi="宋体" w:eastAsia="彩虹粗仿宋" w:cs="Times New Roman"/>
          <w:snapToGrid w:val="0"/>
          <w:color w:val="auto"/>
          <w:kern w:val="0"/>
          <w:sz w:val="32"/>
          <w:szCs w:val="32"/>
          <w:lang w:eastAsia="zh-CN"/>
        </w:rPr>
        <w:t>套卡管系统）</w:t>
      </w:r>
      <w:r>
        <w:rPr>
          <w:rFonts w:hint="eastAsia" w:ascii="彩虹粗仿宋" w:hAnsi="宋体" w:eastAsia="彩虹粗仿宋" w:cs="Times New Roman"/>
          <w:snapToGrid w:val="0"/>
          <w:color w:val="auto"/>
          <w:kern w:val="0"/>
          <w:sz w:val="32"/>
          <w:szCs w:val="32"/>
        </w:rPr>
        <w:t xml:space="preserve">； </w:t>
      </w:r>
    </w:p>
    <w:p>
      <w:pPr>
        <w:adjustRightInd w:val="0"/>
        <w:snapToGrid w:val="0"/>
        <w:spacing w:line="560" w:lineRule="atLeast"/>
        <w:ind w:firstLine="640" w:firstLineChars="200"/>
        <w:rPr>
          <w:rFonts w:hint="eastAsia" w:ascii="彩虹粗仿宋" w:hAnsi="宋体" w:eastAsia="彩虹粗仿宋" w:cs="Times New Roman"/>
          <w:snapToGrid w:val="0"/>
          <w:color w:val="auto"/>
          <w:kern w:val="0"/>
          <w:sz w:val="32"/>
          <w:szCs w:val="32"/>
        </w:rPr>
      </w:pPr>
      <w:r>
        <w:rPr>
          <w:rFonts w:hint="eastAsia" w:ascii="彩虹粗仿宋" w:hAnsi="宋体" w:eastAsia="彩虹粗仿宋" w:cs="Times New Roman"/>
          <w:snapToGrid w:val="0"/>
          <w:color w:val="auto"/>
          <w:kern w:val="0"/>
          <w:sz w:val="32"/>
          <w:szCs w:val="32"/>
          <w:lang w:val="en-US" w:eastAsia="zh-CN"/>
        </w:rPr>
        <w:t>3</w:t>
      </w:r>
      <w:r>
        <w:rPr>
          <w:rFonts w:hint="eastAsia" w:ascii="彩虹粗仿宋" w:hAnsi="宋体" w:eastAsia="彩虹粗仿宋" w:cs="Times New Roman"/>
          <w:snapToGrid w:val="0"/>
          <w:color w:val="auto"/>
          <w:kern w:val="0"/>
          <w:sz w:val="32"/>
          <w:szCs w:val="32"/>
        </w:rPr>
        <w:t>.剩余合同总价款的</w:t>
      </w:r>
      <w:r>
        <w:rPr>
          <w:rFonts w:hint="eastAsia" w:ascii="彩虹粗仿宋" w:hAnsi="宋体" w:eastAsia="彩虹粗仿宋" w:cs="Times New Roman"/>
          <w:snapToGrid w:val="0"/>
          <w:color w:val="auto"/>
          <w:kern w:val="0"/>
          <w:sz w:val="32"/>
          <w:szCs w:val="32"/>
          <w:lang w:val="en-US" w:eastAsia="zh-CN"/>
        </w:rPr>
        <w:t>5</w:t>
      </w:r>
      <w:r>
        <w:rPr>
          <w:rFonts w:hint="eastAsia" w:ascii="彩虹粗仿宋" w:hAnsi="宋体" w:eastAsia="彩虹粗仿宋" w:cs="Times New Roman"/>
          <w:snapToGrid w:val="0"/>
          <w:color w:val="auto"/>
          <w:kern w:val="0"/>
          <w:sz w:val="32"/>
          <w:szCs w:val="32"/>
        </w:rPr>
        <w:t>%作为质保金于保修期满后15日内支付。</w:t>
      </w:r>
    </w:p>
    <w:p>
      <w:pPr>
        <w:adjustRightInd w:val="0"/>
        <w:snapToGrid w:val="0"/>
        <w:spacing w:line="560" w:lineRule="atLeast"/>
        <w:ind w:firstLine="640" w:firstLineChars="200"/>
        <w:rPr>
          <w:rFonts w:hint="eastAsia" w:ascii="彩虹粗仿宋" w:hAnsi="宋体" w:eastAsia="彩虹粗仿宋" w:cs="Times New Roman"/>
          <w:snapToGrid w:val="0"/>
          <w:color w:val="auto"/>
          <w:kern w:val="0"/>
          <w:sz w:val="32"/>
          <w:szCs w:val="32"/>
        </w:rPr>
      </w:pPr>
      <w:r>
        <w:rPr>
          <w:rFonts w:hint="eastAsia" w:ascii="彩虹粗仿宋" w:hAnsi="宋体" w:eastAsia="彩虹粗仿宋" w:cs="Times New Roman"/>
          <w:snapToGrid w:val="0"/>
          <w:color w:val="auto"/>
          <w:kern w:val="0"/>
          <w:sz w:val="32"/>
          <w:szCs w:val="32"/>
        </w:rPr>
        <w:t>开票要求：供应商应当在建行支付相应价款前十五日内，根据建行要求开具符合国家规定的增值税发票并交付建设银行。</w:t>
      </w:r>
    </w:p>
    <w:p>
      <w:pPr>
        <w:adjustRightInd w:val="0"/>
        <w:snapToGrid w:val="0"/>
        <w:spacing w:line="560" w:lineRule="atLeast"/>
        <w:ind w:firstLine="640" w:firstLineChars="200"/>
        <w:rPr>
          <w:rFonts w:ascii="彩虹粗仿宋" w:hAnsi="宋体" w:eastAsia="彩虹粗仿宋" w:cs="Times New Roman"/>
          <w:snapToGrid w:val="0"/>
          <w:color w:val="auto"/>
          <w:kern w:val="0"/>
          <w:sz w:val="32"/>
          <w:szCs w:val="32"/>
        </w:rPr>
      </w:pPr>
      <w:r>
        <w:rPr>
          <w:rFonts w:hint="eastAsia" w:ascii="彩虹粗仿宋" w:hAnsi="宋体" w:eastAsia="彩虹粗仿宋" w:cs="Times New Roman"/>
          <w:snapToGrid w:val="0"/>
          <w:color w:val="auto"/>
          <w:kern w:val="0"/>
          <w:sz w:val="32"/>
          <w:szCs w:val="32"/>
        </w:rPr>
        <w:t>其他要求：支付时，建设银行应按照采购合同约定将款项转入供应商指定的账户。供应商所指定的开户银行及银行帐号以双方签订合同中所注明的为准，如有变更，供应商应在合同规定的相关付款期限前三日以书面方式通知建行，通知应加盖供应商公章。</w:t>
      </w:r>
    </w:p>
    <w:p>
      <w:pPr>
        <w:spacing w:line="360" w:lineRule="auto"/>
        <w:ind w:firstLine="642" w:firstLineChars="200"/>
        <w:rPr>
          <w:rFonts w:ascii="彩虹粗仿宋" w:hAnsi="宋体" w:eastAsia="彩虹粗仿宋" w:cs="Times New Roman"/>
          <w:b/>
          <w:snapToGrid w:val="0"/>
          <w:kern w:val="0"/>
          <w:sz w:val="32"/>
          <w:szCs w:val="32"/>
        </w:rPr>
      </w:pPr>
      <w:r>
        <w:rPr>
          <w:rFonts w:hint="eastAsia" w:ascii="彩虹粗仿宋" w:hAnsi="宋体" w:eastAsia="彩虹粗仿宋" w:cs="Times New Roman"/>
          <w:b/>
          <w:snapToGrid w:val="0"/>
          <w:kern w:val="0"/>
          <w:sz w:val="32"/>
          <w:szCs w:val="32"/>
        </w:rPr>
        <w:t>三、应答材料提供顺序要求</w:t>
      </w:r>
    </w:p>
    <w:p>
      <w:pPr>
        <w:spacing w:line="360" w:lineRule="auto"/>
        <w:ind w:firstLine="640" w:firstLineChars="200"/>
        <w:rPr>
          <w:rFonts w:ascii="彩虹粗仿宋" w:hAnsi="宋体" w:eastAsia="彩虹粗仿宋" w:cs="Times New Roman"/>
          <w:snapToGrid w:val="0"/>
          <w:kern w:val="0"/>
          <w:sz w:val="32"/>
          <w:szCs w:val="32"/>
        </w:rPr>
      </w:pPr>
      <w:r>
        <w:rPr>
          <w:rFonts w:hint="eastAsia" w:ascii="彩虹粗仿宋" w:hAnsi="宋体" w:eastAsia="彩虹粗仿宋" w:cs="Times New Roman"/>
          <w:snapToGrid w:val="0"/>
          <w:kern w:val="0"/>
          <w:sz w:val="32"/>
          <w:szCs w:val="32"/>
        </w:rPr>
        <w:t>（一）资质材料</w:t>
      </w:r>
    </w:p>
    <w:p>
      <w:pPr>
        <w:spacing w:line="360" w:lineRule="auto"/>
        <w:ind w:firstLine="640" w:firstLineChars="200"/>
        <w:rPr>
          <w:rFonts w:ascii="彩虹粗仿宋" w:hAnsi="宋体" w:eastAsia="彩虹粗仿宋" w:cs="Times New Roman"/>
          <w:snapToGrid w:val="0"/>
          <w:color w:val="auto"/>
          <w:kern w:val="0"/>
          <w:sz w:val="32"/>
          <w:szCs w:val="32"/>
        </w:rPr>
      </w:pPr>
      <w:r>
        <w:rPr>
          <w:rFonts w:hint="eastAsia" w:ascii="彩虹粗仿宋" w:hAnsi="宋体" w:eastAsia="彩虹粗仿宋" w:cs="Times New Roman"/>
          <w:snapToGrid w:val="0"/>
          <w:color w:val="auto"/>
          <w:kern w:val="0"/>
          <w:sz w:val="32"/>
          <w:szCs w:val="32"/>
        </w:rPr>
        <w:t>1.营业执照；2.法人授权书；3.承诺与声明；</w:t>
      </w:r>
      <w:r>
        <w:rPr>
          <w:rFonts w:hint="eastAsia" w:ascii="彩虹粗仿宋" w:hAnsi="宋体" w:eastAsia="彩虹粗仿宋"/>
          <w:color w:val="auto"/>
          <w:sz w:val="32"/>
          <w:szCs w:val="32"/>
        </w:rPr>
        <w:t>4.中国建设银行采购合作供应商禁止性规定；</w:t>
      </w:r>
      <w:r>
        <w:rPr>
          <w:rFonts w:hint="eastAsia" w:ascii="彩虹粗仿宋" w:hAnsi="宋体" w:eastAsia="彩虹粗仿宋" w:cs="Times New Roman"/>
          <w:snapToGrid w:val="0"/>
          <w:color w:val="auto"/>
          <w:kern w:val="0"/>
          <w:sz w:val="32"/>
          <w:szCs w:val="32"/>
        </w:rPr>
        <w:t>5.必要材料按顺序罗列。</w:t>
      </w:r>
    </w:p>
    <w:p>
      <w:pPr>
        <w:spacing w:line="360" w:lineRule="auto"/>
        <w:ind w:firstLine="640" w:firstLineChars="200"/>
        <w:rPr>
          <w:rFonts w:ascii="彩虹粗仿宋" w:hAnsi="宋体" w:eastAsia="彩虹粗仿宋" w:cs="Times New Roman"/>
          <w:snapToGrid w:val="0"/>
          <w:color w:val="auto"/>
          <w:kern w:val="0"/>
          <w:sz w:val="32"/>
          <w:szCs w:val="32"/>
        </w:rPr>
      </w:pPr>
      <w:r>
        <w:rPr>
          <w:rFonts w:hint="eastAsia" w:ascii="彩虹粗仿宋" w:hAnsi="宋体" w:eastAsia="彩虹粗仿宋" w:cs="Times New Roman"/>
          <w:snapToGrid w:val="0"/>
          <w:color w:val="auto"/>
          <w:kern w:val="0"/>
          <w:sz w:val="32"/>
          <w:szCs w:val="32"/>
        </w:rPr>
        <w:t>（二）需求应答材料</w:t>
      </w:r>
    </w:p>
    <w:p>
      <w:pPr>
        <w:spacing w:line="360" w:lineRule="auto"/>
        <w:ind w:firstLine="640" w:firstLineChars="200"/>
        <w:rPr>
          <w:rFonts w:ascii="彩虹粗仿宋" w:hAnsi="宋体" w:eastAsia="彩虹粗仿宋" w:cs="Times New Roman"/>
          <w:snapToGrid w:val="0"/>
          <w:color w:val="auto"/>
          <w:kern w:val="0"/>
          <w:sz w:val="32"/>
          <w:szCs w:val="32"/>
        </w:rPr>
      </w:pPr>
      <w:r>
        <w:rPr>
          <w:rFonts w:hint="eastAsia" w:ascii="彩虹粗仿宋" w:hAnsi="宋体" w:eastAsia="彩虹粗仿宋" w:cs="Times New Roman"/>
          <w:snapToGrid w:val="0"/>
          <w:color w:val="auto"/>
          <w:kern w:val="0"/>
          <w:sz w:val="32"/>
          <w:szCs w:val="32"/>
        </w:rPr>
        <w:t>根据评审标准顺序依次罗列，格式如下：</w:t>
      </w:r>
    </w:p>
    <w:p>
      <w:pPr>
        <w:spacing w:line="360" w:lineRule="auto"/>
        <w:ind w:firstLine="640" w:firstLineChars="200"/>
        <w:rPr>
          <w:rFonts w:ascii="彩虹粗仿宋" w:hAnsi="宋体" w:eastAsia="彩虹粗仿宋" w:cs="Times New Roman"/>
          <w:snapToGrid w:val="0"/>
          <w:color w:val="auto"/>
          <w:kern w:val="0"/>
          <w:sz w:val="32"/>
          <w:szCs w:val="32"/>
        </w:rPr>
      </w:pPr>
      <w:r>
        <w:rPr>
          <w:rFonts w:hint="eastAsia" w:ascii="彩虹粗仿宋" w:hAnsi="宋体" w:eastAsia="彩虹粗仿宋" w:cs="Times New Roman"/>
          <w:snapToGrid w:val="0"/>
          <w:color w:val="auto"/>
          <w:kern w:val="0"/>
          <w:sz w:val="32"/>
          <w:szCs w:val="32"/>
        </w:rPr>
        <w:t>1.合同案例。XX年签订的XX合同复印件，能清楚看到项目名称、服务内容和合同签约主体，需加盖公司公章。</w:t>
      </w:r>
    </w:p>
    <w:p>
      <w:pPr>
        <w:spacing w:line="360" w:lineRule="auto"/>
        <w:ind w:firstLine="640" w:firstLineChars="200"/>
        <w:rPr>
          <w:rFonts w:ascii="彩虹粗仿宋" w:hAnsi="宋体" w:eastAsia="彩虹粗仿宋" w:cs="Times New Roman"/>
          <w:snapToGrid w:val="0"/>
          <w:color w:val="auto"/>
          <w:kern w:val="0"/>
          <w:sz w:val="32"/>
          <w:szCs w:val="32"/>
        </w:rPr>
      </w:pPr>
      <w:r>
        <w:rPr>
          <w:rFonts w:hint="eastAsia" w:ascii="彩虹粗仿宋" w:hAnsi="宋体" w:eastAsia="彩虹粗仿宋" w:cs="Times New Roman"/>
          <w:snapToGrid w:val="0"/>
          <w:color w:val="auto"/>
          <w:kern w:val="0"/>
          <w:sz w:val="32"/>
          <w:szCs w:val="32"/>
        </w:rPr>
        <w:t>2.应答承诺项，具体内容：</w:t>
      </w:r>
    </w:p>
    <w:p>
      <w:pPr>
        <w:spacing w:line="360" w:lineRule="auto"/>
        <w:ind w:firstLine="640" w:firstLineChars="200"/>
        <w:rPr>
          <w:rFonts w:ascii="彩虹粗仿宋" w:hAnsi="宋体" w:eastAsia="彩虹粗仿宋" w:cs="Times New Roman"/>
          <w:snapToGrid w:val="0"/>
          <w:color w:val="auto"/>
          <w:kern w:val="0"/>
          <w:sz w:val="32"/>
          <w:szCs w:val="32"/>
        </w:rPr>
      </w:pPr>
      <w:r>
        <w:rPr>
          <w:rFonts w:hint="eastAsia" w:ascii="彩虹粗仿宋" w:hAnsi="宋体" w:eastAsia="彩虹粗仿宋" w:cs="Times New Roman"/>
          <w:snapToGrid w:val="0"/>
          <w:color w:val="auto"/>
          <w:kern w:val="0"/>
          <w:sz w:val="32"/>
          <w:szCs w:val="32"/>
        </w:rPr>
        <w:t>3.服务方案</w:t>
      </w:r>
    </w:p>
    <w:p>
      <w:pPr>
        <w:adjustRightInd w:val="0"/>
        <w:snapToGrid w:val="0"/>
        <w:spacing w:line="560" w:lineRule="atLeast"/>
        <w:ind w:firstLine="642" w:firstLineChars="200"/>
        <w:rPr>
          <w:rFonts w:ascii="彩虹粗仿宋" w:hAnsi="宋体" w:eastAsia="彩虹粗仿宋" w:cs="Times New Roman"/>
          <w:b/>
          <w:snapToGrid w:val="0"/>
          <w:kern w:val="0"/>
          <w:sz w:val="32"/>
          <w:szCs w:val="32"/>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方正宋体-人口信息-P2"/>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altName w:val="方正宋体-人口信息-P2"/>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彩虹小标宋">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 w:name="等线">
    <w:altName w:val="宋体"/>
    <w:panose1 w:val="02010600030101010101"/>
    <w:charset w:val="86"/>
    <w:family w:val="auto"/>
    <w:pitch w:val="default"/>
    <w:sig w:usb0="00000000" w:usb1="00000000"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2147"/>
    <w:rsid w:val="00153E27"/>
    <w:rsid w:val="00432147"/>
    <w:rsid w:val="00721B36"/>
    <w:rsid w:val="00792845"/>
    <w:rsid w:val="00910351"/>
    <w:rsid w:val="00AA2DA3"/>
    <w:rsid w:val="00B75D21"/>
    <w:rsid w:val="00E47FA2"/>
    <w:rsid w:val="00F42D17"/>
    <w:rsid w:val="063D6028"/>
    <w:rsid w:val="19730E4F"/>
    <w:rsid w:val="1B735BBF"/>
    <w:rsid w:val="1CC3196F"/>
    <w:rsid w:val="29A94967"/>
    <w:rsid w:val="2C2303D4"/>
    <w:rsid w:val="2EFF4463"/>
    <w:rsid w:val="30896552"/>
    <w:rsid w:val="31B13810"/>
    <w:rsid w:val="49703898"/>
    <w:rsid w:val="4DA02468"/>
    <w:rsid w:val="4E5F2455"/>
    <w:rsid w:val="513F5604"/>
    <w:rsid w:val="606D7822"/>
    <w:rsid w:val="797FEDFF"/>
    <w:rsid w:val="FFDF60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qFormat/>
    <w:uiPriority w:val="1"/>
  </w:style>
  <w:style w:type="table" w:default="1" w:styleId="2">
    <w:name w:val="Normal Table"/>
    <w:semiHidden/>
    <w:unhideWhenUsed/>
    <w:qFormat/>
    <w:uiPriority w:val="99"/>
    <w:tblPr>
      <w:tblCellMar>
        <w:top w:w="0" w:type="dxa"/>
        <w:left w:w="108" w:type="dxa"/>
        <w:bottom w:w="0" w:type="dxa"/>
        <w:right w:w="108" w:type="dxa"/>
      </w:tblCellMar>
    </w:tblPr>
  </w:style>
  <w:style w:type="paragraph" w:styleId="4">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CCB</Company>
  <Pages>8</Pages>
  <Words>549</Words>
  <Characters>3133</Characters>
  <Lines>26</Lines>
  <Paragraphs>7</Paragraphs>
  <TotalTime>20</TotalTime>
  <ScaleCrop>false</ScaleCrop>
  <LinksUpToDate>false</LinksUpToDate>
  <CharactersWithSpaces>3675</CharactersWithSpaces>
  <Application>WPS Office_12.8.2.15290_F1E327BC-269C-435d-A152-05C5408002CA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2025-11-14T09:36:00Z</dcterms:created>
  <dc:creator>Apache POI</dc:creator>
  <cp:lastModifiedBy>郑锴涵</cp:lastModifiedBy>
  <dcterms:modified xsi:type="dcterms:W3CDTF">2025-12-05T09:54:50Z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2052-12.8.2.15290</vt:lpwstr>
  </property>
  <property fmtid="{D5CDD505-2E9C-101B-9397-08002B2CF9AE}" pid="3" name="ICV">
    <vt:lpwstr>B5431285C4D1C6AB014631693E5B2BFC_43</vt:lpwstr>
  </property>
</Properties>
</file>