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3F9A0">
      <w:pPr>
        <w:pStyle w:val="3"/>
        <w:spacing w:before="0" w:after="0" w:line="360" w:lineRule="auto"/>
        <w:jc w:val="center"/>
        <w:rPr>
          <w:rFonts w:hint="eastAsia" w:ascii="仿宋" w:hAnsi="仿宋" w:eastAsia="仿宋" w:cs="仿宋"/>
          <w:bCs w:val="0"/>
          <w:color w:val="auto"/>
          <w:sz w:val="28"/>
          <w:szCs w:val="28"/>
          <w:highlight w:val="none"/>
        </w:rPr>
      </w:pPr>
      <w:r>
        <w:rPr>
          <w:rFonts w:hint="eastAsia" w:ascii="仿宋" w:hAnsi="仿宋" w:eastAsia="仿宋" w:cs="仿宋"/>
          <w:bCs w:val="0"/>
          <w:color w:val="auto"/>
          <w:sz w:val="28"/>
          <w:szCs w:val="28"/>
          <w:highlight w:val="none"/>
        </w:rPr>
        <w:t>竞争性磋商公告</w:t>
      </w:r>
    </w:p>
    <w:p w14:paraId="02EC896F">
      <w:pPr>
        <w:pStyle w:val="2"/>
        <w:ind w:firstLine="0" w:firstLineChars="0"/>
        <w:jc w:val="left"/>
        <w:rPr>
          <w:rFonts w:hint="eastAsia" w:ascii="仿宋" w:hAnsi="仿宋" w:eastAsia="仿宋" w:cs="仿宋"/>
          <w:color w:val="auto"/>
          <w:sz w:val="24"/>
          <w:szCs w:val="24"/>
          <w:highlight w:val="none"/>
        </w:rPr>
      </w:pPr>
      <w:bookmarkStart w:id="0" w:name="_Toc20343"/>
      <w:r>
        <w:rPr>
          <w:rFonts w:hint="eastAsia" w:ascii="仿宋" w:hAnsi="仿宋" w:eastAsia="仿宋" w:cs="仿宋"/>
          <w:color w:val="auto"/>
          <w:sz w:val="24"/>
          <w:szCs w:val="24"/>
          <w:highlight w:val="none"/>
        </w:rPr>
        <w:t>一、采购条件</w:t>
      </w:r>
      <w:bookmarkEnd w:id="0"/>
    </w:p>
    <w:p w14:paraId="62CAD3C6">
      <w:pPr>
        <w:wordWrap w:val="0"/>
        <w:spacing w:line="360" w:lineRule="auto"/>
        <w:ind w:firstLine="480" w:firstLineChars="200"/>
        <w:textAlignment w:val="baseline"/>
        <w:rPr>
          <w:rFonts w:hint="eastAsia" w:ascii="仿宋" w:hAnsi="仿宋" w:eastAsia="仿宋" w:cs="Cambria Math"/>
          <w:color w:val="auto"/>
          <w:sz w:val="24"/>
          <w:highlight w:val="none"/>
        </w:rPr>
      </w:pPr>
      <w:bookmarkStart w:id="1" w:name="_Hlk69906010"/>
      <w:r>
        <w:rPr>
          <w:rFonts w:hint="eastAsia" w:ascii="仿宋" w:hAnsi="仿宋" w:eastAsia="仿宋" w:cs="宋体"/>
          <w:color w:val="auto"/>
          <w:sz w:val="24"/>
          <w:highlight w:val="none"/>
        </w:rPr>
        <w:t>本采购项目</w:t>
      </w:r>
      <w:r>
        <w:rPr>
          <w:rFonts w:hint="eastAsia" w:ascii="仿宋" w:hAnsi="仿宋" w:eastAsia="仿宋" w:cs="宋体"/>
          <w:color w:val="auto"/>
          <w:sz w:val="24"/>
          <w:highlight w:val="none"/>
          <w:u w:val="single"/>
          <w:lang w:eastAsia="zh-CN"/>
        </w:rPr>
        <w:t>人保养老西城区西长安街88号六层局部装修改造项目设计</w:t>
      </w:r>
      <w:r>
        <w:rPr>
          <w:rFonts w:hint="eastAsia" w:ascii="仿宋" w:hAnsi="仿宋" w:eastAsia="仿宋" w:cs="宋体"/>
          <w:color w:val="auto"/>
          <w:sz w:val="24"/>
          <w:highlight w:val="none"/>
        </w:rPr>
        <w:t>（代理机构项目编号：</w:t>
      </w:r>
      <w:r>
        <w:rPr>
          <w:rFonts w:hint="eastAsia" w:ascii="仿宋" w:hAnsi="仿宋" w:eastAsia="仿宋" w:cs="宋体"/>
          <w:color w:val="auto"/>
          <w:sz w:val="24"/>
          <w:highlight w:val="none"/>
          <w:lang w:eastAsia="zh-CN"/>
        </w:rPr>
        <w:t>0733-26251331</w:t>
      </w:r>
      <w:r>
        <w:rPr>
          <w:rFonts w:hint="eastAsia" w:ascii="仿宋" w:hAnsi="仿宋" w:eastAsia="仿宋" w:cs="宋体"/>
          <w:color w:val="auto"/>
          <w:sz w:val="24"/>
          <w:highlight w:val="none"/>
        </w:rPr>
        <w:t>）由</w:t>
      </w:r>
      <w:r>
        <w:rPr>
          <w:rFonts w:hint="eastAsia" w:ascii="仿宋" w:hAnsi="仿宋" w:eastAsia="仿宋" w:cs="宋体"/>
          <w:color w:val="auto"/>
          <w:sz w:val="24"/>
          <w:highlight w:val="none"/>
          <w:u w:val="single"/>
        </w:rPr>
        <w:t>人保投控（北京）运营管理有限公司北京分公司</w:t>
      </w:r>
      <w:r>
        <w:rPr>
          <w:rFonts w:hint="eastAsia" w:ascii="仿宋" w:hAnsi="仿宋" w:eastAsia="仿宋" w:cs="宋体"/>
          <w:color w:val="auto"/>
          <w:sz w:val="24"/>
          <w:highlight w:val="none"/>
        </w:rPr>
        <w:t>（以下简称“采购人”）</w:t>
      </w:r>
      <w:r>
        <w:rPr>
          <w:rFonts w:hint="eastAsia" w:ascii="仿宋" w:hAnsi="仿宋" w:eastAsia="仿宋" w:cs="仿宋"/>
          <w:color w:val="auto"/>
          <w:sz w:val="24"/>
          <w:highlight w:val="none"/>
        </w:rPr>
        <w:t>批准并落实资金，</w:t>
      </w:r>
      <w:r>
        <w:rPr>
          <w:rFonts w:hint="eastAsia" w:ascii="仿宋" w:hAnsi="仿宋" w:eastAsia="仿宋" w:cs="宋体"/>
          <w:color w:val="auto"/>
          <w:sz w:val="24"/>
          <w:highlight w:val="none"/>
        </w:rPr>
        <w:t>组织本项目的相关采购工作，采购合同由</w:t>
      </w:r>
      <w:r>
        <w:rPr>
          <w:rFonts w:hint="eastAsia" w:ascii="仿宋" w:hAnsi="仿宋" w:eastAsia="仿宋" w:cs="宋体"/>
          <w:color w:val="auto"/>
          <w:sz w:val="24"/>
          <w:highlight w:val="none"/>
          <w:u w:val="single"/>
        </w:rPr>
        <w:t>人保投控（北京）运营管理有限公司北京分公司</w:t>
      </w:r>
      <w:r>
        <w:rPr>
          <w:rFonts w:hint="eastAsia" w:ascii="仿宋" w:hAnsi="仿宋" w:eastAsia="仿宋" w:cs="宋体"/>
          <w:color w:val="auto"/>
          <w:sz w:val="24"/>
          <w:highlight w:val="none"/>
        </w:rPr>
        <w:t>根据成交结果与成交人签署。</w:t>
      </w:r>
      <w:bookmarkEnd w:id="1"/>
      <w:r>
        <w:rPr>
          <w:rFonts w:hint="eastAsia" w:ascii="仿宋" w:hAnsi="仿宋" w:eastAsia="仿宋" w:cs="宋体"/>
          <w:color w:val="auto"/>
          <w:sz w:val="24"/>
          <w:highlight w:val="none"/>
        </w:rPr>
        <w:t>现委托</w:t>
      </w:r>
      <w:r>
        <w:rPr>
          <w:rFonts w:hint="eastAsia" w:ascii="仿宋" w:hAnsi="仿宋" w:eastAsia="仿宋" w:cs="仿宋"/>
          <w:b/>
          <w:bCs/>
          <w:color w:val="auto"/>
          <w:sz w:val="24"/>
          <w:highlight w:val="none"/>
        </w:rPr>
        <w:t>中信国际招标有限公司</w:t>
      </w:r>
      <w:r>
        <w:rPr>
          <w:rFonts w:hint="eastAsia" w:ascii="仿宋" w:hAnsi="仿宋" w:eastAsia="仿宋" w:cs="宋体"/>
          <w:color w:val="auto"/>
          <w:sz w:val="24"/>
          <w:highlight w:val="none"/>
        </w:rPr>
        <w:t>（以下简称“采购代理机构”）进行</w:t>
      </w:r>
      <w:r>
        <w:rPr>
          <w:rFonts w:hint="eastAsia" w:ascii="仿宋" w:hAnsi="仿宋" w:eastAsia="仿宋"/>
          <w:color w:val="auto"/>
          <w:sz w:val="24"/>
          <w:highlight w:val="none"/>
        </w:rPr>
        <w:t>竞争性磋商采购</w:t>
      </w:r>
      <w:r>
        <w:rPr>
          <w:rFonts w:hint="eastAsia" w:ascii="仿宋" w:hAnsi="仿宋" w:eastAsia="仿宋" w:cs="宋体"/>
          <w:color w:val="auto"/>
          <w:sz w:val="24"/>
          <w:highlight w:val="none"/>
        </w:rPr>
        <w:t>，有意向且具有提供标的物能力的潜在供应商（以下简称“供应商”）可前来响应</w:t>
      </w:r>
      <w:r>
        <w:rPr>
          <w:rFonts w:hint="eastAsia" w:ascii="仿宋" w:hAnsi="仿宋" w:eastAsia="仿宋" w:cs="仿宋"/>
          <w:color w:val="auto"/>
          <w:sz w:val="24"/>
          <w:highlight w:val="none"/>
        </w:rPr>
        <w:t>。</w:t>
      </w:r>
    </w:p>
    <w:p w14:paraId="104D7FF7">
      <w:pPr>
        <w:pStyle w:val="2"/>
        <w:ind w:firstLine="0" w:firstLineChars="0"/>
        <w:jc w:val="left"/>
        <w:rPr>
          <w:rFonts w:hint="eastAsia" w:ascii="仿宋" w:hAnsi="仿宋" w:eastAsia="仿宋" w:cs="仿宋"/>
          <w:color w:val="auto"/>
          <w:sz w:val="24"/>
          <w:szCs w:val="24"/>
          <w:highlight w:val="none"/>
        </w:rPr>
      </w:pPr>
      <w:bookmarkStart w:id="2" w:name="_Toc453254780"/>
      <w:bookmarkStart w:id="3" w:name="_Toc100672392"/>
      <w:bookmarkStart w:id="4" w:name="_Toc7897"/>
      <w:r>
        <w:rPr>
          <w:rFonts w:hint="eastAsia" w:ascii="仿宋" w:hAnsi="仿宋" w:eastAsia="仿宋" w:cs="仿宋"/>
          <w:color w:val="auto"/>
          <w:sz w:val="24"/>
          <w:szCs w:val="24"/>
          <w:highlight w:val="none"/>
        </w:rPr>
        <w:t>二、项目概况与采购范围</w:t>
      </w:r>
      <w:bookmarkEnd w:id="2"/>
      <w:bookmarkEnd w:id="3"/>
      <w:bookmarkEnd w:id="4"/>
    </w:p>
    <w:p w14:paraId="61A782DB">
      <w:pPr>
        <w:pStyle w:val="4"/>
        <w:spacing w:line="360" w:lineRule="auto"/>
        <w:ind w:firstLine="480" w:firstLineChars="200"/>
        <w:rPr>
          <w:rFonts w:ascii="仿宋" w:hAnsi="仿宋" w:eastAsia="仿宋"/>
          <w:color w:val="auto"/>
          <w:sz w:val="24"/>
          <w:szCs w:val="24"/>
          <w:highlight w:val="none"/>
        </w:rPr>
      </w:pPr>
      <w:bookmarkStart w:id="5" w:name="_Toc100672393"/>
      <w:bookmarkStart w:id="6" w:name="_Toc728591551"/>
      <w:r>
        <w:rPr>
          <w:rFonts w:ascii="仿宋" w:hAnsi="仿宋" w:eastAsia="仿宋" w:cs="宋体"/>
          <w:color w:val="auto"/>
          <w:sz w:val="24"/>
          <w:highlight w:val="none"/>
        </w:rPr>
        <w:t>2.1</w:t>
      </w:r>
      <w:r>
        <w:rPr>
          <w:rFonts w:ascii="仿宋" w:hAnsi="仿宋" w:eastAsia="仿宋"/>
          <w:color w:val="auto"/>
          <w:sz w:val="24"/>
          <w:highlight w:val="none"/>
        </w:rPr>
        <w:t>项目名称：</w:t>
      </w:r>
      <w:bookmarkStart w:id="7" w:name="_Hlk123633343"/>
      <w:r>
        <w:rPr>
          <w:rFonts w:hint="eastAsia" w:ascii="仿宋" w:hAnsi="仿宋" w:eastAsia="仿宋"/>
          <w:color w:val="auto"/>
          <w:sz w:val="24"/>
          <w:highlight w:val="none"/>
          <w:lang w:eastAsia="zh-CN"/>
        </w:rPr>
        <w:t>人保养老西城区西长安街88号六层局部装修改造项目设计</w:t>
      </w:r>
      <w:r>
        <w:rPr>
          <w:rFonts w:hint="eastAsia" w:ascii="仿宋" w:hAnsi="仿宋" w:eastAsia="仿宋" w:cs="宋体"/>
          <w:color w:val="auto"/>
          <w:sz w:val="24"/>
          <w:highlight w:val="none"/>
        </w:rPr>
        <w:t>。</w:t>
      </w:r>
      <w:bookmarkEnd w:id="7"/>
    </w:p>
    <w:p w14:paraId="0E87E97D">
      <w:pPr>
        <w:pStyle w:val="9"/>
        <w:spacing w:line="360" w:lineRule="auto"/>
        <w:ind w:firstLine="480"/>
        <w:jc w:val="left"/>
        <w:rPr>
          <w:rFonts w:ascii="仿宋" w:hAnsi="仿宋" w:eastAsia="仿宋" w:cs="仿宋"/>
          <w:color w:val="000000"/>
          <w:sz w:val="24"/>
          <w:szCs w:val="24"/>
          <w:lang w:val="zh-TW" w:eastAsia="zh-TW"/>
        </w:rPr>
      </w:pPr>
      <w:r>
        <w:rPr>
          <w:rFonts w:ascii="仿宋" w:hAnsi="仿宋" w:eastAsia="仿宋" w:cs="宋体"/>
          <w:color w:val="auto"/>
          <w:sz w:val="24"/>
          <w:highlight w:val="none"/>
        </w:rPr>
        <w:t>2.2</w:t>
      </w:r>
      <w:r>
        <w:rPr>
          <w:rFonts w:hint="eastAsia" w:ascii="仿宋" w:hAnsi="仿宋" w:eastAsia="仿宋" w:cs="宋体"/>
          <w:color w:val="auto"/>
          <w:sz w:val="24"/>
          <w:highlight w:val="none"/>
        </w:rPr>
        <w:t>采购范围：</w:t>
      </w:r>
      <w:bookmarkStart w:id="8" w:name="_Hlk69456860"/>
      <w:r>
        <w:rPr>
          <w:rFonts w:ascii="仿宋" w:hAnsi="仿宋" w:eastAsia="仿宋" w:cs="仿宋"/>
          <w:color w:val="000000"/>
          <w:sz w:val="24"/>
          <w:szCs w:val="24"/>
          <w:lang w:val="zh-TW" w:eastAsia="zh-TW"/>
        </w:rPr>
        <w:t>本次采购为 88 号大厦相关区域装修设计及配套服务，需严格遵循国家及北京市建筑规范，涵盖装修、水电、消防、暖通、机电、灯光、软装、标识、结构改造等全专业设计，特殊工艺另行约定。设计需以人为本，科学规划布局，厉行节约、充分利旧，满足办公及配套功能需求。</w:t>
      </w:r>
    </w:p>
    <w:p w14:paraId="769AEAD9">
      <w:pPr>
        <w:pStyle w:val="9"/>
        <w:spacing w:line="360" w:lineRule="auto"/>
        <w:ind w:firstLine="480"/>
        <w:jc w:val="left"/>
        <w:rPr>
          <w:rFonts w:ascii="仿宋" w:hAnsi="仿宋" w:eastAsia="仿宋" w:cs="仿宋"/>
          <w:color w:val="000000"/>
          <w:sz w:val="24"/>
          <w:szCs w:val="24"/>
          <w:lang w:val="zh-TW" w:eastAsia="zh-TW"/>
        </w:rPr>
      </w:pPr>
      <w:r>
        <w:rPr>
          <w:rFonts w:ascii="仿宋" w:hAnsi="仿宋" w:eastAsia="仿宋" w:cs="仿宋"/>
          <w:color w:val="000000"/>
          <w:sz w:val="24"/>
          <w:szCs w:val="24"/>
          <w:lang w:val="zh-TW" w:eastAsia="zh-TW"/>
        </w:rPr>
        <w:t>服务分方案设计、施工图设计、施工配合</w:t>
      </w:r>
      <w:r>
        <w:rPr>
          <w:rFonts w:hint="eastAsia" w:ascii="仿宋" w:hAnsi="仿宋" w:eastAsia="仿宋" w:cs="仿宋"/>
          <w:color w:val="000000"/>
          <w:sz w:val="24"/>
          <w:szCs w:val="24"/>
          <w:lang w:val="zh-TW" w:eastAsia="zh-CN"/>
        </w:rPr>
        <w:t>三个</w:t>
      </w:r>
      <w:r>
        <w:rPr>
          <w:rFonts w:ascii="仿宋" w:hAnsi="仿宋" w:eastAsia="仿宋" w:cs="仿宋"/>
          <w:color w:val="000000"/>
          <w:sz w:val="24"/>
          <w:szCs w:val="24"/>
          <w:lang w:val="zh-TW" w:eastAsia="zh-TW"/>
        </w:rPr>
        <w:t>阶段。方案阶段需提交指定套数纸质及电子成果，含设计说明、图纸、11 张 6 层功能区效果图并出具概算；施工图阶段需完成全专业图纸，达直接施工深度，满足报审、验收及节能环保要求，提交蓝图、电子文件、效果图、图册、样板等成果，同步完成消防方案并协助报批。</w:t>
      </w:r>
    </w:p>
    <w:p w14:paraId="1319DF0C">
      <w:pPr>
        <w:pStyle w:val="9"/>
        <w:spacing w:line="360" w:lineRule="auto"/>
        <w:ind w:firstLine="480"/>
        <w:jc w:val="left"/>
        <w:rPr>
          <w:rFonts w:ascii="仿宋" w:hAnsi="仿宋" w:eastAsia="仿宋" w:cs="仿宋"/>
          <w:color w:val="000000"/>
          <w:sz w:val="24"/>
          <w:szCs w:val="24"/>
          <w:lang w:val="zh-TW" w:eastAsia="zh-TW"/>
        </w:rPr>
      </w:pPr>
      <w:r>
        <w:rPr>
          <w:rFonts w:ascii="仿宋" w:hAnsi="仿宋" w:eastAsia="仿宋" w:cs="仿宋"/>
          <w:color w:val="000000"/>
          <w:sz w:val="24"/>
          <w:szCs w:val="24"/>
          <w:lang w:val="zh-TW" w:eastAsia="zh-TW"/>
        </w:rPr>
        <w:t>施工招标及施工阶段，需配合材料设备选型、答疑交底，审核深化图纸，参与会议、洽商变更及验收，全程提供技术支持，保障项目顺利推进。</w:t>
      </w:r>
    </w:p>
    <w:p w14:paraId="0C21BAD9">
      <w:pPr>
        <w:pStyle w:val="10"/>
        <w:spacing w:line="360" w:lineRule="auto"/>
        <w:ind w:firstLine="480"/>
        <w:rPr>
          <w:rFonts w:ascii="仿宋" w:hAnsi="仿宋" w:eastAsia="仿宋" w:cs="宋体"/>
          <w:color w:val="auto"/>
          <w:sz w:val="24"/>
          <w:highlight w:val="none"/>
        </w:rPr>
      </w:pPr>
      <w:r>
        <w:rPr>
          <w:rFonts w:ascii="仿宋" w:hAnsi="仿宋" w:eastAsia="仿宋" w:cs="仿宋"/>
          <w:color w:val="000000"/>
          <w:sz w:val="24"/>
          <w:szCs w:val="24"/>
          <w:lang w:val="zh-TW" w:eastAsia="zh-TW"/>
        </w:rPr>
        <w:t>具体技术要求详见竞争性磋</w:t>
      </w:r>
      <w:r>
        <w:rPr>
          <w:rFonts w:hint="eastAsia" w:ascii="仿宋" w:hAnsi="仿宋" w:eastAsia="仿宋" w:cs="仿宋"/>
          <w:color w:val="000000"/>
          <w:sz w:val="24"/>
          <w:szCs w:val="24"/>
          <w:lang w:val="zh-TW" w:eastAsia="zh-CN"/>
        </w:rPr>
        <w:t>商文</w:t>
      </w:r>
      <w:r>
        <w:rPr>
          <w:rFonts w:ascii="仿宋" w:hAnsi="仿宋" w:eastAsia="仿宋" w:cs="仿宋"/>
          <w:color w:val="000000"/>
          <w:sz w:val="24"/>
          <w:szCs w:val="24"/>
          <w:lang w:val="zh-TW" w:eastAsia="zh-TW"/>
        </w:rPr>
        <w:t>件第五章《采购需求》。</w:t>
      </w:r>
      <w:bookmarkEnd w:id="8"/>
    </w:p>
    <w:p w14:paraId="4FB85AD5">
      <w:pPr>
        <w:widowControl/>
        <w:spacing w:line="360" w:lineRule="auto"/>
        <w:ind w:firstLine="480" w:firstLineChars="200"/>
        <w:rPr>
          <w:rFonts w:ascii="仿宋" w:hAnsi="仿宋" w:eastAsia="仿宋" w:cs="宋体"/>
          <w:color w:val="auto"/>
          <w:sz w:val="24"/>
          <w:highlight w:val="none"/>
        </w:rPr>
      </w:pPr>
      <w:r>
        <w:rPr>
          <w:rFonts w:ascii="仿宋" w:hAnsi="仿宋" w:eastAsia="仿宋" w:cs="宋体"/>
          <w:color w:val="auto"/>
          <w:sz w:val="24"/>
          <w:highlight w:val="none"/>
        </w:rPr>
        <w:t>2</w:t>
      </w:r>
      <w:r>
        <w:rPr>
          <w:rFonts w:hint="eastAsia" w:ascii="仿宋" w:hAnsi="仿宋" w:eastAsia="仿宋" w:cs="宋体"/>
          <w:color w:val="auto"/>
          <w:sz w:val="24"/>
          <w:highlight w:val="none"/>
        </w:rPr>
        <w:t>.3项目性质：</w:t>
      </w:r>
      <w:r>
        <w:rPr>
          <w:rFonts w:hint="eastAsia" w:ascii="仿宋" w:hAnsi="仿宋" w:eastAsia="仿宋" w:cs="宋体"/>
          <w:color w:val="auto"/>
          <w:sz w:val="24"/>
          <w:highlight w:val="none"/>
          <w:lang w:val="en-US" w:eastAsia="zh-CN"/>
        </w:rPr>
        <w:t>设计</w:t>
      </w:r>
      <w:r>
        <w:rPr>
          <w:rFonts w:hint="eastAsia" w:ascii="仿宋" w:hAnsi="仿宋" w:eastAsia="仿宋" w:cs="宋体"/>
          <w:color w:val="auto"/>
          <w:sz w:val="24"/>
          <w:highlight w:val="none"/>
        </w:rPr>
        <w:t>。</w:t>
      </w:r>
    </w:p>
    <w:p w14:paraId="36759FFE">
      <w:pPr>
        <w:widowControl/>
        <w:spacing w:line="360" w:lineRule="auto"/>
        <w:ind w:firstLine="480" w:firstLineChars="200"/>
        <w:rPr>
          <w:rFonts w:hint="default" w:ascii="仿宋" w:hAnsi="仿宋" w:eastAsia="仿宋" w:cs="宋体"/>
          <w:color w:val="auto"/>
          <w:sz w:val="24"/>
          <w:highlight w:val="none"/>
          <w:lang w:val="en-US" w:eastAsia="zh-CN"/>
        </w:rPr>
      </w:pPr>
      <w:r>
        <w:rPr>
          <w:rFonts w:hint="eastAsia" w:ascii="仿宋" w:hAnsi="仿宋" w:eastAsia="仿宋" w:cs="宋体"/>
          <w:color w:val="auto"/>
          <w:sz w:val="24"/>
          <w:highlight w:val="none"/>
        </w:rPr>
        <w:t>2.4标包划分：本项目</w:t>
      </w:r>
      <w:r>
        <w:rPr>
          <w:rFonts w:hint="eastAsia" w:ascii="仿宋" w:hAnsi="仿宋" w:eastAsia="仿宋" w:cs="宋体"/>
          <w:color w:val="auto"/>
          <w:sz w:val="24"/>
          <w:highlight w:val="none"/>
          <w:lang w:val="en-US" w:eastAsia="zh-CN"/>
        </w:rPr>
        <w:t>不</w:t>
      </w:r>
      <w:r>
        <w:rPr>
          <w:rFonts w:hint="eastAsia" w:ascii="仿宋" w:hAnsi="仿宋" w:eastAsia="仿宋" w:cs="宋体"/>
          <w:color w:val="auto"/>
          <w:sz w:val="24"/>
          <w:highlight w:val="none"/>
        </w:rPr>
        <w:t>划分标包，</w:t>
      </w:r>
      <w:r>
        <w:rPr>
          <w:rFonts w:hint="eastAsia" w:ascii="仿宋" w:hAnsi="仿宋" w:eastAsia="仿宋" w:cs="宋体"/>
          <w:color w:val="auto"/>
          <w:sz w:val="24"/>
          <w:highlight w:val="none"/>
          <w:lang w:val="en-US" w:eastAsia="zh-CN"/>
        </w:rPr>
        <w:t>成交人数量（N）=1家。</w:t>
      </w:r>
    </w:p>
    <w:p w14:paraId="09ADC4EC">
      <w:pPr>
        <w:widowControl/>
        <w:spacing w:line="360" w:lineRule="auto"/>
        <w:ind w:firstLine="480" w:firstLineChars="200"/>
        <w:rPr>
          <w:rFonts w:hint="eastAsia" w:ascii="仿宋" w:hAnsi="仿宋" w:eastAsia="仿宋" w:cs="宋体"/>
          <w:color w:val="auto"/>
          <w:sz w:val="24"/>
          <w:highlight w:val="none"/>
          <w:lang w:val="en-US" w:eastAsia="zh-CN"/>
        </w:rPr>
      </w:pPr>
      <w:r>
        <w:rPr>
          <w:rFonts w:hint="eastAsia" w:ascii="仿宋" w:hAnsi="仿宋" w:eastAsia="仿宋" w:cs="宋体"/>
          <w:color w:val="auto"/>
          <w:sz w:val="24"/>
          <w:highlight w:val="none"/>
        </w:rPr>
        <w:t>2.5</w:t>
      </w:r>
      <w:r>
        <w:rPr>
          <w:rFonts w:hint="eastAsia" w:ascii="仿宋" w:hAnsi="仿宋" w:eastAsia="仿宋" w:cs="宋体"/>
          <w:color w:val="auto"/>
          <w:sz w:val="24"/>
          <w:highlight w:val="none"/>
          <w:lang w:val="en-US" w:eastAsia="zh-CN"/>
        </w:rPr>
        <w:t>交货期限</w:t>
      </w:r>
      <w:r>
        <w:rPr>
          <w:rFonts w:hint="eastAsia" w:ascii="仿宋" w:hAnsi="仿宋" w:eastAsia="仿宋" w:cs="宋体"/>
          <w:color w:val="auto"/>
          <w:sz w:val="24"/>
          <w:highlight w:val="none"/>
          <w:lang w:eastAsia="zh-CN"/>
        </w:rPr>
        <w:t>：计划整体设计时间为283天，其中方案设计和概算编制28天、配合施工总包采购90天（包含施工图设计20天）、施工现场服务及竣工验收165天。实际结束时间以设计人在交付施工图设计文件并经审查合格后至工程竣工时间内提供施工现场配合服务完成的日期为准。</w:t>
      </w:r>
    </w:p>
    <w:p w14:paraId="4128B6BC">
      <w:pPr>
        <w:widowControl/>
        <w:spacing w:line="360" w:lineRule="auto"/>
        <w:ind w:firstLine="480" w:firstLineChars="200"/>
        <w:rPr>
          <w:rFonts w:ascii="仿宋" w:hAnsi="仿宋" w:eastAsia="仿宋" w:cs="宋体"/>
          <w:color w:val="auto"/>
          <w:sz w:val="24"/>
          <w:highlight w:val="none"/>
        </w:rPr>
      </w:pPr>
      <w:r>
        <w:rPr>
          <w:rFonts w:hint="eastAsia" w:ascii="仿宋" w:hAnsi="仿宋" w:eastAsia="仿宋" w:cs="宋体"/>
          <w:color w:val="auto"/>
          <w:sz w:val="24"/>
          <w:highlight w:val="none"/>
        </w:rPr>
        <w:t>2.6</w:t>
      </w:r>
      <w:r>
        <w:rPr>
          <w:rFonts w:hint="eastAsia" w:ascii="仿宋" w:hAnsi="仿宋" w:eastAsia="仿宋" w:cs="宋体"/>
          <w:color w:val="auto"/>
          <w:sz w:val="24"/>
          <w:highlight w:val="none"/>
          <w:lang w:val="en-US" w:eastAsia="zh-CN"/>
        </w:rPr>
        <w:t>实施地点</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北京市西城区西长安街88号</w:t>
      </w:r>
    </w:p>
    <w:p w14:paraId="1EF7EF39">
      <w:pPr>
        <w:pStyle w:val="2"/>
        <w:ind w:firstLine="0" w:firstLineChars="0"/>
        <w:jc w:val="left"/>
        <w:rPr>
          <w:rFonts w:hint="eastAsia" w:ascii="仿宋" w:hAnsi="仿宋" w:eastAsia="仿宋" w:cs="仿宋"/>
          <w:color w:val="auto"/>
          <w:sz w:val="24"/>
          <w:szCs w:val="24"/>
          <w:highlight w:val="none"/>
        </w:rPr>
      </w:pPr>
      <w:bookmarkStart w:id="9" w:name="_Toc30799"/>
      <w:r>
        <w:rPr>
          <w:rFonts w:hint="eastAsia" w:ascii="仿宋" w:hAnsi="仿宋" w:eastAsia="仿宋" w:cs="仿宋"/>
          <w:color w:val="auto"/>
          <w:sz w:val="24"/>
          <w:szCs w:val="24"/>
          <w:highlight w:val="none"/>
        </w:rPr>
        <w:t>三、供应商资格要求</w:t>
      </w:r>
      <w:bookmarkEnd w:id="5"/>
      <w:bookmarkEnd w:id="6"/>
      <w:bookmarkEnd w:id="9"/>
    </w:p>
    <w:p w14:paraId="1773FD3A">
      <w:pPr>
        <w:widowControl/>
        <w:spacing w:line="360" w:lineRule="auto"/>
        <w:ind w:firstLine="480" w:firstLineChars="200"/>
        <w:rPr>
          <w:rFonts w:ascii="仿宋" w:hAnsi="仿宋" w:eastAsia="仿宋" w:cs="Monaco"/>
          <w:color w:val="auto"/>
          <w:sz w:val="24"/>
          <w:highlight w:val="none"/>
        </w:rPr>
      </w:pPr>
      <w:r>
        <w:rPr>
          <w:rFonts w:hint="eastAsia" w:ascii="仿宋" w:hAnsi="仿宋" w:eastAsia="仿宋" w:cs="宋体"/>
          <w:color w:val="auto"/>
          <w:sz w:val="24"/>
          <w:highlight w:val="none"/>
        </w:rPr>
        <w:t>3.1</w:t>
      </w:r>
      <w:r>
        <w:rPr>
          <w:rFonts w:hint="eastAsia" w:ascii="仿宋" w:hAnsi="仿宋" w:eastAsia="仿宋" w:cs="Monaco"/>
          <w:color w:val="auto"/>
          <w:sz w:val="24"/>
          <w:highlight w:val="none"/>
        </w:rPr>
        <w:t>在中华人民共和国境内依法登记的法人或其他组织，具有独立承担民事责任的能力，供应商如为企业法人，须提供企业法人营业执照；供应商如为事业单位或其他组织，须提供事业单位法人证书或登记证或组织机构代码证或其他有效证明文件（复印件）。</w:t>
      </w:r>
    </w:p>
    <w:p w14:paraId="2E9CEF89">
      <w:pPr>
        <w:spacing w:line="360" w:lineRule="auto"/>
        <w:ind w:firstLine="480" w:firstLineChars="200"/>
        <w:rPr>
          <w:rFonts w:ascii="仿宋" w:hAnsi="仿宋" w:eastAsia="仿宋" w:cs="宋体"/>
          <w:color w:val="auto"/>
          <w:sz w:val="24"/>
          <w:highlight w:val="none"/>
        </w:rPr>
      </w:pPr>
      <w:r>
        <w:rPr>
          <w:rFonts w:hint="eastAsia" w:ascii="仿宋" w:hAnsi="仿宋" w:eastAsia="仿宋" w:cs="宋体"/>
          <w:color w:val="auto"/>
          <w:sz w:val="24"/>
          <w:highlight w:val="none"/>
        </w:rPr>
        <w:t>3.</w:t>
      </w:r>
      <w:r>
        <w:rPr>
          <w:rFonts w:ascii="仿宋" w:hAnsi="仿宋" w:eastAsia="仿宋" w:cs="宋体"/>
          <w:color w:val="auto"/>
          <w:sz w:val="24"/>
          <w:highlight w:val="none"/>
        </w:rPr>
        <w:t>2</w:t>
      </w:r>
      <w:r>
        <w:rPr>
          <w:rFonts w:hint="eastAsia" w:ascii="仿宋" w:hAnsi="仿宋" w:eastAsia="仿宋" w:cs="宋体"/>
          <w:color w:val="auto"/>
          <w:sz w:val="24"/>
          <w:highlight w:val="none"/>
          <w:lang w:val="en-US" w:eastAsia="zh-CN"/>
        </w:rPr>
        <w:t>供应商应</w:t>
      </w:r>
      <w:r>
        <w:rPr>
          <w:rFonts w:hint="eastAsia" w:ascii="仿宋" w:hAnsi="仿宋" w:eastAsia="仿宋" w:cs="宋体"/>
          <w:color w:val="auto"/>
          <w:sz w:val="24"/>
          <w:highlight w:val="none"/>
        </w:rPr>
        <w:t>具有良好的商业信誉和健全的财务会计制度，需提供2024年度经会计师事务所或审计机构审计的财务审计报告及财务报表（至少包含会计师事务所或审计机构签章页、资产负债表、现金流量表、损益表/利润表）或首次响应文件提交截止之日前6个月内开具的银行资信证明。</w:t>
      </w:r>
    </w:p>
    <w:p w14:paraId="19EC80BD">
      <w:pPr>
        <w:spacing w:line="360" w:lineRule="auto"/>
        <w:ind w:firstLine="480" w:firstLineChars="200"/>
        <w:rPr>
          <w:rFonts w:ascii="仿宋" w:hAnsi="仿宋" w:eastAsia="仿宋" w:cs="宋体"/>
          <w:color w:val="auto"/>
          <w:sz w:val="24"/>
          <w:highlight w:val="none"/>
        </w:rPr>
      </w:pPr>
      <w:r>
        <w:rPr>
          <w:rFonts w:hint="eastAsia" w:ascii="仿宋" w:hAnsi="仿宋" w:eastAsia="仿宋" w:cs="宋体"/>
          <w:color w:val="auto"/>
          <w:sz w:val="24"/>
          <w:highlight w:val="none"/>
        </w:rPr>
        <w:t>3.</w:t>
      </w:r>
      <w:r>
        <w:rPr>
          <w:rFonts w:ascii="仿宋" w:hAnsi="仿宋" w:eastAsia="仿宋" w:cs="宋体"/>
          <w:color w:val="auto"/>
          <w:sz w:val="24"/>
          <w:highlight w:val="none"/>
        </w:rPr>
        <w:t>3</w:t>
      </w:r>
      <w:r>
        <w:rPr>
          <w:rFonts w:hint="eastAsia" w:ascii="仿宋" w:hAnsi="仿宋" w:eastAsia="仿宋" w:cs="宋体"/>
          <w:color w:val="auto"/>
          <w:sz w:val="24"/>
          <w:highlight w:val="none"/>
        </w:rPr>
        <w:t>供应商应具有履行合同所必需的设备和专业技术能力，供应商</w:t>
      </w:r>
      <w:r>
        <w:rPr>
          <w:rFonts w:hint="eastAsia" w:ascii="仿宋" w:hAnsi="仿宋" w:eastAsia="仿宋" w:cs="宋体"/>
          <w:color w:val="auto"/>
          <w:sz w:val="24"/>
          <w:highlight w:val="none"/>
          <w:lang w:val="en-US" w:eastAsia="zh-CN"/>
        </w:rPr>
        <w:t>近五年（2021年4月1日至响应文件提交截止之日）具有不小于3000㎡的非住宅类公共建筑室内精装修工程经验不少于三个，需提供能证明的合同页，内容应有施工图设计以及设计范围、面积；</w:t>
      </w:r>
    </w:p>
    <w:p w14:paraId="6F36639E">
      <w:pPr>
        <w:pStyle w:val="10"/>
        <w:spacing w:line="360" w:lineRule="auto"/>
        <w:ind w:firstLine="480"/>
        <w:rPr>
          <w:rFonts w:ascii="仿宋" w:hAnsi="仿宋" w:eastAsia="仿宋" w:cs="宋体"/>
          <w:color w:val="auto"/>
          <w:sz w:val="24"/>
          <w:highlight w:val="none"/>
        </w:rPr>
      </w:pPr>
      <w:r>
        <w:rPr>
          <w:rFonts w:hint="eastAsia" w:ascii="仿宋" w:hAnsi="仿宋" w:eastAsia="仿宋" w:cs="宋体"/>
          <w:color w:val="auto"/>
          <w:sz w:val="24"/>
          <w:highlight w:val="none"/>
        </w:rPr>
        <w:t>3.</w:t>
      </w:r>
      <w:r>
        <w:rPr>
          <w:rFonts w:ascii="仿宋" w:hAnsi="仿宋" w:eastAsia="仿宋" w:cs="宋体"/>
          <w:color w:val="auto"/>
          <w:sz w:val="24"/>
          <w:highlight w:val="none"/>
        </w:rPr>
        <w:t>4</w:t>
      </w:r>
      <w:r>
        <w:rPr>
          <w:rFonts w:hint="eastAsia" w:ascii="仿宋" w:hAnsi="仿宋" w:eastAsia="仿宋" w:cs="宋体"/>
          <w:color w:val="auto"/>
          <w:sz w:val="24"/>
          <w:highlight w:val="none"/>
          <w:lang w:val="en-US" w:eastAsia="zh-CN"/>
        </w:rPr>
        <w:t>供应商应</w:t>
      </w:r>
      <w:r>
        <w:rPr>
          <w:rFonts w:hint="eastAsia" w:ascii="仿宋" w:hAnsi="仿宋" w:eastAsia="仿宋" w:cs="宋体"/>
          <w:color w:val="auto"/>
          <w:sz w:val="24"/>
          <w:highlight w:val="none"/>
        </w:rPr>
        <w:t>具有依法缴纳税收和社会保障资金的良好记录，提供</w:t>
      </w:r>
      <w:r>
        <w:rPr>
          <w:rFonts w:hint="eastAsia" w:ascii="仿宋" w:hAnsi="仿宋" w:eastAsia="仿宋" w:cs="宋体"/>
          <w:color w:val="auto"/>
          <w:kern w:val="0"/>
          <w:sz w:val="24"/>
          <w:highlight w:val="none"/>
        </w:rPr>
        <w:t>近6个月</w:t>
      </w:r>
      <w:r>
        <w:rPr>
          <w:rFonts w:hint="eastAsia" w:ascii="仿宋" w:hAnsi="仿宋" w:eastAsia="仿宋" w:cs="宋体"/>
          <w:color w:val="auto"/>
          <w:sz w:val="24"/>
          <w:highlight w:val="none"/>
        </w:rPr>
        <w:t>任意一个月的税收和社会保障资金缴纳凭证。</w:t>
      </w:r>
    </w:p>
    <w:p w14:paraId="0553974E">
      <w:pPr>
        <w:pStyle w:val="10"/>
        <w:spacing w:line="360" w:lineRule="auto"/>
        <w:ind w:firstLine="480"/>
        <w:jc w:val="left"/>
        <w:rPr>
          <w:rFonts w:ascii="仿宋" w:hAnsi="仿宋" w:eastAsia="仿宋" w:cs="Monaco"/>
          <w:color w:val="auto"/>
          <w:sz w:val="24"/>
          <w:highlight w:val="none"/>
        </w:rPr>
      </w:pPr>
      <w:r>
        <w:rPr>
          <w:rFonts w:hint="eastAsia" w:ascii="仿宋" w:hAnsi="仿宋" w:eastAsia="仿宋" w:cs="宋体"/>
          <w:color w:val="auto"/>
          <w:sz w:val="24"/>
          <w:highlight w:val="none"/>
        </w:rPr>
        <w:t>3.5</w:t>
      </w:r>
      <w:r>
        <w:rPr>
          <w:rFonts w:hint="eastAsia" w:ascii="仿宋" w:hAnsi="仿宋" w:eastAsia="仿宋" w:cs="Monaco"/>
          <w:color w:val="auto"/>
          <w:sz w:val="24"/>
          <w:highlight w:val="none"/>
        </w:rPr>
        <w:t>供应商应经营状况良好，且近三年内（202</w:t>
      </w:r>
      <w:r>
        <w:rPr>
          <w:rFonts w:hint="eastAsia" w:ascii="仿宋" w:hAnsi="仿宋" w:eastAsia="仿宋" w:cs="Monaco"/>
          <w:color w:val="auto"/>
          <w:sz w:val="24"/>
          <w:highlight w:val="none"/>
          <w:lang w:val="en-US" w:eastAsia="zh-CN"/>
        </w:rPr>
        <w:t>3</w:t>
      </w:r>
      <w:r>
        <w:rPr>
          <w:rFonts w:hint="eastAsia" w:ascii="仿宋" w:hAnsi="仿宋" w:eastAsia="仿宋" w:cs="Monaco"/>
          <w:color w:val="auto"/>
          <w:sz w:val="24"/>
          <w:highlight w:val="none"/>
        </w:rPr>
        <w:t>年</w:t>
      </w:r>
      <w:r>
        <w:rPr>
          <w:rFonts w:hint="eastAsia" w:ascii="仿宋" w:hAnsi="仿宋" w:eastAsia="仿宋" w:cs="Monaco"/>
          <w:color w:val="auto"/>
          <w:sz w:val="24"/>
          <w:highlight w:val="none"/>
          <w:lang w:val="en-US" w:eastAsia="zh-CN"/>
        </w:rPr>
        <w:t>4</w:t>
      </w:r>
      <w:r>
        <w:rPr>
          <w:rFonts w:hint="eastAsia" w:ascii="仿宋" w:hAnsi="仿宋" w:eastAsia="仿宋" w:cs="Monaco"/>
          <w:color w:val="auto"/>
          <w:sz w:val="24"/>
          <w:highlight w:val="none"/>
        </w:rPr>
        <w:t>月1日至首次响应文件提交截止之日）无违法违规记录。违法违规记录是指被“信用中国”列入失信被执行人、重大税收违法失信主体、政府采购严重违法失信行为记录名单。供应商需提供自竞争性磋商公告发布之日至首次响应文件提交截止之日期间对以上三项内容的查询截图。</w:t>
      </w:r>
    </w:p>
    <w:p w14:paraId="5D9B9DE9">
      <w:pPr>
        <w:pStyle w:val="10"/>
        <w:spacing w:line="360" w:lineRule="auto"/>
        <w:ind w:firstLine="480"/>
        <w:jc w:val="left"/>
        <w:rPr>
          <w:rFonts w:ascii="仿宋" w:hAnsi="仿宋" w:eastAsia="仿宋" w:cs="Monaco"/>
          <w:color w:val="auto"/>
          <w:sz w:val="24"/>
          <w:highlight w:val="none"/>
        </w:rPr>
      </w:pPr>
      <w:r>
        <w:rPr>
          <w:rFonts w:hint="eastAsia" w:ascii="仿宋" w:hAnsi="仿宋" w:eastAsia="仿宋" w:cs="Monaco"/>
          <w:color w:val="auto"/>
          <w:sz w:val="24"/>
          <w:highlight w:val="none"/>
        </w:rPr>
        <w:t>信用中国查询网址：https://www.creditchina.gov.cn/xinyongfuwu/?navPage=5</w:t>
      </w:r>
    </w:p>
    <w:p w14:paraId="32BC5AB3">
      <w:pPr>
        <w:pStyle w:val="10"/>
        <w:spacing w:line="360" w:lineRule="auto"/>
        <w:ind w:firstLine="482"/>
        <w:rPr>
          <w:rFonts w:ascii="仿宋" w:hAnsi="仿宋" w:eastAsia="仿宋" w:cs="宋体"/>
          <w:b/>
          <w:bCs/>
          <w:color w:val="auto"/>
          <w:sz w:val="24"/>
          <w:highlight w:val="none"/>
        </w:rPr>
      </w:pPr>
      <w:r>
        <w:rPr>
          <w:rFonts w:hint="eastAsia" w:ascii="仿宋" w:hAnsi="仿宋" w:eastAsia="仿宋" w:cs="宋体"/>
          <w:b/>
          <w:bCs/>
          <w:color w:val="auto"/>
          <w:sz w:val="24"/>
          <w:highlight w:val="none"/>
        </w:rPr>
        <w:t>3</w:t>
      </w:r>
      <w:r>
        <w:rPr>
          <w:rFonts w:ascii="仿宋" w:hAnsi="仿宋" w:eastAsia="仿宋" w:cs="宋体"/>
          <w:b/>
          <w:bCs/>
          <w:color w:val="auto"/>
          <w:sz w:val="24"/>
          <w:highlight w:val="none"/>
        </w:rPr>
        <w:t xml:space="preserve">.6 </w:t>
      </w:r>
      <w:r>
        <w:rPr>
          <w:rFonts w:hint="eastAsia" w:ascii="仿宋" w:hAnsi="仿宋" w:eastAsia="仿宋" w:cs="宋体"/>
          <w:b/>
          <w:bCs/>
          <w:color w:val="auto"/>
          <w:sz w:val="24"/>
          <w:highlight w:val="none"/>
        </w:rPr>
        <w:t>根据《中国人民保险集团供应商管理办法》及《人保投控（北京）运营管理有限公司供应商管理办法》规定，严禁列入中国人民保险集团和人保投控（北京）运营管理有限公司黑名单且在禁入期内的供应商参与采购活动。</w:t>
      </w:r>
    </w:p>
    <w:p w14:paraId="4F69F152">
      <w:pPr>
        <w:pStyle w:val="10"/>
        <w:spacing w:line="360" w:lineRule="auto"/>
        <w:ind w:firstLine="480"/>
        <w:rPr>
          <w:rFonts w:ascii="仿宋" w:hAnsi="仿宋" w:eastAsia="仿宋" w:cs="宋体"/>
          <w:color w:val="auto"/>
          <w:sz w:val="24"/>
          <w:highlight w:val="none"/>
        </w:rPr>
      </w:pPr>
      <w:r>
        <w:rPr>
          <w:rFonts w:hint="eastAsia" w:ascii="仿宋" w:hAnsi="仿宋" w:eastAsia="仿宋" w:cs="宋体"/>
          <w:color w:val="auto"/>
          <w:sz w:val="24"/>
          <w:highlight w:val="none"/>
        </w:rPr>
        <w:t>3.</w:t>
      </w:r>
      <w:r>
        <w:rPr>
          <w:rFonts w:ascii="仿宋" w:hAnsi="仿宋" w:eastAsia="仿宋" w:cs="宋体"/>
          <w:color w:val="auto"/>
          <w:sz w:val="24"/>
          <w:highlight w:val="none"/>
        </w:rPr>
        <w:t>7</w:t>
      </w:r>
      <w:r>
        <w:rPr>
          <w:rFonts w:hint="eastAsia" w:ascii="仿宋" w:hAnsi="仿宋" w:eastAsia="仿宋" w:cs="宋体"/>
          <w:color w:val="auto"/>
          <w:sz w:val="24"/>
          <w:highlight w:val="none"/>
        </w:rPr>
        <w:t>单位负责人为同一人或存在控股、管理关系的不同单位，不得参加同一标段/标包磋商响应或未划分标段/标包的同一采购项目磋商响应，</w:t>
      </w:r>
      <w:r>
        <w:rPr>
          <w:rFonts w:hint="eastAsia" w:ascii="仿宋" w:hAnsi="仿宋" w:eastAsia="仿宋" w:cs="Monaco"/>
          <w:color w:val="auto"/>
          <w:sz w:val="24"/>
          <w:highlight w:val="none"/>
        </w:rPr>
        <w:t>需填写《供应商控股及管理关系情况申报表》</w:t>
      </w:r>
      <w:r>
        <w:rPr>
          <w:rFonts w:hint="eastAsia" w:ascii="仿宋" w:hAnsi="仿宋" w:eastAsia="仿宋" w:cs="宋体"/>
          <w:color w:val="auto"/>
          <w:sz w:val="24"/>
          <w:highlight w:val="none"/>
        </w:rPr>
        <w:t>。</w:t>
      </w:r>
    </w:p>
    <w:p w14:paraId="3C3F01E8">
      <w:pPr>
        <w:widowControl/>
        <w:spacing w:line="360" w:lineRule="auto"/>
        <w:ind w:firstLine="480" w:firstLineChars="200"/>
        <w:rPr>
          <w:rFonts w:hint="eastAsia" w:ascii="仿宋" w:hAnsi="仿宋" w:eastAsia="仿宋" w:cs="宋体"/>
          <w:color w:val="auto"/>
          <w:sz w:val="24"/>
          <w:highlight w:val="none"/>
          <w:lang w:val="en-US" w:eastAsia="zh-CN"/>
        </w:rPr>
      </w:pPr>
      <w:r>
        <w:rPr>
          <w:rFonts w:hint="eastAsia" w:ascii="仿宋" w:hAnsi="仿宋" w:eastAsia="仿宋" w:cs="宋体"/>
          <w:color w:val="auto"/>
          <w:sz w:val="24"/>
          <w:highlight w:val="none"/>
        </w:rPr>
        <w:t>3.</w:t>
      </w:r>
      <w:r>
        <w:rPr>
          <w:rFonts w:hint="eastAsia" w:ascii="仿宋" w:hAnsi="仿宋" w:eastAsia="仿宋" w:cs="宋体"/>
          <w:color w:val="auto"/>
          <w:sz w:val="24"/>
          <w:highlight w:val="none"/>
          <w:lang w:val="en-US" w:eastAsia="zh-CN"/>
        </w:rPr>
        <w:t>8供应商没有处于被责令停业，投标资格被取消，财产被接管、冻结，破产状态。在最近三年内没有骗取中选和严重违约及重大质量问题。</w:t>
      </w:r>
      <w:r>
        <w:rPr>
          <w:rFonts w:hint="eastAsia" w:ascii="仿宋" w:hAnsi="仿宋" w:eastAsia="仿宋" w:cs="宋体"/>
          <w:b/>
          <w:bCs/>
          <w:color w:val="auto"/>
          <w:sz w:val="24"/>
          <w:highlight w:val="none"/>
          <w:lang w:val="en-US" w:eastAsia="zh-CN"/>
        </w:rPr>
        <w:t>（须提供书面声明书并加盖公章）</w:t>
      </w:r>
    </w:p>
    <w:p w14:paraId="4421B5D0">
      <w:pPr>
        <w:widowControl/>
        <w:spacing w:line="360" w:lineRule="auto"/>
        <w:ind w:firstLine="480" w:firstLineChars="200"/>
        <w:rPr>
          <w:rFonts w:hint="eastAsia" w:ascii="仿宋" w:hAnsi="仿宋" w:eastAsia="仿宋" w:cs="宋体"/>
          <w:color w:val="auto"/>
          <w:sz w:val="24"/>
          <w:highlight w:val="none"/>
          <w:lang w:val="en-US" w:eastAsia="zh-CN"/>
        </w:rPr>
      </w:pPr>
      <w:r>
        <w:rPr>
          <w:rFonts w:hint="eastAsia" w:ascii="仿宋" w:hAnsi="仿宋" w:eastAsia="仿宋" w:cs="宋体"/>
          <w:color w:val="auto"/>
          <w:sz w:val="24"/>
          <w:highlight w:val="none"/>
          <w:lang w:val="en-US" w:eastAsia="zh-CN"/>
        </w:rPr>
        <w:t>3.9供应商应能开具增值税专用发票，</w:t>
      </w:r>
      <w:r>
        <w:rPr>
          <w:rFonts w:hint="eastAsia" w:ascii="仿宋" w:hAnsi="仿宋" w:eastAsia="仿宋" w:cs="宋体"/>
          <w:b/>
          <w:bCs/>
          <w:color w:val="auto"/>
          <w:sz w:val="24"/>
          <w:highlight w:val="none"/>
          <w:lang w:val="en-US" w:eastAsia="zh-CN"/>
        </w:rPr>
        <w:t>须提供能够开具正规合法的增值税专用发票承诺书并加盖公章</w:t>
      </w:r>
      <w:r>
        <w:rPr>
          <w:rFonts w:hint="eastAsia" w:ascii="仿宋" w:hAnsi="仿宋" w:eastAsia="仿宋" w:cs="宋体"/>
          <w:color w:val="auto"/>
          <w:sz w:val="24"/>
          <w:highlight w:val="none"/>
          <w:lang w:val="en-US" w:eastAsia="zh-CN"/>
        </w:rPr>
        <w:t>。</w:t>
      </w:r>
    </w:p>
    <w:p w14:paraId="1A8B560F">
      <w:pPr>
        <w:pStyle w:val="2"/>
        <w:jc w:val="both"/>
        <w:rPr>
          <w:rFonts w:hint="eastAsia"/>
          <w:lang w:val="en-US" w:eastAsia="zh-CN"/>
        </w:rPr>
      </w:pPr>
      <w:r>
        <w:rPr>
          <w:rFonts w:hint="eastAsia" w:ascii="仿宋" w:hAnsi="仿宋" w:eastAsia="仿宋" w:cs="宋体"/>
          <w:color w:val="auto"/>
          <w:sz w:val="24"/>
          <w:highlight w:val="none"/>
          <w:lang w:val="en-US" w:eastAsia="zh-CN"/>
        </w:rPr>
        <w:t>3.10供应商应具备工程设计建筑行业（建筑工程）专业甲级或以上资质。</w:t>
      </w:r>
    </w:p>
    <w:p w14:paraId="64DCA4AB">
      <w:pPr>
        <w:widowControl/>
        <w:spacing w:line="360" w:lineRule="auto"/>
        <w:ind w:firstLine="480" w:firstLineChars="200"/>
        <w:rPr>
          <w:rFonts w:hint="eastAsia" w:ascii="仿宋" w:hAnsi="仿宋" w:eastAsia="仿宋" w:cs="宋体"/>
          <w:color w:val="auto"/>
          <w:sz w:val="24"/>
          <w:highlight w:val="none"/>
          <w:lang w:val="en-US" w:eastAsia="zh-CN"/>
        </w:rPr>
      </w:pPr>
      <w:r>
        <w:rPr>
          <w:rFonts w:hint="eastAsia" w:ascii="仿宋" w:hAnsi="仿宋" w:eastAsia="仿宋" w:cs="宋体"/>
          <w:color w:val="auto"/>
          <w:sz w:val="24"/>
          <w:highlight w:val="none"/>
          <w:lang w:val="en-US" w:eastAsia="zh-CN"/>
        </w:rPr>
        <w:t>3.11项目负责人需有丰富综合设计办公类、商业类建筑</w:t>
      </w:r>
      <w:r>
        <w:rPr>
          <w:rFonts w:hint="eastAsia" w:ascii="仿宋" w:hAnsi="仿宋" w:eastAsia="仿宋" w:cs="宋体"/>
          <w:color w:val="auto"/>
          <w:sz w:val="24"/>
          <w:highlight w:val="none"/>
          <w:lang w:eastAsia="zh-CN"/>
        </w:rPr>
        <w:t>（</w:t>
      </w:r>
      <w:r>
        <w:rPr>
          <w:rFonts w:hint="eastAsia" w:ascii="仿宋" w:hAnsi="仿宋" w:eastAsia="仿宋" w:cs="宋体"/>
          <w:color w:val="auto"/>
          <w:sz w:val="24"/>
          <w:highlight w:val="none"/>
          <w:lang w:val="en-US" w:eastAsia="zh-CN"/>
        </w:rPr>
        <w:t>含室内精装修）工程设计经验，近五年（2021年4月1日至响应文件提交截止之日）</w:t>
      </w:r>
      <w:r>
        <w:rPr>
          <w:rFonts w:hint="eastAsia" w:ascii="仿宋" w:hAnsi="仿宋" w:eastAsia="仿宋" w:cs="宋体"/>
          <w:color w:val="auto"/>
          <w:sz w:val="24"/>
          <w:szCs w:val="24"/>
          <w:highlight w:val="none"/>
        </w:rPr>
        <w:t>作为项目负责人主持完成并已</w:t>
      </w:r>
      <w:r>
        <w:rPr>
          <w:rFonts w:hint="eastAsia" w:ascii="仿宋" w:hAnsi="仿宋" w:eastAsia="仿宋" w:cs="宋体"/>
          <w:color w:val="auto"/>
          <w:sz w:val="24"/>
          <w:highlight w:val="none"/>
          <w:lang w:val="en-US" w:eastAsia="zh-CN"/>
        </w:rPr>
        <w:t>落成的、建筑面积在3000㎡以上的工程设计不少于两个。</w:t>
      </w:r>
    </w:p>
    <w:p w14:paraId="4CE1EDA8">
      <w:pPr>
        <w:widowControl/>
        <w:spacing w:line="360" w:lineRule="auto"/>
        <w:ind w:firstLine="480" w:firstLineChars="200"/>
        <w:rPr>
          <w:rFonts w:hint="default" w:ascii="仿宋" w:hAnsi="仿宋" w:eastAsia="仿宋" w:cs="宋体"/>
          <w:b/>
          <w:bCs/>
          <w:color w:val="auto"/>
          <w:sz w:val="24"/>
          <w:highlight w:val="none"/>
          <w:lang w:val="en-US" w:eastAsia="zh-CN"/>
        </w:rPr>
      </w:pPr>
      <w:r>
        <w:rPr>
          <w:rFonts w:hint="eastAsia" w:ascii="仿宋" w:hAnsi="仿宋" w:eastAsia="仿宋" w:cs="宋体"/>
          <w:color w:val="auto"/>
          <w:sz w:val="24"/>
          <w:highlight w:val="none"/>
          <w:lang w:val="en-US" w:eastAsia="zh-CN"/>
        </w:rPr>
        <w:t>3.12本项目不接受联合体磋商响应</w:t>
      </w:r>
      <w:r>
        <w:rPr>
          <w:rFonts w:hint="eastAsia" w:ascii="仿宋" w:hAnsi="仿宋" w:eastAsia="仿宋" w:cs="宋体"/>
          <w:b/>
          <w:bCs/>
          <w:color w:val="auto"/>
          <w:sz w:val="24"/>
          <w:highlight w:val="none"/>
          <w:lang w:val="en-US" w:eastAsia="zh-CN"/>
        </w:rPr>
        <w:t>。</w:t>
      </w:r>
    </w:p>
    <w:p w14:paraId="66AFC976">
      <w:pPr>
        <w:pStyle w:val="2"/>
        <w:ind w:firstLine="0" w:firstLineChars="0"/>
        <w:jc w:val="left"/>
        <w:rPr>
          <w:rFonts w:hint="eastAsia" w:ascii="仿宋" w:hAnsi="仿宋" w:eastAsia="仿宋" w:cs="仿宋"/>
          <w:color w:val="auto"/>
          <w:sz w:val="24"/>
          <w:szCs w:val="24"/>
          <w:highlight w:val="none"/>
        </w:rPr>
      </w:pPr>
      <w:bookmarkStart w:id="10" w:name="_Toc18699"/>
      <w:bookmarkStart w:id="11" w:name="_Toc486442463"/>
      <w:bookmarkStart w:id="12" w:name="_Toc100672394"/>
      <w:r>
        <w:rPr>
          <w:rFonts w:hint="eastAsia" w:ascii="仿宋" w:hAnsi="仿宋" w:eastAsia="仿宋" w:cs="仿宋"/>
          <w:color w:val="auto"/>
          <w:sz w:val="24"/>
          <w:szCs w:val="24"/>
          <w:highlight w:val="none"/>
        </w:rPr>
        <w:t>四、资格审查方法</w:t>
      </w:r>
      <w:bookmarkEnd w:id="10"/>
      <w:bookmarkEnd w:id="11"/>
      <w:bookmarkEnd w:id="12"/>
    </w:p>
    <w:p w14:paraId="69292925">
      <w:pPr>
        <w:spacing w:line="360" w:lineRule="auto"/>
        <w:ind w:firstLine="480" w:firstLineChars="200"/>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本项目将进行资格后审，资格审查方法为合格制，资格审查标准和内</w:t>
      </w:r>
      <w:r>
        <w:rPr>
          <w:rFonts w:hint="eastAsia" w:ascii="仿宋" w:hAnsi="仿宋" w:eastAsia="仿宋" w:cs="仿宋"/>
          <w:color w:val="auto"/>
          <w:sz w:val="24"/>
          <w:highlight w:val="none"/>
          <w:lang w:eastAsia="zh-CN"/>
        </w:rPr>
        <w:t>容详</w:t>
      </w:r>
      <w:r>
        <w:rPr>
          <w:rFonts w:hint="eastAsia" w:ascii="仿宋" w:hAnsi="仿宋" w:eastAsia="仿宋" w:cs="仿宋"/>
          <w:color w:val="auto"/>
          <w:sz w:val="24"/>
          <w:highlight w:val="none"/>
        </w:rPr>
        <w:t>见磋商文件第三章评审办法。未通过资格后审的供应商，响应文件将被否决。</w:t>
      </w:r>
    </w:p>
    <w:p w14:paraId="43EF48C3">
      <w:pPr>
        <w:pStyle w:val="2"/>
        <w:ind w:firstLine="0" w:firstLineChars="0"/>
        <w:jc w:val="left"/>
        <w:rPr>
          <w:rFonts w:hint="eastAsia" w:ascii="仿宋" w:hAnsi="仿宋" w:eastAsia="仿宋" w:cs="仿宋"/>
          <w:color w:val="auto"/>
          <w:sz w:val="24"/>
          <w:szCs w:val="24"/>
          <w:highlight w:val="none"/>
        </w:rPr>
      </w:pPr>
      <w:bookmarkStart w:id="13" w:name="_Toc168231512"/>
      <w:bookmarkStart w:id="14" w:name="_Toc100672395"/>
      <w:bookmarkStart w:id="15" w:name="_Toc25525"/>
      <w:r>
        <w:rPr>
          <w:rFonts w:hint="eastAsia" w:ascii="仿宋" w:hAnsi="仿宋" w:eastAsia="仿宋" w:cs="仿宋"/>
          <w:color w:val="auto"/>
          <w:sz w:val="24"/>
          <w:szCs w:val="24"/>
          <w:highlight w:val="none"/>
        </w:rPr>
        <w:t>五、磋商文件的领取</w:t>
      </w:r>
      <w:bookmarkEnd w:id="13"/>
      <w:bookmarkEnd w:id="14"/>
      <w:bookmarkEnd w:id="15"/>
    </w:p>
    <w:p w14:paraId="60D86DD2">
      <w:pPr>
        <w:spacing w:line="360" w:lineRule="auto"/>
        <w:ind w:firstLine="480" w:firstLineChars="200"/>
        <w:rPr>
          <w:rFonts w:hint="eastAsia" w:ascii="仿宋" w:hAnsi="仿宋" w:eastAsia="仿宋" w:cs="宋体"/>
          <w:color w:val="auto"/>
          <w:sz w:val="24"/>
          <w:highlight w:val="none"/>
        </w:rPr>
      </w:pPr>
      <w:r>
        <w:rPr>
          <w:rFonts w:ascii="仿宋" w:hAnsi="仿宋" w:eastAsia="仿宋"/>
          <w:color w:val="auto"/>
          <w:sz w:val="24"/>
          <w:highlight w:val="none"/>
        </w:rPr>
        <w:t>5</w:t>
      </w:r>
      <w:r>
        <w:rPr>
          <w:rFonts w:hint="eastAsia" w:ascii="仿宋" w:hAnsi="仿宋" w:eastAsia="仿宋"/>
          <w:color w:val="auto"/>
          <w:sz w:val="24"/>
          <w:highlight w:val="none"/>
        </w:rPr>
        <w:t>.1磋商文件获取时间</w:t>
      </w:r>
      <w:r>
        <w:rPr>
          <w:rFonts w:hint="eastAsia" w:ascii="仿宋" w:hAnsi="仿宋" w:eastAsia="仿宋" w:cs="宋体"/>
          <w:color w:val="auto"/>
          <w:sz w:val="24"/>
          <w:highlight w:val="none"/>
        </w:rPr>
        <w:t>：</w:t>
      </w:r>
      <w:r>
        <w:rPr>
          <w:rFonts w:hint="eastAsia" w:ascii="仿宋" w:hAnsi="仿宋" w:eastAsia="仿宋" w:cs="宋体"/>
          <w:b/>
          <w:color w:val="auto"/>
          <w:sz w:val="24"/>
          <w:highlight w:val="none"/>
          <w:u w:val="single"/>
        </w:rPr>
        <w:t>202</w:t>
      </w:r>
      <w:r>
        <w:rPr>
          <w:rFonts w:hint="eastAsia" w:ascii="仿宋" w:hAnsi="仿宋" w:eastAsia="仿宋" w:cs="宋体"/>
          <w:b/>
          <w:color w:val="auto"/>
          <w:sz w:val="24"/>
          <w:highlight w:val="none"/>
          <w:u w:val="single"/>
          <w:lang w:val="en-US" w:eastAsia="zh-CN"/>
        </w:rPr>
        <w:t>6</w:t>
      </w:r>
      <w:r>
        <w:rPr>
          <w:rFonts w:hint="eastAsia" w:ascii="仿宋" w:hAnsi="仿宋" w:eastAsia="仿宋" w:cs="宋体"/>
          <w:b/>
          <w:color w:val="auto"/>
          <w:sz w:val="24"/>
          <w:highlight w:val="none"/>
          <w:u w:val="single"/>
        </w:rPr>
        <w:t>年</w:t>
      </w:r>
      <w:r>
        <w:rPr>
          <w:rFonts w:hint="eastAsia" w:ascii="仿宋" w:hAnsi="仿宋" w:eastAsia="仿宋" w:cs="宋体"/>
          <w:b/>
          <w:color w:val="auto"/>
          <w:sz w:val="24"/>
          <w:highlight w:val="none"/>
          <w:u w:val="single"/>
          <w:lang w:val="en-US" w:eastAsia="zh-CN"/>
        </w:rPr>
        <w:t>4</w:t>
      </w:r>
      <w:r>
        <w:rPr>
          <w:rFonts w:hint="eastAsia" w:ascii="仿宋" w:hAnsi="仿宋" w:eastAsia="仿宋" w:cs="宋体"/>
          <w:b/>
          <w:color w:val="auto"/>
          <w:sz w:val="24"/>
          <w:highlight w:val="none"/>
          <w:u w:val="single"/>
        </w:rPr>
        <w:t>月</w:t>
      </w:r>
      <w:r>
        <w:rPr>
          <w:rFonts w:hint="eastAsia" w:ascii="仿宋" w:hAnsi="仿宋" w:eastAsia="仿宋" w:cs="宋体"/>
          <w:b/>
          <w:color w:val="auto"/>
          <w:sz w:val="24"/>
          <w:highlight w:val="none"/>
          <w:u w:val="single"/>
          <w:lang w:val="en-US" w:eastAsia="zh-CN"/>
        </w:rPr>
        <w:t>17</w:t>
      </w:r>
      <w:r>
        <w:rPr>
          <w:rFonts w:hint="eastAsia" w:ascii="仿宋" w:hAnsi="仿宋" w:eastAsia="仿宋" w:cs="宋体"/>
          <w:b/>
          <w:color w:val="auto"/>
          <w:sz w:val="24"/>
          <w:highlight w:val="none"/>
          <w:u w:val="single"/>
        </w:rPr>
        <w:t>日至202</w:t>
      </w:r>
      <w:r>
        <w:rPr>
          <w:rFonts w:hint="eastAsia" w:ascii="仿宋" w:hAnsi="仿宋" w:eastAsia="仿宋" w:cs="宋体"/>
          <w:b/>
          <w:color w:val="auto"/>
          <w:sz w:val="24"/>
          <w:highlight w:val="none"/>
          <w:u w:val="single"/>
          <w:lang w:val="en-US" w:eastAsia="zh-CN"/>
        </w:rPr>
        <w:t>6</w:t>
      </w:r>
      <w:r>
        <w:rPr>
          <w:rFonts w:hint="eastAsia" w:ascii="仿宋" w:hAnsi="仿宋" w:eastAsia="仿宋" w:cs="宋体"/>
          <w:b/>
          <w:color w:val="auto"/>
          <w:sz w:val="24"/>
          <w:highlight w:val="none"/>
          <w:u w:val="single"/>
        </w:rPr>
        <w:t>年</w:t>
      </w:r>
      <w:r>
        <w:rPr>
          <w:rFonts w:hint="eastAsia" w:ascii="仿宋" w:hAnsi="仿宋" w:eastAsia="仿宋" w:cs="宋体"/>
          <w:b/>
          <w:color w:val="auto"/>
          <w:sz w:val="24"/>
          <w:highlight w:val="none"/>
          <w:u w:val="single"/>
          <w:lang w:val="en-US" w:eastAsia="zh-CN"/>
        </w:rPr>
        <w:t>4</w:t>
      </w:r>
      <w:r>
        <w:rPr>
          <w:rFonts w:hint="eastAsia" w:ascii="仿宋" w:hAnsi="仿宋" w:eastAsia="仿宋" w:cs="宋体"/>
          <w:b/>
          <w:color w:val="auto"/>
          <w:sz w:val="24"/>
          <w:highlight w:val="none"/>
          <w:u w:val="single"/>
        </w:rPr>
        <w:t>月</w:t>
      </w:r>
      <w:r>
        <w:rPr>
          <w:rFonts w:hint="eastAsia" w:ascii="仿宋" w:hAnsi="仿宋" w:eastAsia="仿宋" w:cs="宋体"/>
          <w:b/>
          <w:color w:val="auto"/>
          <w:sz w:val="24"/>
          <w:highlight w:val="none"/>
          <w:u w:val="single"/>
          <w:lang w:val="en-US" w:eastAsia="zh-CN"/>
        </w:rPr>
        <w:t>24</w:t>
      </w:r>
      <w:r>
        <w:rPr>
          <w:rFonts w:hint="eastAsia" w:ascii="仿宋" w:hAnsi="仿宋" w:eastAsia="仿宋" w:cs="宋体"/>
          <w:b/>
          <w:color w:val="auto"/>
          <w:sz w:val="24"/>
          <w:highlight w:val="none"/>
          <w:u w:val="single"/>
        </w:rPr>
        <w:t>日</w:t>
      </w:r>
      <w:r>
        <w:rPr>
          <w:rFonts w:hint="eastAsia" w:ascii="仿宋" w:hAnsi="仿宋" w:eastAsia="仿宋" w:cs="宋体"/>
          <w:b/>
          <w:color w:val="auto"/>
          <w:sz w:val="24"/>
          <w:highlight w:val="none"/>
          <w:u w:val="none"/>
        </w:rPr>
        <w:t>，</w:t>
      </w:r>
      <w:r>
        <w:rPr>
          <w:rFonts w:hint="eastAsia" w:ascii="仿宋" w:hAnsi="仿宋" w:eastAsia="仿宋" w:cs="仿宋"/>
          <w:b/>
          <w:bCs/>
          <w:color w:val="auto"/>
          <w:sz w:val="24"/>
          <w:highlight w:val="none"/>
        </w:rPr>
        <w:t>每天9:00至11:30，13:30至17:00</w:t>
      </w:r>
      <w:r>
        <w:rPr>
          <w:rFonts w:ascii="仿宋" w:hAnsi="仿宋" w:eastAsia="仿宋" w:cs="宋体"/>
          <w:color w:val="auto"/>
          <w:sz w:val="24"/>
          <w:highlight w:val="none"/>
        </w:rPr>
        <w:t>（北京时间</w:t>
      </w:r>
      <w:r>
        <w:rPr>
          <w:rFonts w:hint="eastAsia" w:ascii="仿宋" w:hAnsi="仿宋" w:eastAsia="仿宋" w:cs="宋体"/>
          <w:color w:val="auto"/>
          <w:sz w:val="24"/>
          <w:highlight w:val="none"/>
        </w:rPr>
        <w:t>，下同，</w:t>
      </w:r>
      <w:r>
        <w:rPr>
          <w:rFonts w:ascii="仿宋" w:hAnsi="仿宋" w:eastAsia="仿宋" w:cs="宋体"/>
          <w:color w:val="auto"/>
          <w:sz w:val="24"/>
          <w:highlight w:val="none"/>
        </w:rPr>
        <w:t>法定节假日除外）</w:t>
      </w:r>
      <w:r>
        <w:rPr>
          <w:rFonts w:hint="eastAsia" w:ascii="仿宋" w:hAnsi="仿宋" w:eastAsia="仿宋" w:cs="宋体"/>
          <w:color w:val="auto"/>
          <w:sz w:val="24"/>
          <w:highlight w:val="none"/>
        </w:rPr>
        <w:t>。</w:t>
      </w:r>
    </w:p>
    <w:p w14:paraId="6738BC5D">
      <w:pPr>
        <w:spacing w:line="360" w:lineRule="auto"/>
        <w:ind w:firstLine="480" w:firstLineChars="200"/>
        <w:rPr>
          <w:rFonts w:hint="eastAsia" w:ascii="仿宋" w:hAnsi="仿宋" w:eastAsia="仿宋" w:cs="宋体"/>
          <w:color w:val="auto"/>
          <w:sz w:val="24"/>
          <w:highlight w:val="none"/>
        </w:rPr>
      </w:pPr>
      <w:r>
        <w:rPr>
          <w:rFonts w:ascii="仿宋" w:hAnsi="仿宋" w:eastAsia="仿宋"/>
          <w:color w:val="auto"/>
          <w:sz w:val="24"/>
          <w:highlight w:val="none"/>
        </w:rPr>
        <w:t>5</w:t>
      </w:r>
      <w:r>
        <w:rPr>
          <w:rFonts w:hint="eastAsia" w:ascii="仿宋" w:hAnsi="仿宋" w:eastAsia="仿宋"/>
          <w:color w:val="auto"/>
          <w:sz w:val="24"/>
          <w:highlight w:val="none"/>
        </w:rPr>
        <w:t>.2</w:t>
      </w:r>
      <w:r>
        <w:rPr>
          <w:rFonts w:hint="eastAsia" w:ascii="仿宋" w:hAnsi="仿宋" w:eastAsia="仿宋" w:cs="宋体"/>
          <w:color w:val="auto"/>
          <w:sz w:val="24"/>
          <w:highlight w:val="none"/>
        </w:rPr>
        <w:t>磋商文件售价：人民币400元，磋</w:t>
      </w:r>
      <w:r>
        <w:rPr>
          <w:rFonts w:hint="eastAsia" w:ascii="仿宋" w:hAnsi="仿宋" w:eastAsia="仿宋" w:cs="宋体"/>
          <w:color w:val="auto"/>
          <w:sz w:val="24"/>
          <w:highlight w:val="none"/>
          <w:lang w:eastAsia="zh-CN"/>
        </w:rPr>
        <w:t>商文</w:t>
      </w:r>
      <w:r>
        <w:rPr>
          <w:rFonts w:hint="eastAsia" w:ascii="仿宋" w:hAnsi="仿宋" w:eastAsia="仿宋" w:cs="宋体"/>
          <w:color w:val="auto"/>
          <w:sz w:val="24"/>
          <w:highlight w:val="none"/>
        </w:rPr>
        <w:t>件售后不退。</w:t>
      </w:r>
    </w:p>
    <w:p w14:paraId="370B6858">
      <w:pPr>
        <w:widowControl/>
        <w:spacing w:line="360" w:lineRule="auto"/>
        <w:ind w:firstLine="480" w:firstLineChars="200"/>
        <w:textAlignment w:val="baseline"/>
        <w:rPr>
          <w:rFonts w:hint="eastAsia" w:ascii="仿宋" w:hAnsi="仿宋" w:eastAsia="仿宋" w:cs="宋体"/>
          <w:color w:val="auto"/>
          <w:sz w:val="24"/>
          <w:highlight w:val="none"/>
        </w:rPr>
      </w:pPr>
      <w:r>
        <w:rPr>
          <w:rFonts w:ascii="仿宋" w:hAnsi="仿宋" w:eastAsia="仿宋"/>
          <w:color w:val="auto"/>
          <w:sz w:val="24"/>
          <w:highlight w:val="none"/>
        </w:rPr>
        <w:t>5</w:t>
      </w:r>
      <w:r>
        <w:rPr>
          <w:rFonts w:hint="eastAsia" w:ascii="仿宋" w:hAnsi="仿宋" w:eastAsia="仿宋"/>
          <w:color w:val="auto"/>
          <w:sz w:val="24"/>
          <w:highlight w:val="none"/>
        </w:rPr>
        <w:t>.3</w:t>
      </w:r>
      <w:r>
        <w:rPr>
          <w:rFonts w:hint="eastAsia" w:ascii="仿宋" w:hAnsi="仿宋" w:eastAsia="仿宋" w:cs="仿宋"/>
          <w:color w:val="auto"/>
          <w:sz w:val="24"/>
          <w:highlight w:val="none"/>
        </w:rPr>
        <w:t>磋商文件获取方式：凡有意参加本项目的供应商, 请携带①营业执照或其他主体登记注册证书副本（复印件加盖单位印章）、②授权委托书（原件并加盖单位印章）及被委托人身份证明（复印件并加盖单位印章）至</w:t>
      </w:r>
      <w:r>
        <w:rPr>
          <w:rFonts w:hint="eastAsia" w:ascii="仿宋" w:hAnsi="仿宋" w:eastAsia="仿宋" w:cs="仿宋"/>
          <w:b/>
          <w:bCs/>
          <w:color w:val="auto"/>
          <w:sz w:val="24"/>
          <w:highlight w:val="none"/>
        </w:rPr>
        <w:t>北京市朝阳区东三环中路59号京城机电大厦A座</w:t>
      </w:r>
      <w:r>
        <w:rPr>
          <w:rFonts w:hint="eastAsia" w:ascii="仿宋" w:hAnsi="仿宋" w:eastAsia="仿宋" w:cs="仿宋"/>
          <w:b/>
          <w:bCs/>
          <w:color w:val="auto"/>
          <w:sz w:val="24"/>
          <w:highlight w:val="none"/>
          <w:lang w:val="en-US" w:eastAsia="zh-CN"/>
        </w:rPr>
        <w:t>1822</w:t>
      </w:r>
      <w:r>
        <w:rPr>
          <w:rFonts w:hint="eastAsia" w:ascii="仿宋" w:hAnsi="仿宋" w:eastAsia="仿宋" w:cs="仿宋"/>
          <w:b/>
          <w:bCs/>
          <w:color w:val="auto"/>
          <w:sz w:val="24"/>
          <w:highlight w:val="none"/>
        </w:rPr>
        <w:t>室</w:t>
      </w:r>
      <w:r>
        <w:rPr>
          <w:rFonts w:hint="eastAsia" w:ascii="仿宋" w:hAnsi="仿宋" w:eastAsia="仿宋" w:cs="仿宋"/>
          <w:color w:val="auto"/>
          <w:sz w:val="24"/>
          <w:highlight w:val="none"/>
        </w:rPr>
        <w:t>登记领购信息、支付磋商文件标书款后获取磋商文件。采用邮购方式的，请将前述资料扫描件发送至</w:t>
      </w:r>
      <w:r>
        <w:rPr>
          <w:color w:val="auto"/>
          <w:highlight w:val="none"/>
        </w:rPr>
        <w:fldChar w:fldCharType="begin"/>
      </w:r>
      <w:r>
        <w:rPr>
          <w:color w:val="auto"/>
          <w:highlight w:val="none"/>
        </w:rPr>
        <w:instrText xml:space="preserve"> HYPERLINK "mailto:tongxue@ck.citic.com,jin" </w:instrText>
      </w:r>
      <w:r>
        <w:rPr>
          <w:color w:val="auto"/>
          <w:highlight w:val="none"/>
        </w:rPr>
        <w:fldChar w:fldCharType="separate"/>
      </w:r>
      <w:r>
        <w:rPr>
          <w:rFonts w:hint="eastAsia" w:ascii="仿宋" w:hAnsi="仿宋" w:eastAsia="仿宋" w:cs="仿宋"/>
          <w:b/>
          <w:bCs/>
          <w:color w:val="auto"/>
          <w:sz w:val="24"/>
          <w:highlight w:val="none"/>
          <w:lang w:val="en-US" w:eastAsia="zh-CN"/>
        </w:rPr>
        <w:t>chenhf</w:t>
      </w:r>
      <w:r>
        <w:rPr>
          <w:rFonts w:hint="eastAsia" w:ascii="仿宋" w:hAnsi="仿宋" w:eastAsia="仿宋" w:cs="仿宋"/>
          <w:b/>
          <w:bCs/>
          <w:color w:val="auto"/>
          <w:sz w:val="24"/>
          <w:highlight w:val="none"/>
        </w:rPr>
        <w:t>@ck.citic.com</w:t>
      </w:r>
      <w:r>
        <w:rPr>
          <w:rFonts w:hint="eastAsia" w:ascii="仿宋" w:hAnsi="仿宋" w:eastAsia="仿宋" w:cs="仿宋"/>
          <w:b/>
          <w:bCs/>
          <w:color w:val="auto"/>
          <w:sz w:val="24"/>
          <w:highlight w:val="none"/>
        </w:rPr>
        <w:fldChar w:fldCharType="end"/>
      </w:r>
      <w:r>
        <w:rPr>
          <w:rFonts w:hint="eastAsia" w:ascii="仿宋" w:hAnsi="仿宋" w:eastAsia="仿宋" w:cs="仿宋"/>
          <w:b/>
          <w:bCs/>
          <w:color w:val="auto"/>
          <w:sz w:val="24"/>
          <w:highlight w:val="none"/>
        </w:rPr>
        <w:t>，</w:t>
      </w:r>
      <w:r>
        <w:rPr>
          <w:rFonts w:hint="eastAsia" w:ascii="仿宋" w:hAnsi="仿宋" w:eastAsia="仿宋" w:cs="仿宋"/>
          <w:color w:val="auto"/>
          <w:sz w:val="24"/>
          <w:highlight w:val="none"/>
        </w:rPr>
        <w:t>经工作人员审核确认后登记领购信息、支付磋商文件标书款并发送至前述邮箱后获取磋商文件。</w:t>
      </w:r>
      <w:r>
        <w:rPr>
          <w:rFonts w:hint="eastAsia" w:ascii="仿宋" w:hAnsi="仿宋" w:eastAsia="仿宋" w:cs="仿宋"/>
          <w:b/>
          <w:bCs/>
          <w:color w:val="auto"/>
          <w:sz w:val="24"/>
          <w:highlight w:val="none"/>
        </w:rPr>
        <w:t>请充分预留登记、审核、缴费所需时间。</w:t>
      </w:r>
    </w:p>
    <w:p w14:paraId="229855D7">
      <w:pPr>
        <w:pStyle w:val="2"/>
        <w:ind w:firstLine="0" w:firstLineChars="0"/>
        <w:jc w:val="left"/>
        <w:rPr>
          <w:rFonts w:hint="eastAsia" w:ascii="仿宋" w:hAnsi="仿宋" w:eastAsia="仿宋" w:cs="仿宋"/>
          <w:color w:val="auto"/>
          <w:sz w:val="24"/>
          <w:szCs w:val="24"/>
          <w:highlight w:val="none"/>
        </w:rPr>
      </w:pPr>
      <w:bookmarkStart w:id="16" w:name="_Toc100672396"/>
      <w:bookmarkStart w:id="17" w:name="_Toc1378542732"/>
      <w:bookmarkStart w:id="18" w:name="_Toc16524"/>
      <w:r>
        <w:rPr>
          <w:rFonts w:hint="eastAsia" w:ascii="仿宋" w:hAnsi="仿宋" w:eastAsia="仿宋" w:cs="仿宋"/>
          <w:color w:val="auto"/>
          <w:sz w:val="24"/>
          <w:szCs w:val="24"/>
          <w:highlight w:val="none"/>
        </w:rPr>
        <w:t>六、响应文件的递交</w:t>
      </w:r>
      <w:bookmarkEnd w:id="16"/>
      <w:bookmarkEnd w:id="17"/>
      <w:bookmarkEnd w:id="18"/>
    </w:p>
    <w:p w14:paraId="50BBC830">
      <w:pPr>
        <w:spacing w:line="360" w:lineRule="auto"/>
        <w:ind w:firstLine="480" w:firstLineChars="200"/>
        <w:textAlignment w:val="baseline"/>
        <w:rPr>
          <w:rFonts w:hint="eastAsia"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.1响应文件递交截止时间：</w:t>
      </w:r>
      <w:r>
        <w:rPr>
          <w:rFonts w:hint="eastAsia" w:ascii="仿宋" w:hAnsi="仿宋" w:eastAsia="仿宋" w:cs="宋体"/>
          <w:b/>
          <w:color w:val="auto"/>
          <w:sz w:val="24"/>
          <w:highlight w:val="none"/>
          <w:u w:val="single"/>
        </w:rPr>
        <w:t>202</w:t>
      </w:r>
      <w:r>
        <w:rPr>
          <w:rFonts w:hint="eastAsia" w:ascii="仿宋" w:hAnsi="仿宋" w:eastAsia="仿宋" w:cs="宋体"/>
          <w:b/>
          <w:color w:val="auto"/>
          <w:sz w:val="24"/>
          <w:highlight w:val="none"/>
          <w:u w:val="single"/>
          <w:lang w:val="en-US" w:eastAsia="zh-CN"/>
        </w:rPr>
        <w:t>6</w:t>
      </w:r>
      <w:r>
        <w:rPr>
          <w:rFonts w:hint="eastAsia" w:ascii="仿宋" w:hAnsi="仿宋" w:eastAsia="仿宋" w:cs="宋体"/>
          <w:b/>
          <w:color w:val="auto"/>
          <w:sz w:val="24"/>
          <w:highlight w:val="none"/>
          <w:u w:val="single"/>
        </w:rPr>
        <w:t>年</w:t>
      </w:r>
      <w:r>
        <w:rPr>
          <w:rFonts w:hint="eastAsia" w:ascii="仿宋" w:hAnsi="仿宋" w:eastAsia="仿宋" w:cs="宋体"/>
          <w:b/>
          <w:color w:val="auto"/>
          <w:sz w:val="24"/>
          <w:highlight w:val="none"/>
          <w:u w:val="single"/>
          <w:lang w:val="en-US" w:eastAsia="zh-CN"/>
        </w:rPr>
        <w:t>4</w:t>
      </w:r>
      <w:r>
        <w:rPr>
          <w:rFonts w:hint="eastAsia" w:ascii="仿宋" w:hAnsi="仿宋" w:eastAsia="仿宋" w:cs="宋体"/>
          <w:b/>
          <w:color w:val="auto"/>
          <w:sz w:val="24"/>
          <w:highlight w:val="none"/>
          <w:u w:val="single"/>
        </w:rPr>
        <w:t>月</w:t>
      </w:r>
      <w:r>
        <w:rPr>
          <w:rFonts w:hint="eastAsia" w:ascii="仿宋" w:hAnsi="仿宋" w:eastAsia="仿宋" w:cs="宋体"/>
          <w:b/>
          <w:color w:val="auto"/>
          <w:sz w:val="24"/>
          <w:highlight w:val="none"/>
          <w:u w:val="single"/>
          <w:lang w:val="en-US" w:eastAsia="zh-CN"/>
        </w:rPr>
        <w:t>30</w:t>
      </w:r>
      <w:r>
        <w:rPr>
          <w:rFonts w:hint="eastAsia" w:ascii="仿宋" w:hAnsi="仿宋" w:eastAsia="仿宋" w:cs="宋体"/>
          <w:b/>
          <w:color w:val="auto"/>
          <w:sz w:val="24"/>
          <w:highlight w:val="none"/>
          <w:u w:val="single"/>
        </w:rPr>
        <w:t>日</w:t>
      </w:r>
      <w:r>
        <w:rPr>
          <w:rFonts w:hint="eastAsia" w:ascii="仿宋" w:hAnsi="仿宋" w:eastAsia="仿宋" w:cs="宋体"/>
          <w:b/>
          <w:color w:val="auto"/>
          <w:sz w:val="24"/>
          <w:highlight w:val="none"/>
          <w:u w:val="single"/>
          <w:lang w:val="en-US" w:eastAsia="zh-CN"/>
        </w:rPr>
        <w:t>9</w:t>
      </w:r>
      <w:r>
        <w:rPr>
          <w:rFonts w:hint="eastAsia" w:ascii="仿宋" w:hAnsi="仿宋" w:eastAsia="仿宋" w:cs="宋体"/>
          <w:b/>
          <w:color w:val="auto"/>
          <w:sz w:val="24"/>
          <w:highlight w:val="none"/>
          <w:u w:val="single"/>
        </w:rPr>
        <w:t>时</w:t>
      </w:r>
      <w:r>
        <w:rPr>
          <w:rFonts w:hint="eastAsia" w:ascii="仿宋" w:hAnsi="仿宋" w:eastAsia="仿宋" w:cs="宋体"/>
          <w:b/>
          <w:color w:val="auto"/>
          <w:sz w:val="24"/>
          <w:highlight w:val="none"/>
          <w:u w:val="single"/>
          <w:lang w:val="en-US" w:eastAsia="zh-CN"/>
        </w:rPr>
        <w:t>30</w:t>
      </w:r>
      <w:r>
        <w:rPr>
          <w:rFonts w:hint="eastAsia" w:ascii="仿宋" w:hAnsi="仿宋" w:eastAsia="仿宋" w:cs="宋体"/>
          <w:b/>
          <w:color w:val="auto"/>
          <w:sz w:val="24"/>
          <w:highlight w:val="none"/>
          <w:u w:val="single"/>
        </w:rPr>
        <w:t>分</w:t>
      </w:r>
      <w:r>
        <w:rPr>
          <w:rFonts w:hint="eastAsia" w:ascii="仿宋" w:hAnsi="仿宋" w:eastAsia="仿宋" w:cs="宋体"/>
          <w:color w:val="auto"/>
          <w:sz w:val="24"/>
          <w:highlight w:val="none"/>
        </w:rPr>
        <w:t>。</w:t>
      </w:r>
    </w:p>
    <w:p w14:paraId="78CE93DE">
      <w:pPr>
        <w:spacing w:line="360" w:lineRule="auto"/>
        <w:ind w:firstLine="480" w:firstLineChars="200"/>
        <w:textAlignment w:val="baseline"/>
        <w:rPr>
          <w:rFonts w:hint="eastAsia"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.2响应文件递交地点：</w:t>
      </w:r>
      <w:r>
        <w:rPr>
          <w:rFonts w:hint="eastAsia" w:ascii="仿宋" w:hAnsi="仿宋" w:eastAsia="仿宋" w:cs="宋体"/>
          <w:color w:val="auto"/>
          <w:sz w:val="24"/>
          <w:highlight w:val="none"/>
          <w:u w:val="single"/>
        </w:rPr>
        <w:t>北京市</w:t>
      </w:r>
      <w:r>
        <w:rPr>
          <w:rFonts w:hint="eastAsia" w:ascii="仿宋" w:hAnsi="仿宋" w:eastAsia="仿宋" w:cs="宋体"/>
          <w:color w:val="auto"/>
          <w:sz w:val="24"/>
          <w:highlight w:val="none"/>
          <w:u w:val="single"/>
          <w:lang w:val="en-US" w:eastAsia="zh-CN"/>
        </w:rPr>
        <w:t>朝阳区东三环中路59号京城机电大厦A座16层1605</w:t>
      </w:r>
      <w:r>
        <w:rPr>
          <w:rFonts w:hint="eastAsia" w:ascii="仿宋" w:hAnsi="仿宋" w:eastAsia="仿宋" w:cs="宋体"/>
          <w:color w:val="auto"/>
          <w:sz w:val="24"/>
          <w:highlight w:val="none"/>
          <w:u w:val="single"/>
        </w:rPr>
        <w:t>会议室。</w:t>
      </w:r>
    </w:p>
    <w:p w14:paraId="3B10730A">
      <w:pPr>
        <w:widowControl/>
        <w:spacing w:line="360" w:lineRule="auto"/>
        <w:ind w:firstLine="480" w:firstLineChars="200"/>
        <w:rPr>
          <w:rFonts w:hint="eastAsia" w:ascii="仿宋" w:hAnsi="仿宋" w:eastAsia="仿宋" w:cs="宋体"/>
          <w:color w:val="auto"/>
          <w:sz w:val="24"/>
          <w:highlight w:val="none"/>
        </w:rPr>
      </w:pPr>
      <w:bookmarkStart w:id="19" w:name="_Toc100672397"/>
      <w:r>
        <w:rPr>
          <w:rFonts w:ascii="仿宋" w:hAnsi="仿宋" w:eastAsia="仿宋" w:cs="宋体"/>
          <w:color w:val="auto"/>
          <w:sz w:val="24"/>
          <w:highlight w:val="none"/>
        </w:rPr>
        <w:t>6</w:t>
      </w:r>
      <w:r>
        <w:rPr>
          <w:rFonts w:hint="eastAsia" w:ascii="仿宋" w:hAnsi="仿宋" w:eastAsia="仿宋" w:cs="宋体"/>
          <w:color w:val="auto"/>
          <w:sz w:val="24"/>
          <w:highlight w:val="none"/>
        </w:rPr>
        <w:t>.3本项目将于上述同一时间、地点进行磋商，采购人/采购代理机构邀请供应商的法定代表人或者其委托代理人准时参加。</w:t>
      </w:r>
    </w:p>
    <w:p w14:paraId="5557E60F">
      <w:pPr>
        <w:widowControl/>
        <w:spacing w:line="360" w:lineRule="auto"/>
        <w:ind w:firstLine="480" w:firstLineChars="200"/>
        <w:rPr>
          <w:rFonts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.4出现以下情形之一时，采购人/采购代理机构不予接收响应文件：</w:t>
      </w:r>
    </w:p>
    <w:p w14:paraId="387EE9D4">
      <w:pPr>
        <w:widowControl/>
        <w:spacing w:line="360" w:lineRule="auto"/>
        <w:ind w:firstLine="480" w:firstLineChars="200"/>
        <w:rPr>
          <w:rFonts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.4.1  逾期送达或者未送达指定地点的；</w:t>
      </w:r>
    </w:p>
    <w:p w14:paraId="13DE8255">
      <w:pPr>
        <w:widowControl/>
        <w:spacing w:line="360" w:lineRule="auto"/>
        <w:ind w:firstLine="480" w:firstLineChars="200"/>
        <w:rPr>
          <w:rFonts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.4.2  未按照磋商文件要求密封的；</w:t>
      </w:r>
    </w:p>
    <w:p w14:paraId="75066CC6">
      <w:pPr>
        <w:widowControl/>
        <w:spacing w:line="360" w:lineRule="auto"/>
        <w:ind w:firstLine="480" w:firstLineChars="200"/>
        <w:rPr>
          <w:rFonts w:ascii="仿宋" w:hAnsi="仿宋" w:eastAsia="仿宋" w:cs="宋体"/>
          <w:color w:val="auto"/>
          <w:sz w:val="24"/>
          <w:highlight w:val="none"/>
        </w:rPr>
      </w:pPr>
      <w:r>
        <w:rPr>
          <w:rFonts w:ascii="仿宋" w:hAnsi="仿宋" w:eastAsia="仿宋" w:cs="宋体"/>
          <w:color w:val="auto"/>
          <w:sz w:val="24"/>
          <w:highlight w:val="none"/>
        </w:rPr>
        <w:t>6</w:t>
      </w:r>
      <w:r>
        <w:rPr>
          <w:rFonts w:hint="eastAsia" w:ascii="仿宋" w:hAnsi="仿宋" w:eastAsia="仿宋" w:cs="宋体"/>
          <w:color w:val="auto"/>
          <w:sz w:val="24"/>
          <w:highlight w:val="none"/>
        </w:rPr>
        <w:t>.4.3  未按照要求获取磋商文件的。</w:t>
      </w:r>
    </w:p>
    <w:p w14:paraId="73D905FD">
      <w:pPr>
        <w:pStyle w:val="2"/>
        <w:ind w:firstLine="0" w:firstLineChars="0"/>
        <w:jc w:val="left"/>
        <w:rPr>
          <w:rFonts w:hint="eastAsia" w:ascii="仿宋" w:hAnsi="仿宋" w:eastAsia="仿宋" w:cs="仿宋"/>
          <w:color w:val="auto"/>
          <w:sz w:val="24"/>
          <w:szCs w:val="24"/>
          <w:highlight w:val="none"/>
        </w:rPr>
      </w:pPr>
      <w:bookmarkStart w:id="20" w:name="_Toc26932"/>
      <w:r>
        <w:rPr>
          <w:rFonts w:hint="eastAsia" w:ascii="仿宋" w:hAnsi="仿宋" w:eastAsia="仿宋" w:cs="仿宋"/>
          <w:color w:val="auto"/>
          <w:sz w:val="24"/>
          <w:szCs w:val="24"/>
          <w:highlight w:val="none"/>
        </w:rPr>
        <w:t>七、发布公告的媒介</w:t>
      </w:r>
      <w:bookmarkEnd w:id="19"/>
      <w:bookmarkEnd w:id="20"/>
    </w:p>
    <w:p w14:paraId="699C6E09">
      <w:pPr>
        <w:spacing w:line="360" w:lineRule="auto"/>
        <w:ind w:firstLine="480" w:firstLineChars="200"/>
        <w:textAlignment w:val="baseline"/>
        <w:rPr>
          <w:rFonts w:hint="eastAsia" w:ascii="仿宋" w:hAnsi="仿宋" w:eastAsia="仿宋" w:cs="宋体"/>
          <w:b/>
          <w:bCs/>
          <w:color w:val="auto"/>
          <w:sz w:val="24"/>
          <w:highlight w:val="none"/>
        </w:rPr>
      </w:pPr>
      <w:bookmarkStart w:id="21" w:name="_Toc8351"/>
      <w:r>
        <w:rPr>
          <w:rFonts w:hint="eastAsia" w:ascii="仿宋" w:hAnsi="仿宋" w:eastAsia="仿宋" w:cs="宋体"/>
          <w:b w:val="0"/>
          <w:bCs w:val="0"/>
          <w:color w:val="auto"/>
          <w:sz w:val="24"/>
          <w:highlight w:val="none"/>
        </w:rPr>
        <w:t>本项目磋商公告同时在</w:t>
      </w:r>
      <w:r>
        <w:rPr>
          <w:rFonts w:hint="eastAsia" w:ascii="仿宋" w:hAnsi="仿宋" w:eastAsia="仿宋" w:cs="宋体"/>
          <w:b w:val="0"/>
          <w:bCs w:val="0"/>
          <w:color w:val="auto"/>
          <w:sz w:val="24"/>
          <w:highlight w:val="none"/>
          <w:u w:val="single"/>
        </w:rPr>
        <w:t>人保e采外网门户（https://ec.picc.com/）、中国招标投标公共服务平台（www.cebpubservice.com）、</w:t>
      </w:r>
      <w:r>
        <w:rPr>
          <w:rFonts w:hint="eastAsia" w:ascii="仿宋" w:hAnsi="仿宋" w:eastAsia="仿宋" w:cs="宋体"/>
          <w:b w:val="0"/>
          <w:bCs w:val="0"/>
          <w:color w:val="auto"/>
          <w:sz w:val="24"/>
          <w:highlight w:val="none"/>
          <w:u w:val="single"/>
          <w:lang w:eastAsia="zh-CN"/>
        </w:rPr>
        <w:t>中国采购与招标网</w:t>
      </w:r>
      <w:r>
        <w:rPr>
          <w:rFonts w:hint="eastAsia" w:ascii="仿宋" w:hAnsi="仿宋" w:eastAsia="仿宋" w:cs="宋体"/>
          <w:b w:val="0"/>
          <w:bCs w:val="0"/>
          <w:color w:val="auto"/>
          <w:sz w:val="24"/>
          <w:highlight w:val="none"/>
          <w:u w:val="single"/>
        </w:rPr>
        <w:t>（www.chinabidding.cn）、中国金融集中采购网（www.cfcpn.com）</w:t>
      </w:r>
      <w:r>
        <w:rPr>
          <w:rFonts w:hint="eastAsia" w:ascii="仿宋" w:hAnsi="仿宋" w:eastAsia="仿宋" w:cs="宋体"/>
          <w:b w:val="0"/>
          <w:bCs w:val="0"/>
          <w:color w:val="auto"/>
          <w:sz w:val="24"/>
          <w:highlight w:val="none"/>
        </w:rPr>
        <w:t>上发布，其他媒介转载无效。</w:t>
      </w:r>
      <w:r>
        <w:rPr>
          <w:rFonts w:hint="eastAsia" w:ascii="仿宋" w:hAnsi="仿宋" w:eastAsia="仿宋" w:cs="宋体"/>
          <w:b/>
          <w:bCs/>
          <w:color w:val="auto"/>
          <w:sz w:val="24"/>
          <w:highlight w:val="none"/>
        </w:rPr>
        <w:t>对于非法转载、篡改采购公告信息的组织或个人，采购人/采购代理机构保留追究其法律责任的权利。</w:t>
      </w:r>
      <w:bookmarkEnd w:id="21"/>
    </w:p>
    <w:p w14:paraId="60306300">
      <w:pPr>
        <w:pStyle w:val="2"/>
        <w:ind w:firstLine="0" w:firstLineChars="0"/>
        <w:jc w:val="left"/>
        <w:rPr>
          <w:rFonts w:hint="eastAsia" w:ascii="仿宋" w:hAnsi="仿宋" w:eastAsia="仿宋" w:cs="仿宋"/>
          <w:color w:val="auto"/>
          <w:sz w:val="24"/>
          <w:szCs w:val="24"/>
          <w:highlight w:val="none"/>
        </w:rPr>
      </w:pPr>
      <w:bookmarkStart w:id="22" w:name="_Toc2114112888"/>
      <w:bookmarkStart w:id="23" w:name="_Toc100672398"/>
      <w:bookmarkStart w:id="24" w:name="_Toc22885"/>
      <w:r>
        <w:rPr>
          <w:rFonts w:hint="eastAsia" w:ascii="仿宋" w:hAnsi="仿宋" w:eastAsia="仿宋" w:cs="仿宋"/>
          <w:color w:val="auto"/>
          <w:sz w:val="24"/>
          <w:szCs w:val="24"/>
          <w:highlight w:val="none"/>
        </w:rPr>
        <w:t>八、联系方式</w:t>
      </w:r>
      <w:bookmarkEnd w:id="22"/>
      <w:bookmarkEnd w:id="23"/>
      <w:bookmarkEnd w:id="24"/>
    </w:p>
    <w:p w14:paraId="1909DBD0">
      <w:pPr>
        <w:widowControl/>
        <w:spacing w:line="360" w:lineRule="auto"/>
        <w:ind w:firstLine="482" w:firstLineChars="200"/>
        <w:rPr>
          <w:rFonts w:hint="eastAsia" w:ascii="仿宋" w:hAnsi="仿宋" w:eastAsia="仿宋" w:cs="宋体"/>
          <w:b/>
          <w:color w:val="auto"/>
          <w:sz w:val="24"/>
          <w:highlight w:val="none"/>
        </w:rPr>
      </w:pPr>
      <w:r>
        <w:rPr>
          <w:rFonts w:hint="eastAsia" w:ascii="仿宋" w:hAnsi="仿宋" w:eastAsia="仿宋" w:cs="宋体"/>
          <w:b/>
          <w:color w:val="auto"/>
          <w:sz w:val="24"/>
          <w:highlight w:val="none"/>
        </w:rPr>
        <w:t>采购人：人保投控（北京）运营管理有限公司北京分公司</w:t>
      </w:r>
    </w:p>
    <w:p w14:paraId="3E38FEC4">
      <w:pPr>
        <w:widowControl/>
        <w:spacing w:line="360" w:lineRule="auto"/>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地址：北京市西城区西长安街88号</w:t>
      </w:r>
    </w:p>
    <w:p w14:paraId="5A6B55D6">
      <w:pPr>
        <w:spacing w:line="360" w:lineRule="auto"/>
        <w:ind w:firstLine="422" w:firstLineChars="175"/>
        <w:jc w:val="left"/>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采购代理机构：中信国际招标有限公司</w:t>
      </w:r>
    </w:p>
    <w:p w14:paraId="6B427161">
      <w:pPr>
        <w:spacing w:line="360" w:lineRule="auto"/>
        <w:ind w:firstLine="420" w:firstLineChars="175"/>
        <w:textAlignment w:val="baseline"/>
        <w:rPr>
          <w:rFonts w:hint="eastAsia" w:ascii="仿宋" w:hAnsi="仿宋" w:eastAsia="仿宋" w:cs="宋体"/>
          <w:color w:val="auto"/>
          <w:sz w:val="24"/>
          <w:highlight w:val="none"/>
        </w:rPr>
      </w:pPr>
      <w:r>
        <w:rPr>
          <w:rFonts w:hint="eastAsia" w:ascii="仿宋" w:hAnsi="仿宋" w:eastAsia="仿宋" w:cs="仿宋"/>
          <w:color w:val="auto"/>
          <w:sz w:val="24"/>
          <w:highlight w:val="none"/>
        </w:rPr>
        <w:t>地    址：北京市朝阳区东三环中路59号京城机电大厦A座16-19F</w:t>
      </w:r>
    </w:p>
    <w:p w14:paraId="53AB56A6">
      <w:pPr>
        <w:spacing w:line="360" w:lineRule="auto"/>
        <w:ind w:firstLine="420" w:firstLineChars="175"/>
        <w:jc w:val="left"/>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rPr>
        <w:t>联系人：</w:t>
      </w:r>
      <w:r>
        <w:rPr>
          <w:rFonts w:hint="eastAsia" w:ascii="仿宋" w:hAnsi="仿宋" w:eastAsia="仿宋" w:cs="仿宋"/>
          <w:color w:val="auto"/>
          <w:sz w:val="24"/>
          <w:highlight w:val="none"/>
          <w:lang w:val="en-US" w:eastAsia="zh-CN"/>
        </w:rPr>
        <w:t>陈洪飞、何川昊、刘阳</w:t>
      </w:r>
    </w:p>
    <w:p w14:paraId="1A081A62">
      <w:pPr>
        <w:spacing w:line="360" w:lineRule="auto"/>
        <w:ind w:firstLine="420" w:firstLineChars="175"/>
        <w:jc w:val="left"/>
        <w:rPr>
          <w:rFonts w:hint="default" w:ascii="仿宋" w:hAnsi="仿宋" w:eastAsia="仿宋" w:cs="仿宋"/>
          <w:color w:val="auto"/>
          <w:sz w:val="24"/>
          <w:highlight w:val="none"/>
          <w:lang w:val="en-US"/>
        </w:rPr>
      </w:pPr>
      <w:r>
        <w:rPr>
          <w:rFonts w:hint="eastAsia" w:ascii="仿宋" w:hAnsi="仿宋" w:eastAsia="仿宋" w:cs="仿宋"/>
          <w:color w:val="auto"/>
          <w:sz w:val="24"/>
          <w:highlight w:val="none"/>
        </w:rPr>
        <w:t>电    话：</w:t>
      </w:r>
      <w:r>
        <w:rPr>
          <w:rFonts w:hint="eastAsia" w:ascii="仿宋" w:hAnsi="仿宋" w:eastAsia="仿宋" w:cs="仿宋"/>
          <w:color w:val="auto"/>
          <w:sz w:val="24"/>
          <w:highlight w:val="none"/>
          <w:lang w:val="en-US" w:eastAsia="zh-CN"/>
        </w:rPr>
        <w:t>010-87945198-520、518</w:t>
      </w:r>
    </w:p>
    <w:p w14:paraId="6A2B6A84">
      <w:pPr>
        <w:spacing w:line="360" w:lineRule="auto"/>
        <w:ind w:firstLine="420" w:firstLineChars="175"/>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电子邮件：</w:t>
      </w:r>
      <w:r>
        <w:rPr>
          <w:rFonts w:hint="eastAsia" w:ascii="仿宋" w:hAnsi="仿宋" w:eastAsia="仿宋" w:cs="仿宋"/>
          <w:color w:val="auto"/>
          <w:sz w:val="24"/>
          <w:highlight w:val="none"/>
          <w:lang w:val="en-US" w:eastAsia="zh-CN"/>
        </w:rPr>
        <w:t>chenhf</w:t>
      </w:r>
      <w:r>
        <w:rPr>
          <w:rFonts w:hint="eastAsia" w:ascii="仿宋" w:hAnsi="仿宋" w:eastAsia="仿宋" w:cs="仿宋"/>
          <w:color w:val="auto"/>
          <w:sz w:val="24"/>
          <w:highlight w:val="none"/>
        </w:rPr>
        <w:t>@ck.citic.com</w:t>
      </w:r>
    </w:p>
    <w:p w14:paraId="1795424A">
      <w:pPr>
        <w:spacing w:line="360" w:lineRule="auto"/>
        <w:ind w:firstLine="420" w:firstLineChars="175"/>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开户银行：中信银行北京三元桥支行</w:t>
      </w:r>
    </w:p>
    <w:p w14:paraId="17610EED">
      <w:pPr>
        <w:spacing w:line="360" w:lineRule="auto"/>
        <w:ind w:firstLine="420" w:firstLineChars="175"/>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账    号：8110701013102383606</w:t>
      </w:r>
    </w:p>
    <w:p w14:paraId="064F59B7">
      <w:pPr>
        <w:spacing w:line="360" w:lineRule="auto"/>
        <w:ind w:firstLine="480" w:firstLineChars="200"/>
        <w:jc w:val="right"/>
        <w:textAlignment w:val="baseline"/>
        <w:rPr>
          <w:rFonts w:hint="eastAsia" w:ascii="仿宋" w:hAnsi="仿宋" w:eastAsia="仿宋" w:cs="宋体"/>
          <w:color w:val="auto"/>
          <w:sz w:val="24"/>
          <w:highlight w:val="none"/>
        </w:rPr>
      </w:pPr>
    </w:p>
    <w:p w14:paraId="11A6AD3C">
      <w:pPr>
        <w:spacing w:line="360" w:lineRule="auto"/>
        <w:ind w:firstLine="480" w:firstLineChars="200"/>
        <w:jc w:val="right"/>
        <w:textAlignment w:val="baseline"/>
        <w:rPr>
          <w:rFonts w:hint="eastAsia" w:ascii="仿宋" w:hAnsi="仿宋" w:eastAsia="仿宋" w:cs="宋体"/>
          <w:color w:val="auto"/>
          <w:sz w:val="24"/>
          <w:highlight w:val="none"/>
        </w:rPr>
      </w:pPr>
      <w:r>
        <w:rPr>
          <w:rFonts w:hint="eastAsia" w:ascii="仿宋" w:hAnsi="仿宋" w:eastAsia="仿宋" w:cs="宋体"/>
          <w:color w:val="auto"/>
          <w:sz w:val="24"/>
          <w:highlight w:val="none"/>
        </w:rPr>
        <w:t>采购人：人保投控（北京）运营管理有限公司北京分公司</w:t>
      </w:r>
    </w:p>
    <w:p w14:paraId="2F9E7A05">
      <w:pPr>
        <w:spacing w:line="360" w:lineRule="auto"/>
        <w:jc w:val="right"/>
        <w:textAlignment w:val="baseline"/>
        <w:rPr>
          <w:rFonts w:hint="eastAsia" w:ascii="仿宋" w:hAnsi="仿宋" w:eastAsia="仿宋" w:cs="宋体"/>
          <w:color w:val="auto"/>
          <w:sz w:val="24"/>
          <w:highlight w:val="none"/>
          <w:lang w:eastAsia="zh-CN"/>
        </w:rPr>
      </w:pPr>
      <w:r>
        <w:rPr>
          <w:rFonts w:hint="eastAsia" w:ascii="仿宋" w:hAnsi="仿宋" w:eastAsia="仿宋" w:cs="宋体"/>
          <w:color w:val="auto"/>
          <w:sz w:val="24"/>
          <w:highlight w:val="none"/>
        </w:rPr>
        <w:t>采购代理机构：</w:t>
      </w:r>
      <w:r>
        <w:rPr>
          <w:rFonts w:hint="eastAsia" w:ascii="仿宋" w:hAnsi="仿宋" w:eastAsia="仿宋" w:cs="仿宋"/>
          <w:color w:val="auto"/>
          <w:sz w:val="24"/>
          <w:highlight w:val="none"/>
        </w:rPr>
        <w:t>中信国际招标有限公司</w:t>
      </w:r>
    </w:p>
    <w:p w14:paraId="4A2C2BB8">
      <w:pPr>
        <w:jc w:val="right"/>
        <w:rPr>
          <w:highlight w:val="none"/>
        </w:rPr>
      </w:pPr>
      <w:bookmarkStart w:id="25" w:name="_GoBack"/>
      <w:r>
        <w:rPr>
          <w:rFonts w:hint="eastAsia" w:ascii="仿宋" w:hAnsi="仿宋" w:eastAsia="仿宋" w:cs="宋体"/>
          <w:color w:val="auto"/>
          <w:sz w:val="24"/>
          <w:highlight w:val="none"/>
        </w:rPr>
        <w:t>202</w:t>
      </w:r>
      <w:r>
        <w:rPr>
          <w:rFonts w:hint="eastAsia" w:ascii="仿宋" w:hAnsi="仿宋" w:eastAsia="仿宋" w:cs="宋体"/>
          <w:color w:val="auto"/>
          <w:sz w:val="24"/>
          <w:highlight w:val="none"/>
          <w:lang w:val="en-US" w:eastAsia="zh-CN"/>
        </w:rPr>
        <w:t>6</w:t>
      </w:r>
      <w:r>
        <w:rPr>
          <w:rFonts w:hint="eastAsia" w:ascii="仿宋" w:hAnsi="仿宋" w:eastAsia="仿宋" w:cs="宋体"/>
          <w:color w:val="auto"/>
          <w:sz w:val="24"/>
          <w:highlight w:val="none"/>
        </w:rPr>
        <w:t>年</w:t>
      </w:r>
      <w:r>
        <w:rPr>
          <w:rFonts w:hint="eastAsia" w:ascii="仿宋" w:hAnsi="仿宋" w:eastAsia="仿宋" w:cs="宋体"/>
          <w:color w:val="auto"/>
          <w:sz w:val="24"/>
          <w:highlight w:val="none"/>
          <w:lang w:val="en-US" w:eastAsia="zh-CN"/>
        </w:rPr>
        <w:t>4</w:t>
      </w:r>
      <w:r>
        <w:rPr>
          <w:rFonts w:hint="eastAsia" w:ascii="仿宋" w:hAnsi="仿宋" w:eastAsia="仿宋" w:cs="宋体"/>
          <w:color w:val="auto"/>
          <w:sz w:val="24"/>
          <w:highlight w:val="none"/>
        </w:rPr>
        <w:t>月</w:t>
      </w:r>
      <w:r>
        <w:rPr>
          <w:rFonts w:hint="eastAsia" w:ascii="仿宋" w:hAnsi="仿宋" w:eastAsia="仿宋" w:cs="宋体"/>
          <w:color w:val="auto"/>
          <w:sz w:val="24"/>
          <w:highlight w:val="none"/>
          <w:lang w:val="en-US" w:eastAsia="zh-CN"/>
        </w:rPr>
        <w:t>17</w:t>
      </w:r>
      <w:r>
        <w:rPr>
          <w:rFonts w:hint="eastAsia" w:ascii="仿宋" w:hAnsi="仿宋" w:eastAsia="仿宋" w:cs="宋体"/>
          <w:color w:val="auto"/>
          <w:sz w:val="24"/>
          <w:highlight w:val="none"/>
        </w:rPr>
        <w:t>日</w:t>
      </w:r>
    </w:p>
    <w:bookmarkEnd w:id="2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AC691F"/>
    <w:rsid w:val="10A341F7"/>
    <w:rsid w:val="27495CC2"/>
    <w:rsid w:val="35A30B30"/>
    <w:rsid w:val="3AED761C"/>
    <w:rsid w:val="47AC6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2">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szCs w:val="20"/>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正文 A"/>
    <w:next w:val="2"/>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paragraph" w:styleId="10">
    <w:name w:val="List Paragraph"/>
    <w:basedOn w:val="1"/>
    <w:qFormat/>
    <w:uiPriority w:val="34"/>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2693</Words>
  <Characters>3039</Characters>
  <Lines>0</Lines>
  <Paragraphs>0</Paragraphs>
  <TotalTime>14</TotalTime>
  <ScaleCrop>false</ScaleCrop>
  <LinksUpToDate>false</LinksUpToDate>
  <CharactersWithSpaces>3064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2026-04-15T02:56:00Z</dcterms:created>
  <dc:creator>chenz</dc:creator>
  <cp:lastModifiedBy>chenz</cp:lastModifiedBy>
  <dcterms:modified xsi:type="dcterms:W3CDTF">2026-04-17T02:46:40Z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65ABE64B9AFC4E60BED6E226C88B6096_11</vt:lpwstr>
  </property>
  <property fmtid="{D5CDD505-2E9C-101B-9397-08002B2CF9AE}" pid="4" name="KSOTemplateDocerSaveRecord">
    <vt:lpwstr>eyJoZGlkIjoiMmRkOGM4ZmU1ZTNhMGQwZTY5OGFmYTYzYzVhNjQ2ZGYiLCJ1c2VySWQiOiI0NTQyMTI4MjQifQ==</vt:lpwstr>
  </property>
</Properties>
</file>