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E87A24">
      <w:pPr>
        <w:pStyle w:val="2"/>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eastAsia" w:ascii="宋体" w:hAnsi="宋体"/>
          <w:b/>
          <w:sz w:val="40"/>
          <w:lang w:eastAsia="zh-CN"/>
        </w:rPr>
      </w:pPr>
      <w:bookmarkStart w:id="0" w:name="OLE_LINK4"/>
      <w:bookmarkStart w:id="1" w:name="OLE_LINK5"/>
      <w:r>
        <w:rPr>
          <w:rFonts w:hint="eastAsia" w:ascii="宋体" w:hAnsi="宋体"/>
          <w:b/>
          <w:sz w:val="40"/>
          <w:lang w:eastAsia="zh-CN"/>
        </w:rPr>
        <w:t>交通银行开源软件治理能力成熟度评级辅导项目</w:t>
      </w:r>
    </w:p>
    <w:p w14:paraId="6D7B8C57">
      <w:pPr>
        <w:pStyle w:val="2"/>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ascii="宋体" w:hAnsi="宋体"/>
          <w:b/>
          <w:sz w:val="40"/>
        </w:rPr>
      </w:pPr>
      <w:r>
        <w:rPr>
          <w:rFonts w:hint="eastAsia" w:ascii="宋体" w:hAnsi="宋体"/>
          <w:b/>
          <w:sz w:val="40"/>
        </w:rPr>
        <w:t>公开征集供应商公告</w:t>
      </w:r>
      <w:bookmarkEnd w:id="0"/>
    </w:p>
    <w:p w14:paraId="1E94A4BE">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宋体" w:hAnsi="宋体"/>
          <w:b/>
          <w:sz w:val="28"/>
          <w:szCs w:val="28"/>
        </w:rPr>
      </w:pPr>
      <w:r>
        <w:rPr>
          <w:rFonts w:hint="eastAsia" w:ascii="宋体" w:hAnsi="宋体"/>
          <w:b/>
          <w:sz w:val="28"/>
          <w:szCs w:val="28"/>
        </w:rPr>
        <w:t>（项目编号：</w:t>
      </w:r>
      <w:r>
        <w:rPr>
          <w:rFonts w:hint="eastAsia" w:ascii="宋体" w:hAnsi="宋体"/>
          <w:b/>
          <w:sz w:val="28"/>
          <w:szCs w:val="28"/>
          <w:lang w:eastAsia="zh-CN"/>
        </w:rPr>
        <w:t>GXCZ-C-251520170</w:t>
      </w:r>
      <w:r>
        <w:rPr>
          <w:rFonts w:hint="eastAsia" w:ascii="宋体" w:hAnsi="宋体"/>
          <w:b/>
          <w:sz w:val="28"/>
          <w:szCs w:val="28"/>
        </w:rPr>
        <w:t>；交通银行编号：</w:t>
      </w:r>
      <w:r>
        <w:rPr>
          <w:rFonts w:hint="eastAsia" w:ascii="宋体" w:hAnsi="宋体"/>
          <w:b/>
          <w:sz w:val="28"/>
          <w:szCs w:val="28"/>
          <w:lang w:eastAsia="zh-CN"/>
        </w:rPr>
        <w:t>CGXM31599925080014</w:t>
      </w:r>
      <w:r>
        <w:rPr>
          <w:rFonts w:hint="eastAsia" w:ascii="宋体" w:hAnsi="宋体"/>
          <w:b/>
          <w:sz w:val="28"/>
          <w:szCs w:val="28"/>
        </w:rPr>
        <w:t>）</w:t>
      </w:r>
    </w:p>
    <w:p w14:paraId="48375359">
      <w:pPr>
        <w:keepNext w:val="0"/>
        <w:keepLines w:val="0"/>
        <w:pageBreakBefore w:val="0"/>
        <w:widowControl w:val="0"/>
        <w:kinsoku/>
        <w:wordWrap/>
        <w:overflowPunct/>
        <w:topLinePunct w:val="0"/>
        <w:autoSpaceDE/>
        <w:autoSpaceDN/>
        <w:bidi w:val="0"/>
        <w:adjustRightInd/>
        <w:snapToGrid/>
        <w:spacing w:line="360" w:lineRule="auto"/>
        <w:ind w:firstLine="720"/>
        <w:jc w:val="center"/>
        <w:textAlignment w:val="auto"/>
        <w:rPr>
          <w:rFonts w:eastAsia="黑体"/>
          <w:b/>
          <w:sz w:val="40"/>
        </w:rPr>
      </w:pPr>
    </w:p>
    <w:p w14:paraId="6E649BD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rPr>
      </w:pPr>
      <w:r>
        <w:rPr>
          <w:rFonts w:hint="eastAsia" w:ascii="宋体" w:cs="宋体"/>
          <w:sz w:val="24"/>
          <w:szCs w:val="24"/>
        </w:rPr>
        <w:t>交通银行股份有限公司（以下简称“采购人”）现委托</w:t>
      </w:r>
      <w:r>
        <w:rPr>
          <w:rFonts w:hint="eastAsia" w:ascii="宋体" w:hAnsi="宋体"/>
          <w:sz w:val="24"/>
          <w:lang w:eastAsia="zh-CN"/>
        </w:rPr>
        <w:t>国信招标集团股份有限公司</w:t>
      </w:r>
      <w:r>
        <w:rPr>
          <w:rFonts w:hint="eastAsia" w:ascii="宋体" w:hAnsi="宋体" w:cs="宋体"/>
          <w:sz w:val="24"/>
          <w:szCs w:val="24"/>
        </w:rPr>
        <w:t>（以下简称“采购代理机构</w:t>
      </w:r>
      <w:r>
        <w:rPr>
          <w:rFonts w:hint="eastAsia" w:ascii="宋体" w:cs="宋体"/>
          <w:sz w:val="24"/>
          <w:szCs w:val="24"/>
        </w:rPr>
        <w:t>”）对“</w:t>
      </w:r>
      <w:r>
        <w:rPr>
          <w:rFonts w:hint="eastAsia" w:ascii="宋体" w:hAnsi="宋体"/>
          <w:sz w:val="24"/>
          <w:lang w:eastAsia="zh-CN"/>
        </w:rPr>
        <w:t>交通银行开源软件治理能力成熟度评级辅导项目</w:t>
      </w:r>
      <w:r>
        <w:rPr>
          <w:rFonts w:hint="eastAsia" w:ascii="宋体" w:cs="宋体"/>
          <w:sz w:val="24"/>
          <w:szCs w:val="24"/>
        </w:rPr>
        <w:t>”展开公开征集供应商,现邀请</w:t>
      </w:r>
      <w:r>
        <w:rPr>
          <w:rFonts w:hint="eastAsia" w:ascii="宋体" w:hAnsi="宋体" w:cs="宋体"/>
          <w:sz w:val="24"/>
          <w:szCs w:val="24"/>
        </w:rPr>
        <w:t>具备供货/服务能力的供应商前来报名。</w:t>
      </w:r>
    </w:p>
    <w:p w14:paraId="0264834A">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cs="宋体"/>
          <w:sz w:val="24"/>
          <w:szCs w:val="24"/>
        </w:rPr>
      </w:pPr>
      <w:r>
        <w:rPr>
          <w:rFonts w:hint="eastAsia" w:ascii="宋体" w:hAnsi="宋体" w:cs="宋体"/>
          <w:b/>
          <w:bCs/>
          <w:sz w:val="24"/>
          <w:szCs w:val="24"/>
        </w:rPr>
        <w:t>采购人接收供应商的报名材料并不表示接受报名供应商参加本项目集中采购，采购人可以根据规定的流程规则选取合格供应商邀请其参加项目采购。</w:t>
      </w:r>
    </w:p>
    <w:p w14:paraId="656C325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0"/>
        <w:rPr>
          <w:rFonts w:ascii="宋体" w:cs="宋体"/>
          <w:b/>
          <w:bCs/>
          <w:sz w:val="24"/>
          <w:szCs w:val="24"/>
        </w:rPr>
      </w:pPr>
      <w:r>
        <w:rPr>
          <w:rFonts w:hint="eastAsia" w:ascii="宋体" w:cs="宋体"/>
          <w:b/>
          <w:bCs/>
          <w:sz w:val="24"/>
          <w:szCs w:val="24"/>
        </w:rPr>
        <w:t>一、项目概况</w:t>
      </w:r>
    </w:p>
    <w:p w14:paraId="73A2A80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szCs w:val="24"/>
        </w:rPr>
      </w:pPr>
      <w:r>
        <w:rPr>
          <w:rFonts w:hint="eastAsia" w:ascii="宋体" w:hAnsi="宋体" w:cs="宋体"/>
          <w:sz w:val="24"/>
          <w:szCs w:val="24"/>
        </w:rPr>
        <w:t>1、项目名称：</w:t>
      </w:r>
      <w:r>
        <w:rPr>
          <w:rFonts w:hint="eastAsia" w:ascii="宋体" w:hAnsi="宋体"/>
          <w:sz w:val="24"/>
          <w:lang w:eastAsia="zh-CN"/>
        </w:rPr>
        <w:t>交通银行开源软件治理能力成熟度评级辅导项目</w:t>
      </w:r>
      <w:r>
        <w:rPr>
          <w:rFonts w:hint="eastAsia" w:ascii="宋体" w:hAnsi="宋体" w:cs="宋体"/>
          <w:sz w:val="24"/>
          <w:szCs w:val="24"/>
        </w:rPr>
        <w:t>（项目编号：</w:t>
      </w:r>
      <w:r>
        <w:rPr>
          <w:rFonts w:hint="eastAsia" w:ascii="宋体" w:hAnsi="宋体" w:cs="宋体"/>
          <w:sz w:val="24"/>
          <w:szCs w:val="24"/>
          <w:lang w:eastAsia="zh-CN"/>
        </w:rPr>
        <w:t>GXCZ-C-251520170</w:t>
      </w:r>
      <w:r>
        <w:rPr>
          <w:rFonts w:hint="eastAsia" w:ascii="宋体" w:hAnsi="宋体" w:cs="宋体"/>
          <w:sz w:val="24"/>
          <w:szCs w:val="24"/>
        </w:rPr>
        <w:t>；交通银行编号：</w:t>
      </w:r>
      <w:r>
        <w:rPr>
          <w:rFonts w:hint="eastAsia" w:ascii="宋体" w:hAnsi="宋体" w:cs="宋体"/>
          <w:sz w:val="24"/>
          <w:szCs w:val="24"/>
          <w:lang w:eastAsia="zh-CN"/>
        </w:rPr>
        <w:t>CGXM31599925080014</w:t>
      </w:r>
      <w:r>
        <w:rPr>
          <w:rFonts w:hint="eastAsia" w:ascii="宋体" w:hAnsi="宋体" w:cs="宋体"/>
          <w:sz w:val="24"/>
          <w:szCs w:val="24"/>
        </w:rPr>
        <w:t>）</w:t>
      </w:r>
    </w:p>
    <w:p w14:paraId="6D998AD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rPr>
      </w:pPr>
      <w:r>
        <w:rPr>
          <w:rFonts w:hint="eastAsia" w:ascii="宋体" w:hAnsi="宋体" w:cs="宋体"/>
          <w:sz w:val="24"/>
          <w:szCs w:val="24"/>
        </w:rPr>
        <w:t>2、采购内容及范围：</w:t>
      </w:r>
    </w:p>
    <w:p w14:paraId="2B341F0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sz w:val="24"/>
          <w:highlight w:val="none"/>
          <w:lang w:val="en-US" w:eastAsia="zh-CN"/>
        </w:rPr>
      </w:pPr>
      <w:r>
        <w:rPr>
          <w:rFonts w:hint="eastAsia" w:ascii="宋体" w:hAnsi="宋体" w:cs="宋体"/>
          <w:kern w:val="0"/>
          <w:sz w:val="24"/>
          <w:szCs w:val="24"/>
          <w:highlight w:val="none"/>
          <w:lang w:val="en-US" w:eastAsia="zh-CN" w:bidi="ar-SA"/>
        </w:rPr>
        <w:t>本项目拟采购一家供应商提供开源软件治理能力成熟度评级辅导服务，主要工作内容为协助采购人通过信通院可信开源软件治理能力成熟度“先进级”认证（详见采购需求）。</w:t>
      </w:r>
    </w:p>
    <w:p w14:paraId="1304EB1F">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0"/>
        <w:rPr>
          <w:rFonts w:hint="eastAsia" w:ascii="宋体" w:cs="宋体"/>
          <w:b/>
          <w:bCs/>
          <w:sz w:val="24"/>
          <w:szCs w:val="24"/>
        </w:rPr>
      </w:pPr>
      <w:r>
        <w:rPr>
          <w:rFonts w:hint="eastAsia" w:ascii="宋体" w:cs="宋体"/>
          <w:b/>
          <w:bCs/>
          <w:sz w:val="24"/>
          <w:szCs w:val="24"/>
        </w:rPr>
        <w:t>二、公开征集规则</w:t>
      </w:r>
    </w:p>
    <w:p w14:paraId="2899909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cs="宋体"/>
          <w:bCs/>
          <w:sz w:val="24"/>
          <w:szCs w:val="24"/>
        </w:rPr>
      </w:pPr>
      <w:r>
        <w:rPr>
          <w:rFonts w:hint="eastAsia" w:ascii="宋体" w:cs="宋体"/>
          <w:bCs/>
          <w:sz w:val="24"/>
          <w:szCs w:val="24"/>
        </w:rPr>
        <w:t>1、若获取报名文件的供应商不足3家，将宣布本次公开征集失败。</w:t>
      </w:r>
    </w:p>
    <w:p w14:paraId="3427CC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cs="宋体"/>
          <w:bCs/>
          <w:sz w:val="24"/>
          <w:szCs w:val="24"/>
        </w:rPr>
      </w:pPr>
      <w:r>
        <w:rPr>
          <w:rFonts w:hint="eastAsia" w:ascii="宋体" w:cs="宋体"/>
          <w:bCs/>
          <w:sz w:val="24"/>
          <w:szCs w:val="24"/>
        </w:rPr>
        <w:t>2、若获取报名文件的供应商超过3家（含），对于具备交通银行供应商库资格的供应商将受邀参加后续竞争性磋商项目。</w:t>
      </w:r>
    </w:p>
    <w:p w14:paraId="488D53DD">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cs="宋体"/>
          <w:b/>
          <w:sz w:val="24"/>
          <w:szCs w:val="24"/>
        </w:rPr>
      </w:pPr>
      <w:r>
        <w:rPr>
          <w:rFonts w:hint="eastAsia" w:ascii="宋体" w:hAnsi="宋体" w:cs="宋体"/>
          <w:b/>
          <w:bCs/>
          <w:sz w:val="24"/>
          <w:szCs w:val="24"/>
        </w:rPr>
        <w:t>3、以上任何情况下，报名供应商均须按照报</w:t>
      </w:r>
      <w:r>
        <w:rPr>
          <w:rFonts w:hint="eastAsia" w:ascii="宋体" w:hAnsi="宋体" w:cs="宋体"/>
          <w:b/>
          <w:sz w:val="24"/>
          <w:szCs w:val="24"/>
        </w:rPr>
        <w:t>名文件规定的要求在报名文件获取截止时间前，递交相应的电子资料（见附件1）；对于已获得报名文件的供应商，我们不承诺其满足了合格供应商的资格条件，最终评判以评审委员会的评审为准。</w:t>
      </w:r>
    </w:p>
    <w:p w14:paraId="1B2E9E1A">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hint="eastAsia" w:ascii="宋体" w:hAnsi="宋体" w:cs="宋体"/>
          <w:sz w:val="24"/>
          <w:szCs w:val="24"/>
        </w:rPr>
      </w:pPr>
      <w:r>
        <w:rPr>
          <w:rFonts w:hint="eastAsia" w:ascii="宋体" w:hAnsi="宋体" w:cs="宋体"/>
          <w:b/>
          <w:sz w:val="24"/>
          <w:szCs w:val="24"/>
        </w:rPr>
        <w:t>4、请供应商在报名后三个工作日内在交通银行智采平台供应商门户网站（https://bocom-gys.bankcomm.com）完成注册，详情请登录门户网站查阅《供应商门户操作手册》。完成注册后，及时向采购代理机构反馈注册结果（智采平台网站中通过注册审批的截图），截图路径为登录后点击基本资料显示“基本信息”的截图，且“服务分行”中必须选中“总行”。</w:t>
      </w:r>
    </w:p>
    <w:p w14:paraId="72FF9A05">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0"/>
        <w:rPr>
          <w:rFonts w:ascii="宋体"/>
          <w:b/>
          <w:bCs/>
          <w:sz w:val="24"/>
          <w:szCs w:val="24"/>
        </w:rPr>
      </w:pPr>
      <w:r>
        <w:rPr>
          <w:rFonts w:hint="eastAsia" w:ascii="宋体" w:cs="宋体"/>
          <w:b/>
          <w:bCs/>
          <w:sz w:val="24"/>
          <w:szCs w:val="24"/>
        </w:rPr>
        <w:t>三、</w:t>
      </w:r>
      <w:r>
        <w:rPr>
          <w:rFonts w:hint="eastAsia" w:ascii="宋体" w:hAnsi="宋体" w:cs="宋体"/>
          <w:b/>
          <w:sz w:val="24"/>
          <w:szCs w:val="24"/>
        </w:rPr>
        <w:t>合格供应商的资格条件</w:t>
      </w:r>
    </w:p>
    <w:p w14:paraId="42C51C3D">
      <w:pPr>
        <w:keepNext w:val="0"/>
        <w:keepLines w:val="0"/>
        <w:pageBreakBefore w:val="0"/>
        <w:widowControl w:val="0"/>
        <w:tabs>
          <w:tab w:val="left" w:pos="720"/>
        </w:tabs>
        <w:kinsoku/>
        <w:wordWrap/>
        <w:overflowPunct/>
        <w:topLinePunct w:val="0"/>
        <w:autoSpaceDE/>
        <w:autoSpaceDN/>
        <w:bidi w:val="0"/>
        <w:adjustRightInd/>
        <w:snapToGrid/>
        <w:spacing w:line="360" w:lineRule="auto"/>
        <w:ind w:firstLine="482" w:firstLineChars="200"/>
        <w:textAlignment w:val="auto"/>
        <w:rPr>
          <w:rFonts w:ascii="宋体" w:hAnsi="宋体" w:cs="宋体"/>
          <w:sz w:val="24"/>
        </w:rPr>
      </w:pPr>
      <w:bookmarkStart w:id="2" w:name="_Toc375658310"/>
      <w:r>
        <w:rPr>
          <w:rFonts w:hint="eastAsia" w:ascii="宋体" w:hAnsi="宋体" w:cs="宋体"/>
          <w:b/>
          <w:bCs/>
          <w:sz w:val="24"/>
        </w:rPr>
        <w:t>（一）一般要求</w:t>
      </w:r>
    </w:p>
    <w:p w14:paraId="08AE5C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szCs w:val="24"/>
        </w:rPr>
      </w:pPr>
      <w:r>
        <w:rPr>
          <w:rFonts w:hint="eastAsia" w:ascii="宋体" w:hAnsi="宋体" w:cs="宋体"/>
          <w:sz w:val="24"/>
          <w:szCs w:val="24"/>
        </w:rPr>
        <w:t>（1）</w:t>
      </w:r>
      <w:r>
        <w:rPr>
          <w:rFonts w:hint="eastAsia" w:ascii="宋体" w:hAnsi="宋体" w:cs="宋体"/>
          <w:sz w:val="24"/>
        </w:rPr>
        <w:t>供应商</w:t>
      </w:r>
      <w:r>
        <w:rPr>
          <w:rFonts w:hint="eastAsia" w:ascii="宋体" w:hAnsi="宋体"/>
          <w:sz w:val="24"/>
        </w:rPr>
        <w:t>须具有独立承担民事责任的能力</w:t>
      </w:r>
      <w:r>
        <w:rPr>
          <w:rFonts w:hint="eastAsia" w:ascii="宋体" w:hAnsi="宋体"/>
          <w:b/>
          <w:bCs/>
          <w:sz w:val="24"/>
        </w:rPr>
        <w:t>（提供有效营业执照复印件，非企业性单位提供相应的有效登记证书复印件）。</w:t>
      </w:r>
    </w:p>
    <w:p w14:paraId="377C79E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w:t>
      </w:r>
      <w:bookmarkStart w:id="3" w:name="_Hlk76114004"/>
      <w:bookmarkStart w:id="4" w:name="_Hlk86490303"/>
      <w:bookmarkStart w:id="5" w:name="_Hlk154652251"/>
      <w:r>
        <w:rPr>
          <w:rFonts w:hint="eastAsia" w:ascii="宋体" w:hAnsi="宋体" w:cs="宋体"/>
          <w:sz w:val="24"/>
          <w:szCs w:val="24"/>
        </w:rPr>
        <w:t>供应商具有良好的商业信誉</w:t>
      </w:r>
      <w:r>
        <w:rPr>
          <w:rFonts w:hint="eastAsia" w:ascii="宋体" w:hAnsi="宋体" w:cs="宋体"/>
          <w:sz w:val="24"/>
        </w:rPr>
        <w:t>，</w:t>
      </w:r>
      <w:r>
        <w:rPr>
          <w:rFonts w:hint="eastAsia" w:ascii="宋体" w:hAnsi="宋体" w:cs="宋体"/>
          <w:sz w:val="24"/>
          <w:szCs w:val="24"/>
        </w:rPr>
        <w:t>当前未被列入交通银行供应商黑名单（指被交通银行作禁用或退库处理的供应商名单）</w:t>
      </w:r>
      <w:r>
        <w:rPr>
          <w:rFonts w:hint="eastAsia" w:ascii="宋体" w:hAnsi="宋体" w:cs="宋体"/>
          <w:b/>
          <w:bCs/>
          <w:sz w:val="24"/>
        </w:rPr>
        <w:t>（提供承诺函）。</w:t>
      </w:r>
    </w:p>
    <w:p w14:paraId="385A869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szCs w:val="24"/>
        </w:rPr>
        <w:t>（3）</w:t>
      </w:r>
      <w:r>
        <w:rPr>
          <w:rFonts w:hint="eastAsia" w:ascii="宋体" w:hAnsi="宋体" w:cs="宋体"/>
          <w:sz w:val="24"/>
        </w:rPr>
        <w:t>供应商须在法律和财务上独立、合法运作并独立于采购人和采购代理机构</w:t>
      </w:r>
      <w:r>
        <w:rPr>
          <w:rFonts w:hint="eastAsia" w:ascii="宋体" w:hAnsi="宋体" w:cs="宋体"/>
          <w:b/>
          <w:bCs/>
          <w:sz w:val="24"/>
        </w:rPr>
        <w:t>（提供承诺函）</w:t>
      </w:r>
      <w:r>
        <w:rPr>
          <w:rFonts w:hint="eastAsia" w:ascii="宋体" w:hAnsi="宋体" w:cs="宋体"/>
          <w:sz w:val="24"/>
        </w:rPr>
        <w:t>。</w:t>
      </w:r>
    </w:p>
    <w:p w14:paraId="62D8CD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（4）供应商须承诺，采购</w:t>
      </w:r>
      <w:r>
        <w:rPr>
          <w:rFonts w:ascii="宋体" w:hAnsi="宋体" w:cs="宋体"/>
          <w:sz w:val="24"/>
        </w:rPr>
        <w:t>人在其本国使用</w:t>
      </w:r>
      <w:r>
        <w:rPr>
          <w:rFonts w:hint="eastAsia" w:ascii="宋体" w:hAnsi="宋体" w:cs="宋体"/>
          <w:sz w:val="24"/>
        </w:rPr>
        <w:t>供应商</w:t>
      </w:r>
      <w:r>
        <w:rPr>
          <w:rFonts w:ascii="宋体" w:hAnsi="宋体" w:cs="宋体"/>
          <w:sz w:val="24"/>
        </w:rPr>
        <w:t>提供的货物</w:t>
      </w:r>
      <w:r>
        <w:rPr>
          <w:rFonts w:hint="eastAsia" w:ascii="宋体" w:hAnsi="宋体" w:cs="宋体"/>
          <w:sz w:val="24"/>
        </w:rPr>
        <w:t>或服务</w:t>
      </w:r>
      <w:r>
        <w:rPr>
          <w:rFonts w:ascii="宋体" w:hAnsi="宋体" w:cs="宋体"/>
          <w:sz w:val="24"/>
        </w:rPr>
        <w:t>时，不存在任何已知的不合法的情形，也不存在任何已知的与第三方专利权、著作权、商标权或工业设计权相关的任何争议。如果有任何因</w:t>
      </w:r>
      <w:r>
        <w:rPr>
          <w:rFonts w:hint="eastAsia" w:ascii="宋体" w:hAnsi="宋体" w:cs="宋体"/>
          <w:sz w:val="24"/>
        </w:rPr>
        <w:t>采购人</w:t>
      </w:r>
      <w:r>
        <w:rPr>
          <w:rFonts w:ascii="宋体" w:hAnsi="宋体" w:cs="宋体"/>
          <w:sz w:val="24"/>
        </w:rPr>
        <w:t>使用</w:t>
      </w:r>
      <w:r>
        <w:rPr>
          <w:rFonts w:hint="eastAsia" w:ascii="宋体" w:hAnsi="宋体" w:cs="宋体"/>
          <w:sz w:val="24"/>
        </w:rPr>
        <w:t>供应商</w:t>
      </w:r>
      <w:r>
        <w:rPr>
          <w:rFonts w:ascii="宋体" w:hAnsi="宋体" w:cs="宋体"/>
          <w:sz w:val="24"/>
        </w:rPr>
        <w:t>提供的货物</w:t>
      </w:r>
      <w:r>
        <w:rPr>
          <w:rFonts w:hint="eastAsia" w:ascii="宋体" w:hAnsi="宋体" w:cs="宋体"/>
          <w:sz w:val="24"/>
        </w:rPr>
        <w:t>或服务</w:t>
      </w:r>
      <w:r>
        <w:rPr>
          <w:rFonts w:ascii="宋体" w:hAnsi="宋体" w:cs="宋体"/>
          <w:sz w:val="24"/>
        </w:rPr>
        <w:t>而提起的侵权指控，</w:t>
      </w:r>
      <w:r>
        <w:rPr>
          <w:rFonts w:hint="eastAsia" w:ascii="宋体" w:hAnsi="宋体" w:cs="宋体"/>
          <w:sz w:val="24"/>
        </w:rPr>
        <w:t>供应商</w:t>
      </w:r>
      <w:r>
        <w:rPr>
          <w:rFonts w:ascii="宋体" w:hAnsi="宋体" w:cs="宋体"/>
          <w:sz w:val="24"/>
        </w:rPr>
        <w:t>将依法承担全部责任</w:t>
      </w:r>
      <w:r>
        <w:rPr>
          <w:rFonts w:hint="eastAsia" w:ascii="宋体" w:hAnsi="宋体" w:cs="宋体"/>
          <w:b/>
          <w:bCs/>
          <w:sz w:val="24"/>
        </w:rPr>
        <w:t>（提供承诺函）</w:t>
      </w:r>
      <w:r>
        <w:rPr>
          <w:rFonts w:ascii="宋体" w:hAnsi="宋体" w:cs="宋体"/>
          <w:sz w:val="24"/>
        </w:rPr>
        <w:t>。</w:t>
      </w:r>
    </w:p>
    <w:p w14:paraId="432D83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（5）供应商不将本项目采购内容以任何方式进行转包、分包</w:t>
      </w:r>
      <w:r>
        <w:rPr>
          <w:rFonts w:hint="eastAsia" w:ascii="宋体" w:hAnsi="宋体" w:cs="宋体"/>
          <w:b/>
          <w:sz w:val="24"/>
        </w:rPr>
        <w:t>（提供承诺函）</w:t>
      </w:r>
      <w:r>
        <w:rPr>
          <w:rFonts w:hint="eastAsia" w:ascii="宋体" w:hAnsi="宋体" w:cs="宋体"/>
          <w:sz w:val="24"/>
        </w:rPr>
        <w:t>。</w:t>
      </w:r>
    </w:p>
    <w:p w14:paraId="1C40E6C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（6）法定代表人为同一个人的两个及两个以上法人，母公司与全资子公司/由其控股的子公司，不得同时参与本项目</w:t>
      </w:r>
      <w:r>
        <w:rPr>
          <w:rFonts w:hint="eastAsia" w:ascii="宋体" w:hAnsi="宋体" w:cs="宋体"/>
          <w:b/>
          <w:bCs/>
          <w:sz w:val="24"/>
        </w:rPr>
        <w:t>（提供承诺函）</w:t>
      </w:r>
      <w:r>
        <w:rPr>
          <w:rFonts w:hint="eastAsia" w:ascii="宋体" w:hAnsi="宋体" w:cs="宋体"/>
          <w:sz w:val="24"/>
        </w:rPr>
        <w:t>。</w:t>
      </w:r>
    </w:p>
    <w:p w14:paraId="637DD49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（7）供应商必须从采购代理机构获得报名文件并登记备案，否则不能参加本次公开征集。</w:t>
      </w:r>
    </w:p>
    <w:p w14:paraId="46F55F1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（8）本项目不接受联合体参与。</w:t>
      </w:r>
    </w:p>
    <w:bookmarkEnd w:id="3"/>
    <w:bookmarkEnd w:id="4"/>
    <w:bookmarkEnd w:id="5"/>
    <w:p w14:paraId="1EF773C2">
      <w:pPr>
        <w:keepNext w:val="0"/>
        <w:keepLines w:val="0"/>
        <w:pageBreakBefore w:val="0"/>
        <w:tabs>
          <w:tab w:val="left" w:pos="720"/>
        </w:tabs>
        <w:kinsoku/>
        <w:wordWrap/>
        <w:overflowPunct/>
        <w:topLinePunct w:val="0"/>
        <w:autoSpaceDE/>
        <w:autoSpaceDN/>
        <w:bidi w:val="0"/>
        <w:adjustRightInd/>
        <w:snapToGrid/>
        <w:spacing w:line="360" w:lineRule="auto"/>
        <w:ind w:left="0" w:leftChars="0" w:firstLine="482" w:firstLineChars="200"/>
        <w:textAlignment w:val="auto"/>
        <w:rPr>
          <w:rFonts w:ascii="宋体" w:hAnsi="宋体" w:cs="宋体"/>
          <w:sz w:val="24"/>
        </w:rPr>
      </w:pPr>
      <w:r>
        <w:rPr>
          <w:rFonts w:hint="eastAsia" w:ascii="宋体" w:hAnsi="宋体" w:cs="宋体"/>
          <w:b/>
          <w:bCs/>
          <w:sz w:val="24"/>
        </w:rPr>
        <w:t>（二）特别要求</w:t>
      </w:r>
    </w:p>
    <w:p w14:paraId="3F9B55C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kern w:val="2"/>
          <w:sz w:val="24"/>
          <w:szCs w:val="21"/>
          <w:lang w:val="en-US" w:eastAsia="zh-CN" w:bidi="ar-SA"/>
        </w:rPr>
      </w:pPr>
      <w:r>
        <w:rPr>
          <w:rFonts w:hint="eastAsia" w:ascii="宋体" w:hAnsi="宋体" w:eastAsia="宋体" w:cs="宋体"/>
          <w:kern w:val="2"/>
          <w:sz w:val="24"/>
          <w:szCs w:val="21"/>
          <w:lang w:val="en-US" w:eastAsia="zh-CN" w:bidi="ar-SA"/>
        </w:rPr>
        <w:t>（1）供应商自2022年1月1日（总价合同以合同签订时间为准；框架协议以有效订单或采购合同时间为准）以来，在国内金融机构或《财富》中国500强机构或中央企业或政府机构或事业单位，具有开源软件治理相关服务案例。</w:t>
      </w:r>
    </w:p>
    <w:p w14:paraId="17A09DF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kern w:val="2"/>
          <w:sz w:val="24"/>
          <w:szCs w:val="21"/>
          <w:lang w:val="en-US" w:eastAsia="zh-CN" w:bidi="ar-SA"/>
        </w:rPr>
      </w:pPr>
      <w:r>
        <w:rPr>
          <w:rFonts w:hint="eastAsia" w:ascii="宋体" w:hAnsi="宋体" w:eastAsia="宋体" w:cs="宋体"/>
          <w:kern w:val="2"/>
          <w:sz w:val="24"/>
          <w:szCs w:val="21"/>
          <w:lang w:val="en-US" w:eastAsia="zh-CN" w:bidi="ar-SA"/>
        </w:rPr>
        <w:t>注：</w:t>
      </w:r>
    </w:p>
    <w:p w14:paraId="6C7A73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kern w:val="2"/>
          <w:sz w:val="24"/>
          <w:szCs w:val="21"/>
          <w:lang w:val="en-US" w:eastAsia="zh-CN" w:bidi="ar-SA"/>
        </w:rPr>
      </w:pPr>
      <w:r>
        <w:rPr>
          <w:rFonts w:hint="eastAsia" w:ascii="宋体" w:hAnsi="宋体" w:eastAsia="宋体" w:cs="宋体"/>
          <w:kern w:val="2"/>
          <w:sz w:val="24"/>
          <w:szCs w:val="21"/>
          <w:lang w:val="en-US" w:eastAsia="zh-CN" w:bidi="ar-SA"/>
        </w:rPr>
        <w:t>1）《财富》中国500强机构参照2025年《财富》中国500强榜单；</w:t>
      </w:r>
    </w:p>
    <w:p w14:paraId="4D07E24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kern w:val="2"/>
          <w:sz w:val="24"/>
          <w:szCs w:val="21"/>
          <w:lang w:val="en-US" w:eastAsia="zh-CN" w:bidi="ar-SA"/>
        </w:rPr>
      </w:pPr>
      <w:r>
        <w:rPr>
          <w:rFonts w:hint="eastAsia" w:ascii="宋体" w:hAnsi="宋体" w:eastAsia="宋体" w:cs="宋体"/>
          <w:kern w:val="2"/>
          <w:sz w:val="24"/>
          <w:szCs w:val="21"/>
          <w:lang w:val="en-US" w:eastAsia="zh-CN" w:bidi="ar-SA"/>
        </w:rPr>
        <w:t>2）中央企业参照国务院国有资产监督管理委员会官网公布央企名录；</w:t>
      </w:r>
    </w:p>
    <w:p w14:paraId="424243B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kern w:val="2"/>
          <w:sz w:val="24"/>
          <w:szCs w:val="21"/>
          <w:lang w:val="en-US" w:eastAsia="zh-CN" w:bidi="ar-SA"/>
        </w:rPr>
      </w:pPr>
      <w:r>
        <w:rPr>
          <w:rFonts w:hint="eastAsia" w:ascii="宋体" w:hAnsi="宋体" w:eastAsia="宋体" w:cs="宋体"/>
          <w:kern w:val="2"/>
          <w:sz w:val="24"/>
          <w:szCs w:val="21"/>
          <w:lang w:val="en-US" w:eastAsia="zh-CN" w:bidi="ar-SA"/>
        </w:rPr>
        <w:t>3）国内金融机构或《财富》中国500强机构或中央企业三类机构的下属分支机构（分行/分公司）或其持股50%及以上的下一级子公司及其分公司均属于“上述单位”的范畴；</w:t>
      </w:r>
    </w:p>
    <w:p w14:paraId="35C4B91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kern w:val="2"/>
          <w:sz w:val="24"/>
          <w:szCs w:val="21"/>
          <w:lang w:val="en-US" w:eastAsia="zh-CN" w:bidi="ar-SA"/>
        </w:rPr>
      </w:pPr>
      <w:r>
        <w:rPr>
          <w:rFonts w:hint="eastAsia" w:ascii="宋体" w:hAnsi="宋体" w:eastAsia="宋体" w:cs="宋体"/>
          <w:kern w:val="2"/>
          <w:sz w:val="24"/>
          <w:szCs w:val="21"/>
          <w:lang w:val="en-US" w:eastAsia="zh-CN" w:bidi="ar-SA"/>
        </w:rPr>
        <w:t>4）案例证明材料：如果为总价合同，需提供上述单位与供应商直接签署的合同复印件（包括但不限于合同首页、采购内容页、签订时间及签章页）。如果为非总价的框架协议，需提供上述单位与供应商直接签署的框架协议复印件（包括但不限于框架协议的首页、采购内容页、协议期限、签订时间及签章页）+框架协议下的有效订单凭证或采购合同复印件（需体现时间）。</w:t>
      </w:r>
    </w:p>
    <w:p w14:paraId="3A0E7B04">
      <w:pPr>
        <w:keepNext w:val="0"/>
        <w:keepLines w:val="0"/>
        <w:pageBreakBefore w:val="0"/>
        <w:kinsoku/>
        <w:wordWrap/>
        <w:overflowPunct/>
        <w:topLinePunct w:val="0"/>
        <w:autoSpaceDE/>
        <w:autoSpaceDN/>
        <w:bidi w:val="0"/>
        <w:adjustRightInd/>
        <w:snapToGrid/>
        <w:spacing w:line="360" w:lineRule="auto"/>
        <w:ind w:left="0" w:leftChars="0" w:firstLine="482" w:firstLineChars="200"/>
        <w:textAlignment w:val="auto"/>
        <w:outlineLvl w:val="0"/>
        <w:rPr>
          <w:rFonts w:ascii="宋体" w:cs="宋体"/>
          <w:b/>
          <w:bCs/>
          <w:sz w:val="24"/>
          <w:szCs w:val="24"/>
        </w:rPr>
      </w:pPr>
      <w:r>
        <w:rPr>
          <w:rFonts w:hint="eastAsia" w:ascii="宋体" w:hAnsi="宋体" w:cs="宋体"/>
          <w:b/>
          <w:bCs/>
          <w:sz w:val="24"/>
          <w:szCs w:val="24"/>
        </w:rPr>
        <w:t>四</w:t>
      </w:r>
      <w:r>
        <w:rPr>
          <w:rFonts w:ascii="宋体" w:cs="宋体"/>
          <w:b/>
          <w:bCs/>
          <w:sz w:val="24"/>
          <w:szCs w:val="24"/>
        </w:rPr>
        <w:t>、</w:t>
      </w:r>
      <w:r>
        <w:rPr>
          <w:rFonts w:hint="eastAsia" w:ascii="宋体" w:cs="宋体"/>
          <w:b/>
          <w:bCs/>
          <w:sz w:val="24"/>
          <w:szCs w:val="24"/>
        </w:rPr>
        <w:t>报名文件获取时间及方式</w:t>
      </w:r>
    </w:p>
    <w:p w14:paraId="0EB7DB5B">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s="宋体"/>
          <w:bCs/>
          <w:sz w:val="24"/>
          <w:szCs w:val="24"/>
        </w:rPr>
      </w:pPr>
      <w:r>
        <w:rPr>
          <w:rFonts w:hint="eastAsia" w:ascii="宋体" w:hAnsi="宋体" w:cs="宋体"/>
          <w:bCs/>
          <w:sz w:val="24"/>
          <w:szCs w:val="24"/>
        </w:rPr>
        <w:t>1、获取时间：2025年</w:t>
      </w:r>
      <w:r>
        <w:rPr>
          <w:rFonts w:hint="eastAsia" w:ascii="宋体" w:hAnsi="宋体" w:cs="宋体"/>
          <w:bCs/>
          <w:sz w:val="24"/>
          <w:szCs w:val="24"/>
          <w:lang w:val="en-US" w:eastAsia="zh-CN"/>
        </w:rPr>
        <w:t>10</w:t>
      </w:r>
      <w:r>
        <w:rPr>
          <w:rFonts w:hint="eastAsia" w:ascii="宋体" w:hAnsi="宋体" w:cs="宋体"/>
          <w:bCs/>
          <w:sz w:val="24"/>
          <w:szCs w:val="24"/>
        </w:rPr>
        <w:t>月</w:t>
      </w:r>
      <w:r>
        <w:rPr>
          <w:rFonts w:hint="eastAsia" w:ascii="宋体" w:hAnsi="宋体" w:cs="宋体"/>
          <w:bCs/>
          <w:sz w:val="24"/>
          <w:szCs w:val="24"/>
          <w:lang w:val="en-US" w:eastAsia="zh-CN"/>
        </w:rPr>
        <w:t>13</w:t>
      </w:r>
      <w:r>
        <w:rPr>
          <w:rFonts w:hint="eastAsia" w:ascii="宋体" w:hAnsi="宋体" w:cs="宋体"/>
          <w:bCs/>
          <w:sz w:val="24"/>
          <w:szCs w:val="24"/>
        </w:rPr>
        <w:t>日至2025年</w:t>
      </w:r>
      <w:r>
        <w:rPr>
          <w:rFonts w:hint="eastAsia" w:ascii="宋体" w:hAnsi="宋体" w:cs="宋体"/>
          <w:bCs/>
          <w:sz w:val="24"/>
          <w:szCs w:val="24"/>
          <w:lang w:val="en-US" w:eastAsia="zh-CN"/>
        </w:rPr>
        <w:t>10</w:t>
      </w:r>
      <w:r>
        <w:rPr>
          <w:rFonts w:hint="eastAsia" w:ascii="宋体" w:hAnsi="宋体" w:cs="宋体"/>
          <w:bCs/>
          <w:sz w:val="24"/>
          <w:szCs w:val="24"/>
        </w:rPr>
        <w:t>月</w:t>
      </w:r>
      <w:r>
        <w:rPr>
          <w:rFonts w:hint="eastAsia" w:ascii="宋体" w:hAnsi="宋体" w:cs="宋体"/>
          <w:bCs/>
          <w:sz w:val="24"/>
          <w:szCs w:val="24"/>
          <w:lang w:val="en-US" w:eastAsia="zh-CN"/>
        </w:rPr>
        <w:t>20</w:t>
      </w:r>
      <w:r>
        <w:rPr>
          <w:rFonts w:hint="eastAsia" w:ascii="宋体" w:hAnsi="宋体" w:cs="宋体"/>
          <w:bCs/>
          <w:sz w:val="24"/>
          <w:szCs w:val="24"/>
        </w:rPr>
        <w:t>日，每日上午9：00-11：00，下午14：00-17：00（北京时间，节假日除外）。</w:t>
      </w:r>
    </w:p>
    <w:p w14:paraId="152545C8">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s="宋体"/>
          <w:bCs/>
          <w:sz w:val="24"/>
          <w:szCs w:val="24"/>
        </w:rPr>
      </w:pPr>
      <w:r>
        <w:rPr>
          <w:rFonts w:hint="eastAsia" w:ascii="宋体" w:hAnsi="宋体" w:cs="宋体"/>
          <w:bCs/>
          <w:sz w:val="24"/>
          <w:szCs w:val="24"/>
        </w:rPr>
        <w:t>2.报名文件售价：人民币500元/套，报名文件售后不退。</w:t>
      </w:r>
    </w:p>
    <w:p w14:paraId="602A4734">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s="宋体"/>
          <w:bCs/>
          <w:sz w:val="24"/>
          <w:szCs w:val="24"/>
        </w:rPr>
      </w:pPr>
      <w:r>
        <w:rPr>
          <w:rFonts w:hint="eastAsia" w:ascii="宋体" w:hAnsi="宋体" w:cs="宋体"/>
          <w:bCs/>
          <w:sz w:val="24"/>
          <w:szCs w:val="24"/>
        </w:rPr>
        <w:t xml:space="preserve">3.获取报名文件方式： </w:t>
      </w:r>
    </w:p>
    <w:p w14:paraId="57414B87">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s="宋体"/>
          <w:bCs/>
          <w:sz w:val="24"/>
          <w:szCs w:val="24"/>
        </w:rPr>
      </w:pPr>
      <w:r>
        <w:rPr>
          <w:rFonts w:hint="eastAsia" w:ascii="宋体" w:hAnsi="宋体" w:cs="宋体"/>
          <w:bCs/>
          <w:sz w:val="24"/>
          <w:szCs w:val="24"/>
        </w:rPr>
        <w:t>（1）对凡愿参加报名的合格供应商可于上述"获取报名文件时间"期间，按照公开征集供应商报名文件中（附件1 供应商报名时须提供的电子资料说明）准备电子版报名资料发送至电子邮箱: 1989999515@qq.com。若审核不通过，代理机构将邮件回复报名单位不通过的理由。</w:t>
      </w:r>
    </w:p>
    <w:p w14:paraId="6D026FC4">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s="宋体"/>
          <w:bCs/>
          <w:sz w:val="24"/>
          <w:szCs w:val="24"/>
        </w:rPr>
      </w:pPr>
      <w:r>
        <w:rPr>
          <w:rFonts w:hint="eastAsia" w:ascii="宋体" w:hAnsi="宋体" w:cs="宋体"/>
          <w:bCs/>
          <w:sz w:val="24"/>
          <w:szCs w:val="24"/>
        </w:rPr>
        <w:t>（2）供应商须在国信招标集团股份有限公司(http://www.gxzb.com.cn/)注册并登记供应商信息。</w:t>
      </w:r>
    </w:p>
    <w:p w14:paraId="474F8BBF">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s="宋体"/>
          <w:bCs/>
          <w:sz w:val="24"/>
          <w:szCs w:val="24"/>
        </w:rPr>
      </w:pPr>
      <w:r>
        <w:rPr>
          <w:rFonts w:hint="eastAsia" w:ascii="宋体" w:hAnsi="宋体" w:cs="宋体"/>
          <w:bCs/>
          <w:sz w:val="24"/>
          <w:szCs w:val="24"/>
        </w:rPr>
        <w:t>（3）报名资料审核通过后，供应商公对公汇款支付报名文件费用，并将汇款凭证发送至电子邮箱:1989999515@qq.com。</w:t>
      </w:r>
    </w:p>
    <w:p w14:paraId="50AC83C8">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eastAsia="宋体" w:cs="宋体"/>
          <w:bCs/>
          <w:sz w:val="24"/>
          <w:szCs w:val="24"/>
          <w:lang w:val="en-US" w:eastAsia="zh-CN"/>
        </w:rPr>
      </w:pPr>
      <w:r>
        <w:rPr>
          <w:rFonts w:hint="eastAsia" w:ascii="宋体" w:hAnsi="宋体" w:cs="宋体"/>
          <w:bCs/>
          <w:sz w:val="24"/>
          <w:szCs w:val="24"/>
        </w:rPr>
        <w:t>汇款账户：国信招标集团股份有限公司</w:t>
      </w:r>
      <w:r>
        <w:rPr>
          <w:rFonts w:hint="eastAsia" w:ascii="宋体" w:hAnsi="宋体" w:cs="宋体"/>
          <w:bCs/>
          <w:sz w:val="24"/>
          <w:szCs w:val="24"/>
          <w:lang w:val="en-US" w:eastAsia="zh-CN"/>
        </w:rPr>
        <w:t>上海第一分公司</w:t>
      </w:r>
    </w:p>
    <w:p w14:paraId="61D07689">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eastAsia="宋体" w:cs="宋体"/>
          <w:bCs/>
          <w:sz w:val="24"/>
          <w:szCs w:val="24"/>
          <w:lang w:val="en-US" w:eastAsia="zh-CN"/>
        </w:rPr>
      </w:pPr>
      <w:r>
        <w:rPr>
          <w:rFonts w:hint="eastAsia" w:ascii="宋体" w:hAnsi="宋体" w:cs="宋体"/>
          <w:bCs/>
          <w:sz w:val="24"/>
          <w:szCs w:val="24"/>
        </w:rPr>
        <w:t>开户行：</w:t>
      </w:r>
      <w:r>
        <w:rPr>
          <w:rFonts w:hint="eastAsia" w:ascii="宋体" w:hAnsi="宋体" w:cs="宋体"/>
          <w:bCs/>
          <w:sz w:val="24"/>
          <w:szCs w:val="24"/>
          <w:lang w:val="en-US" w:eastAsia="zh-CN"/>
        </w:rPr>
        <w:t>招商银行上海南西支行</w:t>
      </w:r>
    </w:p>
    <w:p w14:paraId="5A495FFE">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s="宋体"/>
          <w:bCs/>
          <w:sz w:val="24"/>
          <w:szCs w:val="24"/>
        </w:rPr>
      </w:pPr>
      <w:r>
        <w:rPr>
          <w:rFonts w:hint="eastAsia" w:ascii="宋体" w:hAnsi="宋体" w:cs="宋体"/>
          <w:bCs/>
          <w:sz w:val="24"/>
          <w:szCs w:val="24"/>
        </w:rPr>
        <w:t>账  号：1219535596100022500011914</w:t>
      </w:r>
    </w:p>
    <w:bookmarkEnd w:id="2"/>
    <w:p w14:paraId="34FF2FA7">
      <w:pPr>
        <w:keepNext w:val="0"/>
        <w:keepLines w:val="0"/>
        <w:pageBreakBefore w:val="0"/>
        <w:kinsoku/>
        <w:wordWrap/>
        <w:overflowPunct/>
        <w:topLinePunct w:val="0"/>
        <w:autoSpaceDE/>
        <w:autoSpaceDN/>
        <w:bidi w:val="0"/>
        <w:adjustRightInd/>
        <w:snapToGrid/>
        <w:spacing w:line="360" w:lineRule="auto"/>
        <w:ind w:left="0" w:leftChars="0" w:firstLine="482" w:firstLineChars="200"/>
        <w:textAlignment w:val="auto"/>
        <w:outlineLvl w:val="0"/>
        <w:rPr>
          <w:rFonts w:ascii="宋体" w:cs="宋体"/>
          <w:b/>
          <w:bCs/>
          <w:sz w:val="24"/>
          <w:szCs w:val="24"/>
        </w:rPr>
      </w:pPr>
      <w:r>
        <w:rPr>
          <w:rFonts w:hint="eastAsia" w:ascii="宋体" w:cs="宋体"/>
          <w:b/>
          <w:bCs/>
          <w:sz w:val="24"/>
          <w:szCs w:val="24"/>
        </w:rPr>
        <w:t>五、联系方式</w:t>
      </w:r>
    </w:p>
    <w:p w14:paraId="2B15139F">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sz w:val="24"/>
          <w:highlight w:val="none"/>
          <w:lang w:val="en-US" w:eastAsia="zh-CN"/>
        </w:rPr>
      </w:pPr>
      <w:r>
        <w:rPr>
          <w:rFonts w:hint="eastAsia" w:ascii="宋体" w:hAnsi="宋体"/>
          <w:sz w:val="24"/>
          <w:highlight w:val="none"/>
          <w:lang w:val="en-US" w:eastAsia="zh-CN"/>
        </w:rPr>
        <w:t>采购代理机构名称：国信招标集团股份有限公司</w:t>
      </w:r>
    </w:p>
    <w:p w14:paraId="1CC989D0">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sz w:val="24"/>
          <w:highlight w:val="none"/>
          <w:lang w:val="en-US" w:eastAsia="zh-CN"/>
        </w:rPr>
      </w:pPr>
      <w:r>
        <w:rPr>
          <w:rFonts w:hint="eastAsia" w:ascii="宋体" w:hAnsi="宋体"/>
          <w:sz w:val="24"/>
          <w:highlight w:val="none"/>
          <w:lang w:val="en-US" w:eastAsia="zh-CN"/>
        </w:rPr>
        <w:t>地    址：上海市虹口区四川北路859号中信广场6楼605A</w:t>
      </w:r>
    </w:p>
    <w:p w14:paraId="0651D35E">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sz w:val="24"/>
          <w:highlight w:val="none"/>
          <w:lang w:val="en-US" w:eastAsia="zh-CN"/>
        </w:rPr>
      </w:pPr>
      <w:r>
        <w:rPr>
          <w:rFonts w:hint="eastAsia" w:ascii="宋体" w:hAnsi="宋体"/>
          <w:sz w:val="24"/>
          <w:highlight w:val="none"/>
          <w:lang w:val="en-US" w:eastAsia="zh-CN"/>
        </w:rPr>
        <w:t>联系人：孙烨、王佳卉</w:t>
      </w:r>
    </w:p>
    <w:p w14:paraId="48A350DE">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sz w:val="24"/>
          <w:highlight w:val="none"/>
          <w:lang w:val="en-US" w:eastAsia="zh-CN"/>
        </w:rPr>
      </w:pPr>
      <w:r>
        <w:rPr>
          <w:rFonts w:hint="eastAsia" w:ascii="宋体" w:hAnsi="宋体"/>
          <w:sz w:val="24"/>
          <w:highlight w:val="none"/>
          <w:lang w:val="en-US" w:eastAsia="zh-CN"/>
        </w:rPr>
        <w:t>联系电话：18916999515</w:t>
      </w:r>
    </w:p>
    <w:p w14:paraId="534A8BEE">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sz w:val="24"/>
          <w:highlight w:val="none"/>
          <w:lang w:val="en-US" w:eastAsia="zh-CN"/>
        </w:rPr>
      </w:pPr>
      <w:r>
        <w:rPr>
          <w:rFonts w:hint="eastAsia" w:ascii="宋体" w:hAnsi="宋体"/>
          <w:sz w:val="24"/>
          <w:highlight w:val="none"/>
          <w:lang w:val="en-US" w:eastAsia="zh-CN"/>
        </w:rPr>
        <w:t>电子函件：1989999515@qq.com</w:t>
      </w:r>
    </w:p>
    <w:p w14:paraId="23E36AA3">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sz w:val="24"/>
          <w:highlight w:val="none"/>
          <w:lang w:val="en-US" w:eastAsia="zh-CN"/>
        </w:rPr>
      </w:pPr>
    </w:p>
    <w:p w14:paraId="65387870">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sz w:val="24"/>
          <w:highlight w:val="none"/>
          <w:lang w:val="en-US" w:eastAsia="zh-CN"/>
        </w:rPr>
      </w:pPr>
      <w:r>
        <w:rPr>
          <w:rFonts w:hint="eastAsia" w:ascii="宋体" w:hAnsi="宋体"/>
          <w:sz w:val="24"/>
          <w:highlight w:val="none"/>
          <w:lang w:val="en-US" w:eastAsia="zh-CN"/>
        </w:rPr>
        <w:t>采购人：交通银行股份有限公司</w:t>
      </w:r>
    </w:p>
    <w:p w14:paraId="59925548">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sz w:val="24"/>
          <w:highlight w:val="none"/>
          <w:lang w:val="en-US" w:eastAsia="zh-CN"/>
        </w:rPr>
      </w:pPr>
      <w:r>
        <w:rPr>
          <w:rFonts w:hint="eastAsia" w:ascii="宋体" w:hAnsi="宋体"/>
          <w:sz w:val="24"/>
          <w:highlight w:val="none"/>
          <w:lang w:val="en-US" w:eastAsia="zh-CN"/>
        </w:rPr>
        <w:t>采购人地址：上海市银城中路188号</w:t>
      </w:r>
    </w:p>
    <w:p w14:paraId="3D1EB696">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sz w:val="24"/>
          <w:highlight w:val="none"/>
          <w:lang w:val="en-US" w:eastAsia="zh-CN"/>
        </w:rPr>
      </w:pPr>
      <w:r>
        <w:rPr>
          <w:rFonts w:hint="eastAsia" w:ascii="宋体" w:hAnsi="宋体"/>
          <w:sz w:val="24"/>
          <w:highlight w:val="none"/>
          <w:lang w:val="en-US" w:eastAsia="zh-CN"/>
        </w:rPr>
        <w:t>联系人：</w:t>
      </w:r>
      <w:bookmarkStart w:id="6" w:name="OLE_LINK2"/>
      <w:r>
        <w:rPr>
          <w:rFonts w:hint="eastAsia" w:ascii="宋体" w:hAnsi="宋体"/>
          <w:sz w:val="24"/>
          <w:highlight w:val="none"/>
          <w:lang w:val="en-US" w:eastAsia="zh-CN"/>
        </w:rPr>
        <w:t>傅老师</w:t>
      </w:r>
      <w:bookmarkEnd w:id="6"/>
    </w:p>
    <w:p w14:paraId="4C7A3719">
      <w:pPr>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sz w:val="24"/>
          <w:highlight w:val="none"/>
          <w:lang w:val="en-US" w:eastAsia="zh-CN"/>
        </w:rPr>
      </w:pPr>
      <w:r>
        <w:rPr>
          <w:rFonts w:hint="eastAsia" w:ascii="宋体" w:hAnsi="宋体"/>
          <w:sz w:val="24"/>
          <w:highlight w:val="none"/>
          <w:lang w:val="en-US" w:eastAsia="zh-CN"/>
        </w:rPr>
        <w:t>联系方式：</w:t>
      </w:r>
      <w:bookmarkStart w:id="7" w:name="OLE_LINK8"/>
      <w:r>
        <w:rPr>
          <w:rFonts w:hint="eastAsia" w:ascii="宋体" w:hAnsi="宋体" w:cs="宋体"/>
          <w:sz w:val="24"/>
          <w:szCs w:val="24"/>
        </w:rPr>
        <w:t>021-20588395</w:t>
      </w:r>
      <w:bookmarkEnd w:id="7"/>
    </w:p>
    <w:p w14:paraId="79846770">
      <w:pPr>
        <w:pStyle w:val="7"/>
        <w:keepNext w:val="0"/>
        <w:keepLines w:val="0"/>
        <w:pageBreakBefore w:val="0"/>
        <w:kinsoku/>
        <w:wordWrap/>
        <w:overflowPunct/>
        <w:topLinePunct w:val="0"/>
        <w:autoSpaceDE/>
        <w:autoSpaceDN/>
        <w:bidi w:val="0"/>
        <w:adjustRightInd/>
        <w:snapToGrid/>
        <w:spacing w:after="0" w:afterLines="0" w:line="360" w:lineRule="auto"/>
        <w:ind w:left="0" w:leftChars="0" w:firstLine="480" w:firstLineChars="200"/>
        <w:textAlignment w:val="auto"/>
        <w:rPr>
          <w:rFonts w:hint="eastAsia" w:ascii="宋体" w:hAnsi="宋体" w:cs="宋体"/>
          <w:sz w:val="24"/>
          <w:szCs w:val="24"/>
        </w:rPr>
      </w:pPr>
    </w:p>
    <w:p w14:paraId="16EC0D2B">
      <w:pPr>
        <w:keepNext w:val="0"/>
        <w:keepLines w:val="0"/>
        <w:pageBreakBefore w:val="0"/>
        <w:kinsoku/>
        <w:wordWrap/>
        <w:overflowPunct/>
        <w:topLinePunct w:val="0"/>
        <w:autoSpaceDE/>
        <w:autoSpaceDN/>
        <w:bidi w:val="0"/>
        <w:adjustRightInd/>
        <w:snapToGrid/>
        <w:spacing w:line="360" w:lineRule="auto"/>
        <w:ind w:left="0" w:leftChars="0" w:firstLine="482" w:firstLineChars="200"/>
        <w:textAlignment w:val="auto"/>
        <w:rPr>
          <w:rFonts w:hint="eastAsia" w:ascii="宋体" w:hAnsi="宋体" w:eastAsia="宋体" w:cs="宋体"/>
          <w:b/>
          <w:bCs/>
          <w:i/>
          <w:iCs/>
          <w:sz w:val="24"/>
          <w:szCs w:val="24"/>
          <w:highlight w:val="none"/>
          <w:u w:val="single"/>
        </w:rPr>
      </w:pPr>
      <w:r>
        <w:rPr>
          <w:rFonts w:hint="eastAsia" w:ascii="宋体" w:hAnsi="宋体" w:eastAsia="宋体" w:cs="宋体"/>
          <w:b/>
          <w:bCs/>
          <w:i/>
          <w:iCs/>
          <w:sz w:val="24"/>
          <w:szCs w:val="24"/>
          <w:highlight w:val="none"/>
          <w:u w:val="single"/>
        </w:rPr>
        <w:t>交通银行整合集团综合化优势，为企业及个人客户提供优质专业的薪酬代发、智慧记账、数字人民币应用服务。鼓励供应商在交通银行开办代发工资业务、智慧记账业务、开通交通银行数字人民币钱包。</w:t>
      </w:r>
    </w:p>
    <w:p w14:paraId="361CD97F">
      <w:pPr>
        <w:keepNext w:val="0"/>
        <w:keepLines w:val="0"/>
        <w:pageBreakBefore w:val="0"/>
        <w:kinsoku/>
        <w:wordWrap/>
        <w:overflowPunct/>
        <w:topLinePunct w:val="0"/>
        <w:autoSpaceDE/>
        <w:autoSpaceDN/>
        <w:bidi w:val="0"/>
        <w:adjustRightInd/>
        <w:snapToGrid/>
        <w:spacing w:line="360" w:lineRule="auto"/>
        <w:ind w:left="0" w:leftChars="0" w:firstLine="482" w:firstLineChars="200"/>
        <w:textAlignment w:val="auto"/>
        <w:rPr>
          <w:rFonts w:hint="eastAsia" w:ascii="宋体" w:hAnsi="宋体" w:eastAsia="宋体" w:cs="宋体"/>
          <w:b/>
          <w:bCs/>
          <w:i/>
          <w:iCs/>
          <w:sz w:val="24"/>
          <w:szCs w:val="24"/>
          <w:highlight w:val="none"/>
          <w:u w:val="single"/>
        </w:rPr>
      </w:pPr>
      <w:r>
        <w:rPr>
          <w:rFonts w:hint="eastAsia" w:ascii="宋体" w:hAnsi="宋体" w:eastAsia="宋体" w:cs="宋体"/>
          <w:b/>
          <w:bCs/>
          <w:i/>
          <w:iCs/>
          <w:sz w:val="24"/>
          <w:szCs w:val="24"/>
          <w:highlight w:val="none"/>
          <w:u w:val="single"/>
        </w:rPr>
        <w:t>交通银行可根据供应商个性化、差异化需求，通过网银、银企直联、柜面、交薪通平台等多元化渠道提供发薪服务，通过智慧记账实现应收账款与回款资金智能核销并可为销售人员提供回款资金入账短信通知服务。收款账户为交通银行对公账户的可开通数字人民币对公钱包，收款账户为个人账户的可开通数字人民币个人一类钱包。</w:t>
      </w:r>
    </w:p>
    <w:p w14:paraId="7101DADE">
      <w:pPr>
        <w:pStyle w:val="3"/>
        <w:keepNext w:val="0"/>
        <w:keepLines w:val="0"/>
        <w:pageBreakBefore w:val="0"/>
        <w:kinsoku/>
        <w:wordWrap/>
        <w:overflowPunct/>
        <w:topLinePunct w:val="0"/>
        <w:autoSpaceDE/>
        <w:autoSpaceDN/>
        <w:bidi w:val="0"/>
        <w:adjustRightInd/>
        <w:snapToGrid/>
        <w:spacing w:line="360" w:lineRule="auto"/>
        <w:ind w:left="0" w:leftChars="0" w:firstLine="482" w:firstLineChars="200"/>
        <w:textAlignment w:val="auto"/>
        <w:rPr>
          <w:rFonts w:hint="eastAsia" w:ascii="宋体" w:hAnsi="宋体" w:cs="宋体"/>
          <w:sz w:val="24"/>
          <w:szCs w:val="24"/>
        </w:rPr>
      </w:pPr>
      <w:r>
        <w:rPr>
          <w:rFonts w:hint="eastAsia" w:ascii="宋体" w:hAnsi="宋体" w:eastAsia="宋体" w:cs="宋体"/>
          <w:b/>
          <w:bCs/>
          <w:i/>
          <w:iCs/>
          <w:sz w:val="24"/>
          <w:szCs w:val="24"/>
          <w:highlight w:val="none"/>
          <w:u w:val="single"/>
        </w:rPr>
        <w:t>上述业务可咨询95559，供应商在交通银行开通账户或数字人民币钱包后，可自行在交通银行供应商门户网站中添加结算账户信息。</w:t>
      </w:r>
    </w:p>
    <w:p w14:paraId="0DD85B3B">
      <w:pPr>
        <w:pStyle w:val="3"/>
        <w:keepNext w:val="0"/>
        <w:keepLines w:val="0"/>
        <w:pageBreakBefore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cs="宋体"/>
          <w:sz w:val="24"/>
          <w:szCs w:val="24"/>
        </w:rPr>
      </w:pPr>
    </w:p>
    <w:p w14:paraId="77E2435C">
      <w:pPr>
        <w:keepNext w:val="0"/>
        <w:keepLines w:val="0"/>
        <w:pageBreakBefore w:val="0"/>
        <w:kinsoku/>
        <w:wordWrap/>
        <w:overflowPunct/>
        <w:topLinePunct w:val="0"/>
        <w:autoSpaceDE/>
        <w:autoSpaceDN/>
        <w:bidi w:val="0"/>
        <w:adjustRightInd/>
        <w:snapToGrid/>
        <w:spacing w:line="360" w:lineRule="auto"/>
        <w:ind w:left="0"/>
        <w:textAlignment w:val="auto"/>
        <w:outlineLvl w:val="9"/>
        <w:rPr>
          <w:rFonts w:hint="eastAsia" w:ascii="宋体" w:hAnsi="宋体"/>
          <w:b/>
          <w:spacing w:val="20"/>
          <w:sz w:val="24"/>
        </w:rPr>
      </w:pPr>
      <w:r>
        <w:rPr>
          <w:rFonts w:ascii="宋体" w:hAnsi="宋体"/>
          <w:b/>
          <w:spacing w:val="20"/>
          <w:sz w:val="24"/>
        </w:rPr>
        <w:br w:type="page"/>
      </w:r>
      <w:r>
        <w:rPr>
          <w:rFonts w:hint="eastAsia" w:ascii="宋体" w:hAnsi="宋体"/>
          <w:b/>
          <w:spacing w:val="20"/>
          <w:sz w:val="24"/>
        </w:rPr>
        <w:t>附件1 供应商报名时须提供的电子资料说明</w:t>
      </w:r>
    </w:p>
    <w:p w14:paraId="6C24AC7F">
      <w:pPr>
        <w:keepNext w:val="0"/>
        <w:keepLines w:val="0"/>
        <w:pageBreakBefore w:val="0"/>
        <w:kinsoku/>
        <w:wordWrap/>
        <w:overflowPunct/>
        <w:topLinePunct w:val="0"/>
        <w:autoSpaceDE/>
        <w:autoSpaceDN/>
        <w:bidi w:val="0"/>
        <w:adjustRightInd/>
        <w:snapToGrid/>
        <w:spacing w:line="360" w:lineRule="auto"/>
        <w:ind w:left="0"/>
        <w:textAlignment w:val="auto"/>
        <w:rPr>
          <w:rFonts w:hint="eastAsia" w:ascii="宋体" w:hAnsi="宋体"/>
          <w:b/>
          <w:spacing w:val="20"/>
          <w:sz w:val="24"/>
        </w:rPr>
      </w:pPr>
      <w:r>
        <w:rPr>
          <w:rFonts w:hint="eastAsia" w:ascii="宋体" w:hAnsi="宋体"/>
          <w:b/>
          <w:spacing w:val="20"/>
          <w:sz w:val="24"/>
        </w:rPr>
        <w:t>附件1.1 电子报名资料清单</w:t>
      </w:r>
    </w:p>
    <w:p w14:paraId="40ED6E76">
      <w:pPr>
        <w:keepNext w:val="0"/>
        <w:keepLines w:val="0"/>
        <w:pageBreakBefore w:val="0"/>
        <w:kinsoku/>
        <w:wordWrap/>
        <w:overflowPunct/>
        <w:topLinePunct w:val="0"/>
        <w:autoSpaceDE/>
        <w:autoSpaceDN/>
        <w:bidi w:val="0"/>
        <w:adjustRightInd/>
        <w:snapToGrid/>
        <w:spacing w:line="360" w:lineRule="auto"/>
        <w:ind w:left="0" w:firstLine="480" w:firstLineChars="200"/>
        <w:textAlignment w:val="auto"/>
        <w:rPr>
          <w:rFonts w:ascii="宋体" w:hAnsi="宋体" w:cs="宋体"/>
          <w:sz w:val="24"/>
          <w:szCs w:val="24"/>
        </w:rPr>
      </w:pPr>
      <w:bookmarkStart w:id="8" w:name="_Hlk155539556"/>
      <w:r>
        <w:rPr>
          <w:rFonts w:hint="eastAsia" w:ascii="宋体" w:hAnsi="宋体" w:cs="宋体"/>
          <w:sz w:val="24"/>
          <w:szCs w:val="24"/>
        </w:rPr>
        <w:t>一、</w:t>
      </w:r>
      <w:r>
        <w:rPr>
          <w:rFonts w:hint="eastAsia" w:ascii="宋体" w:hAnsi="宋体" w:cs="宋体"/>
          <w:bCs/>
          <w:sz w:val="24"/>
          <w:szCs w:val="24"/>
        </w:rPr>
        <w:t>法定代表人授权书、法定代表人及被授权人身份证正、反面复印件（加盖供应商公章）</w:t>
      </w:r>
      <w:r>
        <w:rPr>
          <w:rFonts w:hint="eastAsia" w:ascii="宋体" w:hAnsi="宋体" w:cs="宋体"/>
          <w:sz w:val="24"/>
          <w:szCs w:val="24"/>
        </w:rPr>
        <w:t>。</w:t>
      </w:r>
    </w:p>
    <w:p w14:paraId="1E09310F">
      <w:pPr>
        <w:keepNext w:val="0"/>
        <w:keepLines w:val="0"/>
        <w:pageBreakBefore w:val="0"/>
        <w:kinsoku/>
        <w:wordWrap/>
        <w:overflowPunct/>
        <w:topLinePunct w:val="0"/>
        <w:autoSpaceDE/>
        <w:autoSpaceDN/>
        <w:bidi w:val="0"/>
        <w:adjustRightInd/>
        <w:snapToGrid/>
        <w:spacing w:line="360" w:lineRule="auto"/>
        <w:ind w:left="0" w:firstLine="480" w:firstLineChars="200"/>
        <w:textAlignment w:val="auto"/>
        <w:rPr>
          <w:rFonts w:ascii="宋体" w:hAnsi="宋体" w:cs="宋体"/>
          <w:b/>
          <w:bCs/>
          <w:sz w:val="24"/>
          <w:szCs w:val="24"/>
        </w:rPr>
      </w:pPr>
      <w:bookmarkStart w:id="9" w:name="_Hlk106378549"/>
      <w:r>
        <w:rPr>
          <w:rFonts w:hint="eastAsia" w:ascii="宋体" w:hAnsi="宋体" w:cs="宋体"/>
          <w:sz w:val="24"/>
          <w:szCs w:val="24"/>
        </w:rPr>
        <w:t>二、资格证明文件（以下材料均需加盖公章）</w:t>
      </w:r>
    </w:p>
    <w:p w14:paraId="62D070DD">
      <w:pPr>
        <w:keepNext w:val="0"/>
        <w:keepLines w:val="0"/>
        <w:pageBreakBefore w:val="0"/>
        <w:kinsoku/>
        <w:wordWrap/>
        <w:overflowPunct/>
        <w:topLinePunct w:val="0"/>
        <w:autoSpaceDE/>
        <w:autoSpaceDN/>
        <w:bidi w:val="0"/>
        <w:adjustRightInd/>
        <w:snapToGrid/>
        <w:spacing w:line="360" w:lineRule="auto"/>
        <w:ind w:left="0" w:firstLine="482" w:firstLineChars="200"/>
        <w:textAlignment w:val="auto"/>
        <w:rPr>
          <w:rFonts w:ascii="宋体" w:hAnsi="宋体" w:cs="宋体"/>
          <w:b/>
          <w:bCs/>
          <w:sz w:val="24"/>
          <w:szCs w:val="24"/>
        </w:rPr>
      </w:pPr>
      <w:r>
        <w:rPr>
          <w:rFonts w:hint="eastAsia" w:ascii="宋体" w:hAnsi="宋体" w:cs="宋体"/>
          <w:b/>
          <w:bCs/>
          <w:sz w:val="24"/>
          <w:szCs w:val="24"/>
        </w:rPr>
        <w:t>（一）一般要求：</w:t>
      </w:r>
    </w:p>
    <w:p w14:paraId="60836312">
      <w:pPr>
        <w:keepNext w:val="0"/>
        <w:keepLines w:val="0"/>
        <w:pageBreakBefore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cs="宋体"/>
          <w:sz w:val="24"/>
          <w:szCs w:val="24"/>
        </w:rPr>
      </w:pPr>
      <w:r>
        <w:rPr>
          <w:rFonts w:ascii="宋体" w:hAnsi="宋体" w:cs="宋体"/>
          <w:sz w:val="24"/>
          <w:szCs w:val="24"/>
        </w:rPr>
        <w:t>1</w:t>
      </w:r>
      <w:r>
        <w:rPr>
          <w:rFonts w:hint="eastAsia" w:ascii="宋体" w:hAnsi="宋体" w:cs="宋体"/>
          <w:sz w:val="24"/>
          <w:szCs w:val="24"/>
        </w:rPr>
        <w:t>、</w:t>
      </w:r>
      <w:r>
        <w:rPr>
          <w:rFonts w:hint="eastAsia" w:ascii="宋体" w:hAnsi="宋体" w:cs="宋体"/>
          <w:sz w:val="24"/>
        </w:rPr>
        <w:t>供应商</w:t>
      </w:r>
      <w:r>
        <w:rPr>
          <w:rFonts w:hint="eastAsia" w:ascii="宋体" w:hAnsi="宋体"/>
          <w:sz w:val="24"/>
        </w:rPr>
        <w:t>须具有独立承担民事责任的能力</w:t>
      </w:r>
      <w:r>
        <w:rPr>
          <w:rFonts w:hint="eastAsia" w:ascii="宋体" w:hAnsi="宋体"/>
          <w:b/>
          <w:bCs/>
          <w:sz w:val="24"/>
        </w:rPr>
        <w:t>（提供有效营业执照复印件，非企业性单位提供相应的有效登记证书复印件）。</w:t>
      </w:r>
    </w:p>
    <w:bookmarkEnd w:id="9"/>
    <w:p w14:paraId="6ED50A34">
      <w:pPr>
        <w:keepNext w:val="0"/>
        <w:keepLines w:val="0"/>
        <w:pageBreakBefore w:val="0"/>
        <w:kinsoku/>
        <w:wordWrap/>
        <w:overflowPunct/>
        <w:topLinePunct w:val="0"/>
        <w:autoSpaceDE/>
        <w:autoSpaceDN/>
        <w:bidi w:val="0"/>
        <w:adjustRightInd/>
        <w:snapToGrid/>
        <w:spacing w:line="360" w:lineRule="auto"/>
        <w:ind w:left="0" w:firstLine="482" w:firstLineChars="200"/>
        <w:textAlignment w:val="auto"/>
        <w:rPr>
          <w:rFonts w:ascii="宋体" w:hAnsi="宋体" w:cs="宋体"/>
          <w:b/>
          <w:bCs/>
          <w:sz w:val="24"/>
        </w:rPr>
      </w:pPr>
      <w:r>
        <w:rPr>
          <w:rFonts w:hint="eastAsia" w:ascii="宋体" w:hAnsi="宋体" w:cs="宋体"/>
          <w:b/>
          <w:bCs/>
          <w:sz w:val="24"/>
        </w:rPr>
        <w:t>（二）特别要求：</w:t>
      </w:r>
    </w:p>
    <w:p w14:paraId="5B8DE3B1">
      <w:pPr>
        <w:keepNext w:val="0"/>
        <w:keepLines w:val="0"/>
        <w:pageBreakBefore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kern w:val="0"/>
          <w:sz w:val="24"/>
          <w:szCs w:val="24"/>
          <w:highlight w:val="none"/>
          <w:u w:val="none"/>
          <w:lang w:val="en-US" w:eastAsia="zh-CN"/>
        </w:rPr>
      </w:pPr>
      <w:r>
        <w:rPr>
          <w:rFonts w:hint="eastAsia" w:ascii="宋体" w:hAnsi="宋体" w:eastAsia="宋体" w:cs="宋体"/>
          <w:kern w:val="0"/>
          <w:sz w:val="24"/>
          <w:szCs w:val="24"/>
          <w:highlight w:val="none"/>
          <w:u w:val="none"/>
          <w:lang w:val="en-US" w:eastAsia="zh-CN"/>
        </w:rPr>
        <w:t>1、供应商自2022年1月1日（总价合同以合同签订时间为准；框架协议以有效订单或采购合同时间为准）以来，在国内金融机构或《财富》中国500强机构或中央企业或政府机构或事业单位，具有开源软件治理相关服务案例。</w:t>
      </w:r>
    </w:p>
    <w:p w14:paraId="0EB77BE5">
      <w:pPr>
        <w:keepNext w:val="0"/>
        <w:keepLines w:val="0"/>
        <w:pageBreakBefore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kern w:val="0"/>
          <w:sz w:val="24"/>
          <w:szCs w:val="24"/>
          <w:highlight w:val="none"/>
          <w:u w:val="none"/>
          <w:lang w:val="en-US" w:eastAsia="zh-CN"/>
        </w:rPr>
      </w:pPr>
      <w:r>
        <w:rPr>
          <w:rFonts w:hint="eastAsia" w:ascii="宋体" w:hAnsi="宋体" w:eastAsia="宋体" w:cs="宋体"/>
          <w:kern w:val="0"/>
          <w:sz w:val="24"/>
          <w:szCs w:val="24"/>
          <w:highlight w:val="none"/>
          <w:u w:val="none"/>
          <w:lang w:val="en-US" w:eastAsia="zh-CN"/>
        </w:rPr>
        <w:t>注：</w:t>
      </w:r>
    </w:p>
    <w:p w14:paraId="620E04E8">
      <w:pPr>
        <w:keepNext w:val="0"/>
        <w:keepLines w:val="0"/>
        <w:pageBreakBefore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kern w:val="0"/>
          <w:sz w:val="24"/>
          <w:szCs w:val="24"/>
          <w:highlight w:val="none"/>
          <w:u w:val="none"/>
          <w:lang w:val="en-US" w:eastAsia="zh-CN"/>
        </w:rPr>
      </w:pPr>
      <w:r>
        <w:rPr>
          <w:rFonts w:hint="eastAsia" w:ascii="宋体" w:hAnsi="宋体" w:eastAsia="宋体" w:cs="宋体"/>
          <w:kern w:val="0"/>
          <w:sz w:val="24"/>
          <w:szCs w:val="24"/>
          <w:highlight w:val="none"/>
          <w:u w:val="none"/>
          <w:lang w:val="en-US" w:eastAsia="zh-CN"/>
        </w:rPr>
        <w:t>1）《财富》中国500强机构参照2025年《财富》中国500强榜单；</w:t>
      </w:r>
    </w:p>
    <w:p w14:paraId="6072066F">
      <w:pPr>
        <w:keepNext w:val="0"/>
        <w:keepLines w:val="0"/>
        <w:pageBreakBefore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kern w:val="0"/>
          <w:sz w:val="24"/>
          <w:szCs w:val="24"/>
          <w:highlight w:val="none"/>
          <w:u w:val="none"/>
          <w:lang w:val="en-US" w:eastAsia="zh-CN"/>
        </w:rPr>
      </w:pPr>
      <w:r>
        <w:rPr>
          <w:rFonts w:hint="eastAsia" w:ascii="宋体" w:hAnsi="宋体" w:eastAsia="宋体" w:cs="宋体"/>
          <w:kern w:val="0"/>
          <w:sz w:val="24"/>
          <w:szCs w:val="24"/>
          <w:highlight w:val="none"/>
          <w:u w:val="none"/>
          <w:lang w:val="en-US" w:eastAsia="zh-CN"/>
        </w:rPr>
        <w:t>2）中央企业参照国务院国有资产监督管理委员会官网公布央企名录；</w:t>
      </w:r>
    </w:p>
    <w:p w14:paraId="10313316">
      <w:pPr>
        <w:keepNext w:val="0"/>
        <w:keepLines w:val="0"/>
        <w:pageBreakBefore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kern w:val="0"/>
          <w:sz w:val="24"/>
          <w:szCs w:val="24"/>
          <w:highlight w:val="none"/>
          <w:u w:val="none"/>
          <w:lang w:val="en-US" w:eastAsia="zh-CN"/>
        </w:rPr>
      </w:pPr>
      <w:r>
        <w:rPr>
          <w:rFonts w:hint="eastAsia" w:ascii="宋体" w:hAnsi="宋体" w:eastAsia="宋体" w:cs="宋体"/>
          <w:kern w:val="0"/>
          <w:sz w:val="24"/>
          <w:szCs w:val="24"/>
          <w:highlight w:val="none"/>
          <w:u w:val="none"/>
          <w:lang w:val="en-US" w:eastAsia="zh-CN"/>
        </w:rPr>
        <w:t>3）国内金融机构或《财富》中国500强机构或中央企业三类机构的下属分支机构（分行/分公司）或其持股50%及以上的下一级子公司及其分公司均属于“上述单位”的范畴；</w:t>
      </w:r>
    </w:p>
    <w:p w14:paraId="3C28C650">
      <w:pPr>
        <w:keepNext w:val="0"/>
        <w:keepLines w:val="0"/>
        <w:pageBreakBefore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kern w:val="0"/>
          <w:sz w:val="24"/>
          <w:szCs w:val="24"/>
          <w:highlight w:val="none"/>
          <w:u w:val="none"/>
          <w:lang w:val="en-US" w:eastAsia="zh-CN"/>
        </w:rPr>
      </w:pPr>
      <w:r>
        <w:rPr>
          <w:rFonts w:hint="eastAsia" w:ascii="宋体" w:hAnsi="宋体" w:eastAsia="宋体" w:cs="宋体"/>
          <w:kern w:val="0"/>
          <w:sz w:val="24"/>
          <w:szCs w:val="24"/>
          <w:highlight w:val="none"/>
          <w:u w:val="none"/>
          <w:lang w:val="en-US" w:eastAsia="zh-CN"/>
        </w:rPr>
        <w:t>4）案例证明材料：如果为总价合同，需提供上述单位与供应商直接签署的合同复印件（包括但不限于合同首页、采购内容页、签订时间及签章页）。如果为非总价的框架协议，需提供上述单位与供应商直接签署的框架协议复印件（包括但不限于框架协议的首页、采购内容页、协议期限、签订时间及签章页）+框架协议下的有效订单凭证或采购合同复印件（需体现时间）。</w:t>
      </w:r>
    </w:p>
    <w:bookmarkEnd w:id="8"/>
    <w:p w14:paraId="724B75D5">
      <w:pPr>
        <w:keepNext w:val="0"/>
        <w:keepLines w:val="0"/>
        <w:pageBreakBefore w:val="0"/>
        <w:kinsoku/>
        <w:wordWrap/>
        <w:overflowPunct/>
        <w:topLinePunct w:val="0"/>
        <w:autoSpaceDE/>
        <w:autoSpaceDN/>
        <w:bidi w:val="0"/>
        <w:adjustRightInd/>
        <w:snapToGrid/>
        <w:spacing w:line="360" w:lineRule="auto"/>
        <w:ind w:left="0" w:firstLine="482" w:firstLineChars="200"/>
        <w:textAlignment w:val="auto"/>
        <w:rPr>
          <w:rFonts w:ascii="宋体" w:hAnsi="宋体" w:cs="宋体"/>
          <w:b/>
          <w:bCs/>
          <w:sz w:val="24"/>
        </w:rPr>
      </w:pPr>
      <w:r>
        <w:rPr>
          <w:rFonts w:hint="eastAsia" w:ascii="宋体" w:hAnsi="宋体" w:cs="宋体"/>
          <w:b/>
          <w:bCs/>
          <w:sz w:val="24"/>
        </w:rPr>
        <w:t>三、相关承诺内容（格式见附件1</w:t>
      </w:r>
      <w:r>
        <w:rPr>
          <w:rFonts w:ascii="宋体" w:hAnsi="宋体" w:cs="宋体"/>
          <w:b/>
          <w:bCs/>
          <w:sz w:val="24"/>
        </w:rPr>
        <w:t>.2</w:t>
      </w:r>
      <w:r>
        <w:rPr>
          <w:rFonts w:hint="eastAsia" w:ascii="宋体" w:hAnsi="宋体" w:cs="宋体"/>
          <w:b/>
          <w:bCs/>
          <w:sz w:val="24"/>
        </w:rPr>
        <w:t>）</w:t>
      </w:r>
    </w:p>
    <w:p w14:paraId="234B4140">
      <w:pPr>
        <w:keepNext w:val="0"/>
        <w:keepLines w:val="0"/>
        <w:pageBreakBefore w:val="0"/>
        <w:kinsoku/>
        <w:wordWrap/>
        <w:overflowPunct/>
        <w:topLinePunct w:val="0"/>
        <w:autoSpaceDE/>
        <w:autoSpaceDN/>
        <w:bidi w:val="0"/>
        <w:adjustRightInd/>
        <w:snapToGrid/>
        <w:spacing w:line="360" w:lineRule="auto"/>
        <w:ind w:left="0" w:firstLine="480" w:firstLineChars="200"/>
        <w:textAlignment w:val="auto"/>
        <w:rPr>
          <w:rFonts w:ascii="宋体" w:hAnsi="宋体" w:cs="宋体"/>
          <w:sz w:val="24"/>
          <w:szCs w:val="24"/>
        </w:rPr>
      </w:pPr>
    </w:p>
    <w:p w14:paraId="5AAFDA5B">
      <w:pPr>
        <w:keepNext w:val="0"/>
        <w:keepLines w:val="0"/>
        <w:pageBreakBefore w:val="0"/>
        <w:kinsoku/>
        <w:wordWrap/>
        <w:overflowPunct/>
        <w:topLinePunct w:val="0"/>
        <w:autoSpaceDE/>
        <w:autoSpaceDN/>
        <w:bidi w:val="0"/>
        <w:adjustRightInd/>
        <w:snapToGrid/>
        <w:spacing w:line="360" w:lineRule="auto"/>
        <w:ind w:left="0" w:firstLine="482" w:firstLineChars="200"/>
        <w:textAlignment w:val="auto"/>
        <w:rPr>
          <w:rFonts w:hint="eastAsia" w:ascii="宋体" w:hAnsi="宋体" w:cs="宋体"/>
          <w:b/>
          <w:bCs/>
          <w:sz w:val="24"/>
          <w:szCs w:val="24"/>
        </w:rPr>
      </w:pPr>
      <w:r>
        <w:rPr>
          <w:rFonts w:hint="eastAsia" w:ascii="宋体" w:hAnsi="宋体" w:cs="宋体"/>
          <w:b/>
          <w:bCs/>
          <w:sz w:val="24"/>
          <w:szCs w:val="24"/>
        </w:rPr>
        <w:t>注：</w:t>
      </w:r>
    </w:p>
    <w:p w14:paraId="656AAD10">
      <w:pPr>
        <w:keepNext w:val="0"/>
        <w:keepLines w:val="0"/>
        <w:pageBreakBefore w:val="0"/>
        <w:kinsoku/>
        <w:wordWrap/>
        <w:overflowPunct/>
        <w:topLinePunct w:val="0"/>
        <w:autoSpaceDE/>
        <w:autoSpaceDN/>
        <w:bidi w:val="0"/>
        <w:adjustRightInd/>
        <w:snapToGrid/>
        <w:spacing w:line="360" w:lineRule="auto"/>
        <w:ind w:left="0" w:firstLine="480" w:firstLineChars="200"/>
        <w:textAlignment w:val="auto"/>
        <w:rPr>
          <w:rFonts w:ascii="宋体" w:hAnsi="宋体" w:cs="宋体"/>
          <w:sz w:val="24"/>
          <w:szCs w:val="24"/>
        </w:rPr>
      </w:pPr>
      <w:r>
        <w:rPr>
          <w:rFonts w:hint="eastAsia" w:ascii="宋体" w:hAnsi="宋体" w:cs="宋体"/>
          <w:sz w:val="24"/>
          <w:szCs w:val="24"/>
        </w:rPr>
        <w:t>1、供应商须对报名信息和资料的真实性负责，如提供虚假材料，将被列入交通银行供应商黑名单，不得参与交通银行采购项目。</w:t>
      </w:r>
    </w:p>
    <w:p w14:paraId="5097B34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szCs w:val="24"/>
        </w:rPr>
      </w:pPr>
      <w:r>
        <w:rPr>
          <w:rFonts w:hint="eastAsia" w:ascii="宋体" w:hAnsi="宋体" w:cs="宋体"/>
          <w:sz w:val="24"/>
          <w:szCs w:val="24"/>
        </w:rPr>
        <w:t>2、收到的所有材料视为不涉密材料，所有资料恕不退还。</w:t>
      </w:r>
    </w:p>
    <w:p w14:paraId="3DE58518">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szCs w:val="24"/>
        </w:rPr>
      </w:pPr>
      <w:r>
        <w:rPr>
          <w:rFonts w:hint="eastAsia" w:ascii="宋体" w:hAnsi="宋体" w:cs="宋体"/>
          <w:sz w:val="24"/>
          <w:szCs w:val="24"/>
        </w:rPr>
        <w:t>3、报名资料发送地址：1989999515@qq.com。邮件标题格式为：公司全名+XX项目。</w:t>
      </w:r>
    </w:p>
    <w:p w14:paraId="5CD644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rPr>
      </w:pPr>
      <w:bookmarkStart w:id="10" w:name="_Hlk155539628"/>
      <w:r>
        <w:rPr>
          <w:rFonts w:hint="eastAsia" w:ascii="宋体" w:hAnsi="宋体" w:cs="宋体"/>
          <w:sz w:val="24"/>
          <w:szCs w:val="24"/>
        </w:rPr>
        <w:t>4、电子版报名资料（含附件）须按清单顺序提供、汇总后</w:t>
      </w:r>
      <w:r>
        <w:rPr>
          <w:rFonts w:ascii="宋体" w:hAnsi="宋体" w:cs="宋体"/>
          <w:sz w:val="24"/>
          <w:szCs w:val="24"/>
        </w:rPr>
        <w:t>按照</w:t>
      </w:r>
      <w:r>
        <w:rPr>
          <w:rFonts w:hint="eastAsia" w:ascii="宋体" w:hAnsi="宋体" w:cs="宋体"/>
          <w:sz w:val="24"/>
          <w:szCs w:val="24"/>
        </w:rPr>
        <w:t>一家供应商一个文件夹的方式整理，文件夹命名为供应商的全名。对于递交资料不全的，资料内容缺失的，或未</w:t>
      </w:r>
      <w:r>
        <w:rPr>
          <w:rFonts w:ascii="宋体" w:hAnsi="宋体" w:cs="宋体"/>
          <w:sz w:val="24"/>
          <w:szCs w:val="24"/>
        </w:rPr>
        <w:t>按要求加盖公章</w:t>
      </w:r>
      <w:r>
        <w:rPr>
          <w:rFonts w:hint="eastAsia" w:ascii="宋体" w:hAnsi="宋体" w:cs="宋体"/>
          <w:sz w:val="24"/>
          <w:szCs w:val="24"/>
        </w:rPr>
        <w:t>及法定代表人或被授权人签字（签章）</w:t>
      </w:r>
      <w:r>
        <w:rPr>
          <w:rFonts w:ascii="宋体" w:hAnsi="宋体" w:cs="宋体"/>
          <w:sz w:val="24"/>
          <w:szCs w:val="24"/>
        </w:rPr>
        <w:t>的</w:t>
      </w:r>
      <w:r>
        <w:rPr>
          <w:rFonts w:hint="eastAsia" w:ascii="宋体" w:hAnsi="宋体" w:cs="宋体"/>
          <w:sz w:val="24"/>
          <w:szCs w:val="24"/>
        </w:rPr>
        <w:t>，均</w:t>
      </w:r>
      <w:r>
        <w:rPr>
          <w:rFonts w:ascii="宋体" w:hAnsi="宋体" w:cs="宋体"/>
          <w:sz w:val="24"/>
          <w:szCs w:val="24"/>
        </w:rPr>
        <w:t>视为</w:t>
      </w:r>
      <w:r>
        <w:rPr>
          <w:rFonts w:hint="eastAsia" w:ascii="宋体" w:hAnsi="宋体" w:cs="宋体"/>
          <w:sz w:val="24"/>
          <w:szCs w:val="24"/>
        </w:rPr>
        <w:t>报名资料缺漏，将拒绝接受其报名。</w:t>
      </w:r>
      <w:bookmarkEnd w:id="10"/>
    </w:p>
    <w:p w14:paraId="462522AF">
      <w:pPr>
        <w:pStyle w:val="2"/>
      </w:pPr>
    </w:p>
    <w:p w14:paraId="4466948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rPr>
        <w:sectPr>
          <w:footerReference r:id="rId3" w:type="default"/>
          <w:footerReference r:id="rId4" w:type="even"/>
          <w:pgSz w:w="11906" w:h="16838"/>
          <w:pgMar w:top="1440" w:right="1474" w:bottom="1440" w:left="1587" w:header="851" w:footer="992" w:gutter="0"/>
          <w:cols w:space="720" w:num="1"/>
          <w:docGrid w:type="lines" w:linePitch="312" w:charSpace="0"/>
        </w:sectPr>
      </w:pPr>
    </w:p>
    <w:p w14:paraId="00B4275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b/>
          <w:spacing w:val="20"/>
          <w:sz w:val="24"/>
        </w:rPr>
      </w:pPr>
      <w:r>
        <w:rPr>
          <w:rFonts w:hint="eastAsia" w:ascii="宋体" w:hAnsi="宋体"/>
          <w:b/>
          <w:spacing w:val="20"/>
          <w:sz w:val="24"/>
        </w:rPr>
        <w:t>附件1.2 相关承诺</w:t>
      </w:r>
    </w:p>
    <w:p w14:paraId="2602A44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spacing w:val="20"/>
          <w:sz w:val="28"/>
          <w:szCs w:val="28"/>
        </w:rPr>
      </w:pPr>
      <w:r>
        <w:rPr>
          <w:rFonts w:hint="eastAsia"/>
          <w:b/>
          <w:bCs/>
          <w:spacing w:val="20"/>
          <w:sz w:val="28"/>
          <w:szCs w:val="28"/>
          <w:lang w:val="en-US" w:eastAsia="zh-CN"/>
        </w:rPr>
        <w:t>供应商</w:t>
      </w:r>
      <w:r>
        <w:rPr>
          <w:rFonts w:hint="eastAsia"/>
          <w:b/>
          <w:bCs/>
          <w:spacing w:val="20"/>
          <w:sz w:val="28"/>
          <w:szCs w:val="28"/>
        </w:rPr>
        <w:t>承诺函</w:t>
      </w:r>
    </w:p>
    <w:p w14:paraId="55235177">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sz w:val="24"/>
        </w:rPr>
      </w:pPr>
    </w:p>
    <w:p w14:paraId="7A25B209">
      <w:pPr>
        <w:pStyle w:val="2"/>
        <w:keepNext w:val="0"/>
        <w:keepLines w:val="0"/>
        <w:pageBreakBefore w:val="0"/>
        <w:widowControl w:val="0"/>
        <w:kinsoku/>
        <w:wordWrap/>
        <w:overflowPunct/>
        <w:topLinePunct w:val="0"/>
        <w:autoSpaceDE/>
        <w:autoSpaceDN/>
        <w:bidi w:val="0"/>
        <w:adjustRightInd/>
        <w:snapToGrid/>
        <w:spacing w:after="0" w:line="360" w:lineRule="auto"/>
        <w:textAlignment w:val="auto"/>
        <w:rPr>
          <w:sz w:val="24"/>
        </w:rPr>
      </w:pPr>
      <w:r>
        <w:rPr>
          <w:rFonts w:hint="eastAsia"/>
          <w:sz w:val="24"/>
        </w:rPr>
        <w:t>交通银行股份有限公司：</w:t>
      </w:r>
    </w:p>
    <w:p w14:paraId="53650B2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宋体" w:hAnsi="宋体"/>
          <w:sz w:val="24"/>
        </w:rPr>
      </w:pPr>
      <w:r>
        <w:rPr>
          <w:rFonts w:hint="eastAsia" w:ascii="宋体" w:hAnsi="宋体"/>
          <w:sz w:val="24"/>
        </w:rPr>
        <w:t>我方参与贵行的</w:t>
      </w:r>
      <w:r>
        <w:rPr>
          <w:rFonts w:hint="eastAsia" w:ascii="宋体" w:hAnsi="宋体"/>
          <w:sz w:val="24"/>
          <w:lang w:eastAsia="zh-CN"/>
        </w:rPr>
        <w:t>交通银行开源软件治理能力成熟度评级辅导项目</w:t>
      </w:r>
      <w:r>
        <w:rPr>
          <w:rFonts w:hint="eastAsia" w:ascii="宋体" w:hAnsi="宋体"/>
          <w:sz w:val="24"/>
        </w:rPr>
        <w:t>（</w:t>
      </w:r>
      <w:bookmarkStart w:id="11" w:name="_Hlk149155271"/>
      <w:r>
        <w:rPr>
          <w:rFonts w:hint="eastAsia" w:ascii="宋体" w:hAnsi="宋体" w:cs="宋体"/>
          <w:sz w:val="24"/>
        </w:rPr>
        <w:t>项目编号：</w:t>
      </w:r>
      <w:r>
        <w:rPr>
          <w:rFonts w:hint="eastAsia" w:ascii="宋体" w:hAnsi="宋体" w:cs="宋体"/>
          <w:sz w:val="24"/>
          <w:szCs w:val="24"/>
          <w:lang w:eastAsia="zh-CN"/>
        </w:rPr>
        <w:t>GXCZ-C-251520170</w:t>
      </w:r>
      <w:r>
        <w:rPr>
          <w:rFonts w:hint="eastAsia" w:ascii="宋体" w:hAnsi="宋体" w:cs="宋体"/>
          <w:sz w:val="24"/>
        </w:rPr>
        <w:t>；交通银行编号：</w:t>
      </w:r>
      <w:bookmarkEnd w:id="11"/>
      <w:r>
        <w:rPr>
          <w:rFonts w:hint="eastAsia" w:ascii="宋体" w:hAnsi="宋体" w:cs="宋体"/>
          <w:sz w:val="24"/>
          <w:lang w:eastAsia="zh-CN"/>
        </w:rPr>
        <w:t>CGXM31599925080014</w:t>
      </w:r>
      <w:r>
        <w:rPr>
          <w:rFonts w:hint="eastAsia" w:ascii="宋体" w:hAnsi="宋体"/>
          <w:sz w:val="24"/>
        </w:rPr>
        <w:t>），特做如下承诺：</w:t>
      </w:r>
    </w:p>
    <w:p w14:paraId="280AD4AF">
      <w:pPr>
        <w:pStyle w:val="2"/>
        <w:keepNext w:val="0"/>
        <w:keepLines w:val="0"/>
        <w:pageBreakBefore w:val="0"/>
        <w:widowControl w:val="0"/>
        <w:numPr>
          <w:ilvl w:val="0"/>
          <w:numId w:val="1"/>
        </w:numPr>
        <w:kinsoku/>
        <w:wordWrap/>
        <w:overflowPunct/>
        <w:topLinePunct w:val="0"/>
        <w:autoSpaceDE/>
        <w:autoSpaceDN/>
        <w:bidi w:val="0"/>
        <w:adjustRightInd/>
        <w:snapToGrid/>
        <w:spacing w:after="0" w:line="360" w:lineRule="auto"/>
        <w:ind w:firstLine="480" w:firstLineChars="200"/>
        <w:jc w:val="both"/>
        <w:textAlignment w:val="auto"/>
        <w:rPr>
          <w:rFonts w:ascii="宋体" w:hAnsi="宋体" w:cs="宋体"/>
          <w:sz w:val="24"/>
        </w:rPr>
      </w:pPr>
      <w:r>
        <w:rPr>
          <w:rFonts w:hint="eastAsia" w:ascii="宋体" w:hAnsi="宋体"/>
          <w:sz w:val="24"/>
        </w:rPr>
        <w:t>我方具有独立承担民事责任的能力。</w:t>
      </w:r>
    </w:p>
    <w:p w14:paraId="739EA524">
      <w:pPr>
        <w:pStyle w:val="2"/>
        <w:keepNext w:val="0"/>
        <w:keepLines w:val="0"/>
        <w:pageBreakBefore w:val="0"/>
        <w:widowControl w:val="0"/>
        <w:numPr>
          <w:ilvl w:val="0"/>
          <w:numId w:val="1"/>
        </w:numPr>
        <w:kinsoku/>
        <w:wordWrap/>
        <w:overflowPunct/>
        <w:topLinePunct w:val="0"/>
        <w:autoSpaceDE/>
        <w:autoSpaceDN/>
        <w:bidi w:val="0"/>
        <w:adjustRightInd/>
        <w:snapToGrid/>
        <w:spacing w:after="0" w:line="360" w:lineRule="auto"/>
        <w:ind w:firstLine="480" w:firstLineChars="200"/>
        <w:jc w:val="both"/>
        <w:textAlignment w:val="auto"/>
        <w:rPr>
          <w:rFonts w:ascii="宋体" w:hAnsi="宋体" w:cs="宋体"/>
          <w:sz w:val="24"/>
        </w:rPr>
      </w:pPr>
      <w:r>
        <w:rPr>
          <w:rFonts w:hint="eastAsia" w:ascii="宋体" w:hAnsi="宋体" w:cs="宋体"/>
          <w:sz w:val="24"/>
          <w:szCs w:val="24"/>
        </w:rPr>
        <w:t>我方具有良好的商业信誉</w:t>
      </w:r>
      <w:r>
        <w:rPr>
          <w:rFonts w:hint="eastAsia" w:ascii="宋体" w:hAnsi="宋体" w:cs="宋体"/>
          <w:sz w:val="24"/>
        </w:rPr>
        <w:t>，</w:t>
      </w:r>
      <w:r>
        <w:rPr>
          <w:rFonts w:hint="eastAsia" w:ascii="宋体" w:hAnsi="宋体" w:cs="宋体"/>
          <w:sz w:val="24"/>
          <w:szCs w:val="24"/>
        </w:rPr>
        <w:t>当前未被列入交通银行供应商黑名单（指被交通银行作禁用或退库处理的供应商名单）</w:t>
      </w:r>
      <w:r>
        <w:rPr>
          <w:rFonts w:hint="eastAsia" w:ascii="宋体" w:hAnsi="宋体" w:cs="宋体"/>
          <w:sz w:val="24"/>
        </w:rPr>
        <w:t>。</w:t>
      </w:r>
    </w:p>
    <w:p w14:paraId="6D0272A5">
      <w:pPr>
        <w:pStyle w:val="2"/>
        <w:keepNext w:val="0"/>
        <w:keepLines w:val="0"/>
        <w:pageBreakBefore w:val="0"/>
        <w:widowControl w:val="0"/>
        <w:numPr>
          <w:ilvl w:val="0"/>
          <w:numId w:val="1"/>
        </w:numPr>
        <w:kinsoku/>
        <w:wordWrap/>
        <w:overflowPunct/>
        <w:topLinePunct w:val="0"/>
        <w:autoSpaceDE/>
        <w:autoSpaceDN/>
        <w:bidi w:val="0"/>
        <w:adjustRightInd/>
        <w:snapToGrid/>
        <w:spacing w:after="0" w:line="360" w:lineRule="auto"/>
        <w:ind w:firstLine="480" w:firstLineChars="200"/>
        <w:jc w:val="both"/>
        <w:textAlignment w:val="auto"/>
        <w:rPr>
          <w:rFonts w:ascii="宋体" w:hAnsi="宋体" w:cs="宋体"/>
          <w:sz w:val="24"/>
        </w:rPr>
      </w:pPr>
      <w:r>
        <w:rPr>
          <w:rFonts w:hint="eastAsia" w:ascii="宋体" w:hAnsi="宋体"/>
          <w:sz w:val="24"/>
        </w:rPr>
        <w:t>我方</w:t>
      </w:r>
      <w:r>
        <w:rPr>
          <w:rFonts w:hint="eastAsia" w:ascii="宋体" w:hAnsi="宋体" w:cs="宋体"/>
          <w:sz w:val="24"/>
        </w:rPr>
        <w:t>在法律和财务上独立、合法运作并独立于采购人和采购代理机构。</w:t>
      </w:r>
    </w:p>
    <w:p w14:paraId="06EF4580">
      <w:pPr>
        <w:pStyle w:val="2"/>
        <w:keepNext w:val="0"/>
        <w:keepLines w:val="0"/>
        <w:pageBreakBefore w:val="0"/>
        <w:widowControl w:val="0"/>
        <w:numPr>
          <w:ilvl w:val="0"/>
          <w:numId w:val="1"/>
        </w:numPr>
        <w:kinsoku/>
        <w:wordWrap/>
        <w:overflowPunct/>
        <w:topLinePunct w:val="0"/>
        <w:autoSpaceDE/>
        <w:autoSpaceDN/>
        <w:bidi w:val="0"/>
        <w:adjustRightInd/>
        <w:snapToGrid/>
        <w:spacing w:after="0" w:line="360" w:lineRule="auto"/>
        <w:ind w:firstLine="480" w:firstLineChars="200"/>
        <w:jc w:val="both"/>
        <w:textAlignment w:val="auto"/>
        <w:rPr>
          <w:rFonts w:ascii="宋体" w:hAnsi="宋体" w:cs="宋体"/>
          <w:sz w:val="24"/>
        </w:rPr>
      </w:pPr>
      <w:r>
        <w:rPr>
          <w:rFonts w:hint="eastAsia" w:ascii="宋体" w:hAnsi="宋体"/>
          <w:sz w:val="24"/>
        </w:rPr>
        <w:t>我方承诺：采购人在其本国使用我方提供的货物或服务时</w:t>
      </w:r>
      <w:r>
        <w:rPr>
          <w:rFonts w:ascii="宋体" w:hAnsi="宋体"/>
          <w:sz w:val="24"/>
        </w:rPr>
        <w:t>，</w:t>
      </w:r>
      <w:r>
        <w:rPr>
          <w:rFonts w:hint="eastAsia" w:ascii="宋体" w:hAnsi="宋体"/>
          <w:sz w:val="24"/>
        </w:rPr>
        <w:t>不存在任何已知的不合法的情形，也不存在任何已知的与第三方专利权、著作权、商标权或工业设计权相关的任何争议。如果有任何因采购人使用我方提供的货物或服务而提起的侵权指控，我方将依法承担全部责任。</w:t>
      </w:r>
    </w:p>
    <w:p w14:paraId="14C6364F">
      <w:pPr>
        <w:pStyle w:val="2"/>
        <w:keepNext w:val="0"/>
        <w:keepLines w:val="0"/>
        <w:pageBreakBefore w:val="0"/>
        <w:widowControl w:val="0"/>
        <w:numPr>
          <w:ilvl w:val="0"/>
          <w:numId w:val="1"/>
        </w:numPr>
        <w:kinsoku/>
        <w:wordWrap/>
        <w:overflowPunct/>
        <w:topLinePunct w:val="0"/>
        <w:autoSpaceDE/>
        <w:autoSpaceDN/>
        <w:bidi w:val="0"/>
        <w:adjustRightInd/>
        <w:snapToGrid/>
        <w:spacing w:after="0" w:line="360" w:lineRule="auto"/>
        <w:ind w:firstLine="480" w:firstLineChars="200"/>
        <w:jc w:val="both"/>
        <w:textAlignment w:val="auto"/>
        <w:rPr>
          <w:rFonts w:hint="eastAsia" w:ascii="宋体" w:hAnsi="宋体" w:cs="宋体"/>
          <w:sz w:val="24"/>
        </w:rPr>
      </w:pPr>
      <w:r>
        <w:rPr>
          <w:rFonts w:hint="eastAsia" w:ascii="宋体" w:hAnsi="宋体"/>
          <w:sz w:val="24"/>
        </w:rPr>
        <w:t>我方承诺</w:t>
      </w:r>
      <w:r>
        <w:rPr>
          <w:rFonts w:hint="eastAsia" w:ascii="宋体" w:hAnsi="宋体" w:cs="宋体"/>
          <w:sz w:val="24"/>
        </w:rPr>
        <w:t>不将本项目采购内容以任何方式进行转包、分包。</w:t>
      </w:r>
    </w:p>
    <w:p w14:paraId="35167AA2">
      <w:pPr>
        <w:pStyle w:val="2"/>
        <w:keepNext w:val="0"/>
        <w:keepLines w:val="0"/>
        <w:pageBreakBefore w:val="0"/>
        <w:widowControl w:val="0"/>
        <w:numPr>
          <w:ilvl w:val="0"/>
          <w:numId w:val="1"/>
        </w:numPr>
        <w:kinsoku/>
        <w:wordWrap/>
        <w:overflowPunct/>
        <w:topLinePunct w:val="0"/>
        <w:autoSpaceDE/>
        <w:autoSpaceDN/>
        <w:bidi w:val="0"/>
        <w:adjustRightInd/>
        <w:snapToGrid/>
        <w:spacing w:after="0" w:line="360" w:lineRule="auto"/>
        <w:ind w:firstLine="480" w:firstLineChars="200"/>
        <w:jc w:val="both"/>
        <w:textAlignment w:val="auto"/>
        <w:rPr>
          <w:rFonts w:ascii="宋体" w:hAnsi="宋体" w:cs="宋体"/>
          <w:sz w:val="24"/>
        </w:rPr>
      </w:pPr>
      <w:r>
        <w:rPr>
          <w:rFonts w:hint="eastAsia" w:ascii="宋体" w:hAnsi="宋体"/>
          <w:sz w:val="24"/>
          <w:szCs w:val="20"/>
        </w:rPr>
        <w:t>我方知晓，法定代表人为同一个人的两个及两个以上法人，母公司与全资子公司/由其控股的子公司，不得同时参与本项目。我方声明，我方在本次采购中不存在上述情况，最终由评审委员会判定。</w:t>
      </w:r>
    </w:p>
    <w:p w14:paraId="015D64E0">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jc w:val="both"/>
        <w:textAlignment w:val="auto"/>
        <w:rPr>
          <w:rFonts w:hint="eastAsia" w:ascii="宋体" w:hAnsi="宋体" w:eastAsia="宋体" w:cs="Times New Roman"/>
          <w:sz w:val="24"/>
          <w:szCs w:val="20"/>
          <w:lang w:val="en-US" w:eastAsia="zh-CN"/>
        </w:rPr>
      </w:pPr>
    </w:p>
    <w:p w14:paraId="2471309B">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ascii="宋体" w:hAnsi="宋体" w:cs="宋体"/>
          <w:sz w:val="24"/>
        </w:rPr>
      </w:pPr>
    </w:p>
    <w:p w14:paraId="20934DB2">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ascii="宋体" w:hAnsi="宋体"/>
          <w:sz w:val="24"/>
        </w:rPr>
      </w:pPr>
      <w:r>
        <w:rPr>
          <w:rFonts w:hint="eastAsia" w:ascii="宋体" w:hAnsi="宋体"/>
          <w:sz w:val="24"/>
        </w:rPr>
        <w:t>特此承诺！</w:t>
      </w:r>
    </w:p>
    <w:p w14:paraId="1C89737C">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ascii="宋体" w:hAnsi="宋体"/>
          <w:sz w:val="24"/>
        </w:rPr>
      </w:pPr>
    </w:p>
    <w:p w14:paraId="5B6149C6">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ascii="宋体" w:hAnsi="宋体"/>
          <w:sz w:val="24"/>
        </w:rPr>
      </w:pPr>
      <w:r>
        <w:rPr>
          <w:rFonts w:hint="eastAsia" w:ascii="宋体" w:hAnsi="宋体"/>
          <w:sz w:val="24"/>
        </w:rPr>
        <w:t>供应商名称：（公章）</w:t>
      </w:r>
    </w:p>
    <w:p w14:paraId="31E1E9A5">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ascii="宋体" w:hAnsi="宋体"/>
          <w:sz w:val="24"/>
        </w:rPr>
      </w:pPr>
      <w:r>
        <w:rPr>
          <w:rFonts w:ascii="宋体" w:hAnsi="宋体"/>
          <w:sz w:val="24"/>
        </w:rPr>
        <w:t>日期：</w:t>
      </w:r>
      <w:bookmarkEnd w:id="1"/>
    </w:p>
    <w:p w14:paraId="52AF16F7">
      <w:pPr>
        <w:pStyle w:val="2"/>
        <w:keepNext w:val="0"/>
        <w:keepLines w:val="0"/>
        <w:pageBreakBefore w:val="0"/>
        <w:widowControl w:val="0"/>
        <w:kinsoku/>
        <w:wordWrap/>
        <w:overflowPunct/>
        <w:topLinePunct w:val="0"/>
        <w:autoSpaceDE/>
        <w:autoSpaceDN/>
        <w:bidi w:val="0"/>
        <w:adjustRightInd/>
        <w:snapToGrid/>
        <w:spacing w:after="0" w:line="360" w:lineRule="auto"/>
        <w:ind w:right="0" w:firstLine="420" w:firstLineChars="200"/>
        <w:jc w:val="both"/>
        <w:textAlignment w:val="auto"/>
      </w:pPr>
    </w:p>
    <w:p w14:paraId="23107705">
      <w:bookmarkStart w:id="12" w:name="_GoBack"/>
      <w:bookmarkEnd w:id="12"/>
    </w:p>
    <w:sectPr>
      <w:footerReference r:id="rId5" w:type="default"/>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C4D80">
    <w:pPr>
      <w:pStyle w:val="6"/>
      <w:jc w:val="center"/>
    </w:pPr>
    <w:r>
      <w:fldChar w:fldCharType="begin"/>
    </w:r>
    <w:r>
      <w:instrText xml:space="preserve">PAGE   \* MERGEFORMAT</w:instrText>
    </w:r>
    <w:r>
      <w:fldChar w:fldCharType="separate"/>
    </w:r>
    <w:r>
      <w:rPr>
        <w:lang w:val="zh-CN"/>
      </w:rPr>
      <w:t>7</w:t>
    </w:r>
    <w:r>
      <w:rPr>
        <w:lang w:val="zh-CN"/>
      </w:rPr>
      <w:fldChar w:fldCharType="end"/>
    </w:r>
  </w:p>
  <w:p w14:paraId="7F867B21">
    <w:pPr>
      <w:pStyle w:val="6"/>
      <w:wordWrap w:val="0"/>
      <w:jc w:val="right"/>
      <w:rPr>
        <w:rFonts w:asci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256F55">
    <w:pPr>
      <w:pStyle w:val="6"/>
      <w:rPr>
        <w:rFonts w:ascii="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PAGE   \* MERGEFORMAT</w:instrText>
    </w:r>
    <w:r>
      <w:rPr>
        <w:rFonts w:ascii="宋体" w:hAnsi="宋体" w:cs="宋体"/>
        <w:sz w:val="28"/>
        <w:szCs w:val="28"/>
      </w:rPr>
      <w:fldChar w:fldCharType="separate"/>
    </w:r>
    <w:r>
      <w:rPr>
        <w:rFonts w:ascii="宋体" w:hAnsi="宋体" w:cs="宋体"/>
        <w:sz w:val="28"/>
        <w:szCs w:val="28"/>
        <w:lang w:val="zh-CN"/>
      </w:rPr>
      <w:t>6</w:t>
    </w:r>
    <w:r>
      <w:rPr>
        <w:rFonts w:ascii="宋体" w:hAnsi="宋体" w:cs="宋体"/>
        <w:sz w:val="28"/>
        <w:szCs w:val="28"/>
      </w:rPr>
      <w:fldChar w:fldCharType="end"/>
    </w:r>
    <w:r>
      <w:rPr>
        <w:rFonts w:ascii="宋体" w:hAnsi="宋体" w:cs="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6BF3D">
    <w:pPr>
      <w:pStyle w:val="6"/>
      <w:jc w:val="center"/>
    </w:pPr>
    <w:r>
      <w:fldChar w:fldCharType="begin"/>
    </w:r>
    <w:r>
      <w:instrText xml:space="preserve">PAGE   \* MERGEFORMAT</w:instrText>
    </w:r>
    <w:r>
      <w:fldChar w:fldCharType="separate"/>
    </w:r>
    <w:r>
      <w:rPr>
        <w:lang w:val="zh-CN"/>
      </w:rPr>
      <w:t>7</w:t>
    </w:r>
    <w:r>
      <w:rPr>
        <w:lang w:val="zh-CN"/>
      </w:rPr>
      <w:fldChar w:fldCharType="end"/>
    </w:r>
  </w:p>
  <w:p w14:paraId="321431AC">
    <w:pPr>
      <w:pStyle w:val="6"/>
      <w:wordWrap w:val="0"/>
      <w:jc w:val="right"/>
      <w:rPr>
        <w:rFonts w:ascii="宋体"/>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DACD1D"/>
    <w:multiLevelType w:val="singleLevel"/>
    <w:tmpl w:val="02DACD1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5F37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3">
    <w:name w:val="Normal Indent"/>
    <w:basedOn w:val="1"/>
    <w:qFormat/>
    <w:uiPriority w:val="0"/>
    <w:pPr>
      <w:ind w:firstLine="420"/>
    </w:pPr>
  </w:style>
  <w:style w:type="paragraph" w:styleId="4">
    <w:name w:val="Body Text Indent"/>
    <w:basedOn w:val="1"/>
    <w:next w:val="5"/>
    <w:qFormat/>
    <w:uiPriority w:val="99"/>
    <w:pPr>
      <w:spacing w:after="120"/>
      <w:ind w:left="420" w:leftChars="200"/>
    </w:pPr>
  </w:style>
  <w:style w:type="paragraph" w:styleId="5">
    <w:name w:val="envelope return"/>
    <w:basedOn w:val="1"/>
    <w:unhideWhenUsed/>
    <w:qFormat/>
    <w:uiPriority w:val="99"/>
    <w:pPr>
      <w:snapToGrid w:val="0"/>
    </w:pPr>
    <w:rPr>
      <w:rFonts w:ascii="Arial" w:hAnsi="Arial"/>
    </w:rPr>
  </w:style>
  <w:style w:type="paragraph" w:styleId="6">
    <w:name w:val="footer"/>
    <w:basedOn w:val="1"/>
    <w:unhideWhenUsed/>
    <w:qFormat/>
    <w:uiPriority w:val="99"/>
    <w:pPr>
      <w:tabs>
        <w:tab w:val="center" w:pos="4153"/>
        <w:tab w:val="right" w:pos="8306"/>
      </w:tabs>
      <w:snapToGrid w:val="0"/>
      <w:jc w:val="left"/>
    </w:pPr>
    <w:rPr>
      <w:kern w:val="0"/>
      <w:sz w:val="18"/>
      <w:szCs w:val="18"/>
    </w:rPr>
  </w:style>
  <w:style w:type="paragraph" w:styleId="7">
    <w:name w:val="Body Text First Indent 2"/>
    <w:basedOn w:val="4"/>
    <w:next w:val="3"/>
    <w:qFormat/>
    <w:uiPriority w:val="0"/>
    <w:pPr>
      <w:spacing w:after="120" w:afterLines="0"/>
      <w:ind w:left="420" w:leftChars="200"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2025-10-13T05:00:20Z</dcterms:created>
  <dc:creator>WJH</dc:creator>
  <cp:lastModifiedBy>比诺%暖暖</cp:lastModifiedBy>
  <dcterms:modified xsi:type="dcterms:W3CDTF">2025-10-13T05:00:27Z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eyJoZGlkIjoiYjk5ODM0YmMxOWJiYWQyNDU4MGIzYWRmYTA0ZmI5NDciLCJ1c2VySWQiOiIzOTEyOTYwMTgifQ==</vt:lpwstr>
  </property>
  <property fmtid="{D5CDD505-2E9C-101B-9397-08002B2CF9AE}" pid="4" name="ICV">
    <vt:lpwstr>C37A230FB87E42BFBBACC738F45BFA27_12</vt:lpwstr>
  </property>
</Properties>
</file>