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54835">
      <w:pPr>
        <w:jc w:val="center"/>
        <w:rPr>
          <w:rFonts w:ascii="宋体" w:hAnsi="宋体"/>
          <w:b/>
          <w:sz w:val="44"/>
          <w:szCs w:val="44"/>
        </w:rPr>
      </w:pPr>
      <w:r>
        <w:rPr>
          <w:rFonts w:hint="eastAsia" w:ascii="宋体" w:hAnsi="宋体"/>
          <w:b/>
          <w:sz w:val="44"/>
          <w:szCs w:val="44"/>
        </w:rPr>
        <w:t>采购需求（软硬件集成类）</w:t>
      </w:r>
    </w:p>
    <w:p w14:paraId="2FEEC4D5">
      <w:pPr>
        <w:jc w:val="center"/>
        <w:rPr>
          <w:rFonts w:ascii="宋体" w:hAnsi="宋体"/>
          <w:sz w:val="44"/>
          <w:szCs w:val="44"/>
        </w:rPr>
      </w:pPr>
    </w:p>
    <w:p w14:paraId="2119F107">
      <w:pPr>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z w:val="32"/>
          <w:szCs w:val="32"/>
        </w:rPr>
        <w:t>一、</w:t>
      </w:r>
      <w:r>
        <w:rPr>
          <w:rFonts w:hint="eastAsia" w:ascii="彩虹粗仿宋" w:hAnsi="宋体" w:eastAsia="彩虹粗仿宋"/>
          <w:snapToGrid w:val="0"/>
          <w:kern w:val="0"/>
          <w:sz w:val="32"/>
          <w:szCs w:val="32"/>
        </w:rPr>
        <w:t>供应商资质要求，包括候选商注册资本、专业资质、相关认证、专利技术、专业技术人员等级，生产（供货）能力、售后服务机构设置等要求。</w:t>
      </w:r>
    </w:p>
    <w:p w14:paraId="38DB7EE6">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投标供应商需要具备监狱狱管系统建设能力、能够集成我行社会化平台“智慧政法平台”、同时在建行龙集采系统完成供应商注册和入库，参与过建行其他分行的“智慧政法平台”建设工作，并在平台建设过程中履约良好。</w:t>
      </w:r>
    </w:p>
    <w:p w14:paraId="4F2DE98E">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二</w:t>
      </w:r>
      <w:r>
        <w:rPr>
          <w:rFonts w:hint="eastAsia" w:ascii="彩虹粗仿宋" w:hAnsi="宋体" w:eastAsia="彩虹粗仿宋"/>
          <w:sz w:val="32"/>
          <w:szCs w:val="32"/>
        </w:rPr>
        <w:t>、维护工作的范围、内容、期限，内容包括：故障诊断、</w:t>
      </w:r>
      <w:r>
        <w:rPr>
          <w:rFonts w:hint="eastAsia" w:ascii="彩虹粗仿宋" w:hAnsi="宋体" w:eastAsia="彩虹粗仿宋"/>
          <w:bCs/>
          <w:sz w:val="32"/>
          <w:szCs w:val="32"/>
        </w:rPr>
        <w:t>分析、排除</w:t>
      </w:r>
      <w:r>
        <w:rPr>
          <w:rFonts w:hint="eastAsia" w:ascii="彩虹粗仿宋" w:hAnsi="宋体" w:eastAsia="彩虹粗仿宋"/>
          <w:sz w:val="32"/>
          <w:szCs w:val="32"/>
        </w:rPr>
        <w:t>及维修服务、远程访问诊断服务、重要客户档案管理服务、系统例行巡检和预防性维护、现场值班服务、</w:t>
      </w:r>
      <w:r>
        <w:rPr>
          <w:rFonts w:hint="eastAsia" w:ascii="彩虹粗仿宋" w:hAnsi="宋体" w:eastAsia="彩虹粗仿宋" w:cs="Sim Sun"/>
          <w:sz w:val="32"/>
          <w:szCs w:val="32"/>
        </w:rPr>
        <w:t>现场</w:t>
      </w:r>
      <w:r>
        <w:rPr>
          <w:rFonts w:hint="eastAsia" w:ascii="彩虹粗仿宋" w:hAnsi="宋体" w:eastAsia="彩虹粗仿宋"/>
          <w:sz w:val="32"/>
          <w:szCs w:val="32"/>
        </w:rPr>
        <w:t>健康检查服务、备件保障服务、紧急故障和应急处理服务、系统应急切换方案服务、</w:t>
      </w:r>
      <w:r>
        <w:rPr>
          <w:rFonts w:hint="eastAsia" w:ascii="彩虹粗仿宋" w:hAnsi="宋体" w:eastAsia="彩虹粗仿宋"/>
          <w:color w:val="000000"/>
          <w:sz w:val="32"/>
          <w:szCs w:val="32"/>
        </w:rPr>
        <w:t>生产系统恢复支持服务、</w:t>
      </w:r>
      <w:r>
        <w:rPr>
          <w:rFonts w:hint="eastAsia" w:ascii="彩虹粗仿宋" w:hAnsi="宋体" w:eastAsia="彩虹粗仿宋"/>
          <w:sz w:val="32"/>
          <w:szCs w:val="32"/>
        </w:rPr>
        <w:t>技术交流服务、</w:t>
      </w:r>
      <w:r>
        <w:rPr>
          <w:rFonts w:hint="eastAsia" w:ascii="彩虹粗仿宋" w:hAnsi="宋体" w:eastAsia="彩虹粗仿宋" w:cs="Sim Sun"/>
          <w:sz w:val="32"/>
          <w:szCs w:val="32"/>
        </w:rPr>
        <w:t>软件补丁更新与升级、批次故障预警及更换服务、</w:t>
      </w:r>
      <w:r>
        <w:rPr>
          <w:rFonts w:hint="eastAsia" w:ascii="彩虹粗仿宋" w:hAnsi="宋体" w:eastAsia="彩虹粗仿宋"/>
          <w:bCs/>
          <w:sz w:val="32"/>
          <w:szCs w:val="32"/>
        </w:rPr>
        <w:t>参数优化服务、系统升级保障服务</w:t>
      </w:r>
      <w:r>
        <w:rPr>
          <w:rFonts w:hint="eastAsia" w:ascii="彩虹粗仿宋" w:hAnsi="宋体" w:eastAsia="彩虹粗仿宋"/>
          <w:sz w:val="32"/>
          <w:szCs w:val="32"/>
        </w:rPr>
        <w:t>等。</w:t>
      </w:r>
    </w:p>
    <w:p w14:paraId="7AD5388F">
      <w:pPr>
        <w:spacing w:line="560" w:lineRule="exact"/>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供应商需要根据采购清单要求，提供建设</w:t>
      </w:r>
      <w:r>
        <w:rPr>
          <w:rFonts w:hint="eastAsia" w:ascii="彩虹粗仿宋" w:hAnsi="宋体" w:eastAsia="彩虹粗仿宋"/>
          <w:sz w:val="32"/>
          <w:szCs w:val="32"/>
          <w:lang w:eastAsia="zh-CN"/>
        </w:rPr>
        <w:t>西藏未成年犯管教所狱管资金系统</w:t>
      </w:r>
      <w:r>
        <w:rPr>
          <w:rFonts w:hint="eastAsia" w:ascii="彩虹粗仿宋" w:hAnsi="宋体" w:eastAsia="彩虹粗仿宋"/>
          <w:sz w:val="32"/>
          <w:szCs w:val="32"/>
        </w:rPr>
        <w:t>涉及的硬件、软件集成及实施服务。</w:t>
      </w:r>
    </w:p>
    <w:tbl>
      <w:tblPr>
        <w:tblStyle w:val="2"/>
        <w:tblW w:w="87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6"/>
        <w:gridCol w:w="1263"/>
        <w:gridCol w:w="1569"/>
        <w:gridCol w:w="4403"/>
        <w:gridCol w:w="436"/>
        <w:gridCol w:w="427"/>
      </w:tblGrid>
      <w:tr w14:paraId="48B50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D3037BC">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产品类别</w:t>
            </w:r>
          </w:p>
        </w:tc>
        <w:tc>
          <w:tcPr>
            <w:tcW w:w="126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9DA1BA">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商品名称</w:t>
            </w:r>
          </w:p>
        </w:tc>
        <w:tc>
          <w:tcPr>
            <w:tcW w:w="156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E241AB">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规格型号</w:t>
            </w:r>
          </w:p>
        </w:tc>
        <w:tc>
          <w:tcPr>
            <w:tcW w:w="440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4396009">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产品功能配置/服务内容描述</w:t>
            </w:r>
          </w:p>
        </w:tc>
        <w:tc>
          <w:tcPr>
            <w:tcW w:w="4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9225F2">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单位</w:t>
            </w:r>
          </w:p>
        </w:tc>
        <w:tc>
          <w:tcPr>
            <w:tcW w:w="42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D411EE">
            <w:pPr>
              <w:keepNext w:val="0"/>
              <w:keepLines w:val="0"/>
              <w:widowControl/>
              <w:suppressLineNumbers w:val="0"/>
              <w:jc w:val="center"/>
              <w:textAlignment w:val="center"/>
              <w:rPr>
                <w:rFonts w:hint="eastAsia" w:ascii="彩虹粗仿宋" w:hAnsi="彩虹粗仿宋" w:eastAsia="彩虹粗仿宋" w:cs="彩虹粗仿宋"/>
                <w:b/>
                <w:bCs/>
                <w:i w:val="0"/>
                <w:iCs w:val="0"/>
                <w:color w:val="000000"/>
                <w:sz w:val="21"/>
                <w:szCs w:val="21"/>
                <w:u w:val="none"/>
              </w:rPr>
            </w:pPr>
            <w:r>
              <w:rPr>
                <w:rFonts w:hint="eastAsia" w:ascii="彩虹粗仿宋" w:hAnsi="彩虹粗仿宋" w:eastAsia="彩虹粗仿宋" w:cs="彩虹粗仿宋"/>
                <w:b/>
                <w:bCs/>
                <w:i w:val="0"/>
                <w:iCs w:val="0"/>
                <w:color w:val="000000"/>
                <w:kern w:val="0"/>
                <w:sz w:val="21"/>
                <w:szCs w:val="21"/>
                <w:u w:val="none"/>
                <w:lang w:val="en-US" w:eastAsia="zh-CN" w:bidi="ar"/>
              </w:rPr>
              <w:t>数量</w:t>
            </w:r>
          </w:p>
        </w:tc>
      </w:tr>
      <w:tr w14:paraId="5597C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3" w:hRule="atLeast"/>
        </w:trPr>
        <w:tc>
          <w:tcPr>
            <w:tcW w:w="656" w:type="dxa"/>
            <w:tcBorders>
              <w:top w:val="single" w:color="000000" w:sz="4" w:space="0"/>
              <w:left w:val="single" w:color="000000" w:sz="4" w:space="0"/>
              <w:bottom w:val="single" w:color="000000" w:sz="4" w:space="0"/>
              <w:right w:val="single" w:color="000000" w:sz="4" w:space="0"/>
            </w:tcBorders>
            <w:noWrap w:val="0"/>
            <w:vAlign w:val="center"/>
          </w:tcPr>
          <w:p w14:paraId="3CA33C4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软件系统</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4ECBA17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罪犯资金及消费管理系统</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1BB21C18">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罪犯资金及消费管理系统</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3E0CD577">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基于生物认证、人工智能、大数据分析等前沿技术，结合银行专业的金融能力，围绕罪犯个人资金管理及狱内购物等业务打造的综合性金融智能管理系统。实现监狱罪犯个人资金的银行金融化管理、实现罪犯网上点购新模式、实现罪犯家属便捷化汇款、实现监狱对罪犯个人资金及消费的全程监管。</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28F79484">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套</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41E086FB">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396CA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1" w:hRule="atLeast"/>
        </w:trPr>
        <w:tc>
          <w:tcPr>
            <w:tcW w:w="656" w:type="dxa"/>
            <w:vMerge w:val="restart"/>
            <w:tcBorders>
              <w:top w:val="single" w:color="000000" w:sz="4" w:space="0"/>
              <w:left w:val="single" w:color="000000" w:sz="4" w:space="0"/>
              <w:bottom w:val="single" w:color="000000" w:sz="4" w:space="0"/>
              <w:right w:val="single" w:color="000000" w:sz="4" w:space="0"/>
            </w:tcBorders>
            <w:noWrap/>
            <w:vAlign w:val="center"/>
          </w:tcPr>
          <w:p w14:paraId="12AF95EA">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硬件</w:t>
            </w:r>
          </w:p>
        </w:tc>
        <w:tc>
          <w:tcPr>
            <w:tcW w:w="1263" w:type="dxa"/>
            <w:tcBorders>
              <w:top w:val="single" w:color="000000" w:sz="4" w:space="0"/>
              <w:left w:val="single" w:color="000000" w:sz="4" w:space="0"/>
              <w:bottom w:val="single" w:color="000000" w:sz="4" w:space="0"/>
              <w:right w:val="single" w:color="000000" w:sz="4" w:space="0"/>
            </w:tcBorders>
            <w:noWrap/>
            <w:vAlign w:val="center"/>
          </w:tcPr>
          <w:p w14:paraId="0B60EAE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监舍智能交互终端</w:t>
            </w:r>
          </w:p>
        </w:tc>
        <w:tc>
          <w:tcPr>
            <w:tcW w:w="1569" w:type="dxa"/>
            <w:tcBorders>
              <w:top w:val="single" w:color="000000" w:sz="4" w:space="0"/>
              <w:left w:val="single" w:color="000000" w:sz="4" w:space="0"/>
              <w:bottom w:val="single" w:color="000000" w:sz="4" w:space="0"/>
              <w:right w:val="single" w:color="000000" w:sz="4" w:space="0"/>
            </w:tcBorders>
            <w:noWrap/>
            <w:vAlign w:val="center"/>
          </w:tcPr>
          <w:p w14:paraId="582EE62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MJK-156W(Lecent JSMWZD15)</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5BE70221">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CPU：Android系统、高清音视频解码芯片</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主频：四核1.8G；内存DDR：DDR3 容量2G</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内置flash存储器：FLASH 16G</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USB摄像头：200万像素广角；分辨率：1920*1080；存储器扩展：USB；尺寸：15.6寸；视频播放：支持MPEG1、MPEG2、MPEG4、H.264、WMV；音频播放：支持MP3</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登录认证方式：密码、IC卡、双目活体人脸</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图片格式：支持JPEG、BMP、PNG</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USB2.0接口：1个；串口：1个；以太网：1个，10M/100M自适应以太网；WIFI：1个</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音频输出：功放输出，可直接驱动2*5W/8Ω喇叭；RTC实时时钟：支持；定时开关机：支持；播放器升级：支持USB升级，网络升级</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功耗：≦5W,不接喇叭/液晶屏/背光逆变器/USB设备时；外框材质：全铝；安装：壁挂式</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4D2C207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1E90870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4</w:t>
            </w:r>
          </w:p>
        </w:tc>
      </w:tr>
      <w:tr w14:paraId="3CB37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6"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14:paraId="3FD23129">
            <w:pPr>
              <w:jc w:val="center"/>
              <w:rPr>
                <w:rFonts w:hint="eastAsia" w:ascii="彩虹粗仿宋" w:hAnsi="彩虹粗仿宋" w:eastAsia="彩虹粗仿宋" w:cs="彩虹粗仿宋"/>
                <w:i w:val="0"/>
                <w:iCs w:val="0"/>
                <w:color w:val="000000"/>
                <w:sz w:val="21"/>
                <w:szCs w:val="21"/>
                <w:u w:val="none"/>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5EFF1094">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联想服务器SR650</w:t>
            </w:r>
          </w:p>
        </w:tc>
        <w:tc>
          <w:tcPr>
            <w:tcW w:w="1569" w:type="dxa"/>
            <w:tcBorders>
              <w:top w:val="single" w:color="000000" w:sz="4" w:space="0"/>
              <w:left w:val="single" w:color="000000" w:sz="4" w:space="0"/>
              <w:bottom w:val="single" w:color="000000" w:sz="4" w:space="0"/>
              <w:right w:val="single" w:color="000000" w:sz="4" w:space="0"/>
            </w:tcBorders>
            <w:noWrap/>
            <w:vAlign w:val="center"/>
          </w:tcPr>
          <w:p w14:paraId="44F2ABB6">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SR650</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6328A555">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2U 机架式服务器；CPU：Silver4110 2.1GHz 8核处理器*2；内存：32G*2 TruDDR4 2666 MHz (1Rx4 1.2V) RDIMM或同性能；硬盘：1.2TB SAS*2,Raid阵列：RAID 530-8i PCIe 12Gb Adapter或同性能；光驱：外置DVD光驱*1；电源：550W*2</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61247FAF">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310BD720">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21C76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14:paraId="2EE6CF22">
            <w:pPr>
              <w:jc w:val="center"/>
              <w:rPr>
                <w:rFonts w:hint="eastAsia" w:ascii="彩虹粗仿宋" w:hAnsi="彩虹粗仿宋" w:eastAsia="彩虹粗仿宋" w:cs="彩虹粗仿宋"/>
                <w:i w:val="0"/>
                <w:iCs w:val="0"/>
                <w:color w:val="000000"/>
                <w:sz w:val="21"/>
                <w:szCs w:val="21"/>
                <w:u w:val="none"/>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6E2DFC26">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交换机</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42AEA1AA">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华三H3C-S5024P</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04C78916">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WEB网管/VLAN划分/绿色节能，10/100/1000Mbps，24*10/100/1000Base-T以太网端口</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558042D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42538F57">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7E081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14:paraId="79DA7F20">
            <w:pPr>
              <w:jc w:val="center"/>
              <w:rPr>
                <w:rFonts w:hint="eastAsia" w:ascii="彩虹粗仿宋" w:hAnsi="彩虹粗仿宋" w:eastAsia="彩虹粗仿宋" w:cs="彩虹粗仿宋"/>
                <w:i w:val="0"/>
                <w:iCs w:val="0"/>
                <w:color w:val="000000"/>
                <w:sz w:val="21"/>
                <w:szCs w:val="21"/>
                <w:u w:val="none"/>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116C1AC4">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打印机</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362E4681">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惠普激光打印机HPM126A</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5ACE2E69">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激光打印，扫描复印一体</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57F26B92">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481BF9E1">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3CD6F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2" w:hRule="atLeast"/>
        </w:trPr>
        <w:tc>
          <w:tcPr>
            <w:tcW w:w="656" w:type="dxa"/>
            <w:vMerge w:val="continue"/>
            <w:tcBorders>
              <w:top w:val="single" w:color="000000" w:sz="4" w:space="0"/>
              <w:left w:val="single" w:color="000000" w:sz="4" w:space="0"/>
              <w:bottom w:val="single" w:color="000000" w:sz="4" w:space="0"/>
              <w:right w:val="single" w:color="000000" w:sz="4" w:space="0"/>
            </w:tcBorders>
            <w:noWrap/>
            <w:vAlign w:val="center"/>
          </w:tcPr>
          <w:p w14:paraId="6CE28ED3">
            <w:pPr>
              <w:jc w:val="center"/>
              <w:rPr>
                <w:rFonts w:hint="eastAsia" w:ascii="彩虹粗仿宋" w:hAnsi="彩虹粗仿宋" w:eastAsia="彩虹粗仿宋" w:cs="彩虹粗仿宋"/>
                <w:i w:val="0"/>
                <w:iCs w:val="0"/>
                <w:color w:val="000000"/>
                <w:sz w:val="21"/>
                <w:szCs w:val="21"/>
                <w:u w:val="none"/>
              </w:rPr>
            </w:pP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0A37DDA6">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办公电脑</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70CD34A1">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联想扬天M460</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48C035F9">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由电脑主机和显示器组成。处理器： G6900</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内存：8GB。硬盘：512G固态，显示器尺寸：22.5英寸液晶，显示器分辨率：1920*1080</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7250D2FA">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1149B53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10094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8" w:hRule="atLeast"/>
        </w:trPr>
        <w:tc>
          <w:tcPr>
            <w:tcW w:w="656" w:type="dxa"/>
            <w:tcBorders>
              <w:top w:val="single" w:color="000000" w:sz="4" w:space="0"/>
              <w:left w:val="single" w:color="000000" w:sz="4" w:space="0"/>
              <w:bottom w:val="single" w:color="000000" w:sz="4" w:space="0"/>
              <w:right w:val="single" w:color="000000" w:sz="4" w:space="0"/>
            </w:tcBorders>
            <w:noWrap w:val="0"/>
            <w:vAlign w:val="center"/>
          </w:tcPr>
          <w:p w14:paraId="3669D57D">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实施费</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1A2104C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项目集成实施</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75C12F9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项目集成实施</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3660512F">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1、服务器配置搭建，达到系统运行标准。</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2、犯人信息、内部卡、银行卡等基础数据进行处理，整合老数据信息导入系统中，满足系统运行的数据需求。</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3、数据割接工作。</w:t>
            </w:r>
            <w:r>
              <w:rPr>
                <w:rFonts w:hint="eastAsia" w:ascii="彩虹粗仿宋" w:hAnsi="彩虹粗仿宋" w:eastAsia="彩虹粗仿宋" w:cs="彩虹粗仿宋"/>
                <w:i w:val="0"/>
                <w:iCs w:val="0"/>
                <w:color w:val="000000"/>
                <w:kern w:val="0"/>
                <w:sz w:val="21"/>
                <w:szCs w:val="21"/>
                <w:u w:val="none"/>
                <w:lang w:val="en-US" w:eastAsia="zh-CN" w:bidi="ar"/>
              </w:rPr>
              <w:br w:type="textWrapping"/>
            </w:r>
            <w:r>
              <w:rPr>
                <w:rFonts w:hint="eastAsia" w:ascii="彩虹粗仿宋" w:hAnsi="彩虹粗仿宋" w:eastAsia="彩虹粗仿宋" w:cs="彩虹粗仿宋"/>
                <w:i w:val="0"/>
                <w:iCs w:val="0"/>
                <w:color w:val="000000"/>
                <w:kern w:val="0"/>
                <w:sz w:val="21"/>
                <w:szCs w:val="21"/>
                <w:u w:val="none"/>
                <w:lang w:val="en-US" w:eastAsia="zh-CN" w:bidi="ar"/>
              </w:rPr>
              <w:t>4、监狱终端设备安装调试、平台部署驻场培训，对系统涉及的所有部门进行跟踪培训，保障系统在各个环节的操作运行流畅;对业务办理部门进行同步办公培训，保障系统运行前期能够熟练使用，提高业务办理速度;同时根据业务使用的要求调整业务配置，让系统的每个操作细节均满足各部门的要求</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7189C027">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批</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01488374">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1</w:t>
            </w:r>
          </w:p>
        </w:tc>
      </w:tr>
      <w:tr w14:paraId="0ACFC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56" w:type="dxa"/>
            <w:tcBorders>
              <w:top w:val="single" w:color="000000" w:sz="4" w:space="0"/>
              <w:left w:val="single" w:color="000000" w:sz="4" w:space="0"/>
              <w:bottom w:val="single" w:color="000000" w:sz="4" w:space="0"/>
              <w:right w:val="single" w:color="000000" w:sz="4" w:space="0"/>
            </w:tcBorders>
            <w:noWrap w:val="0"/>
            <w:vAlign w:val="center"/>
          </w:tcPr>
          <w:p w14:paraId="6D74FD5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售后维保费</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14:paraId="1AA19E4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软硬件维保服务费</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7920AE2D">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w:t>
            </w:r>
          </w:p>
        </w:tc>
        <w:tc>
          <w:tcPr>
            <w:tcW w:w="4403" w:type="dxa"/>
            <w:tcBorders>
              <w:top w:val="single" w:color="000000" w:sz="4" w:space="0"/>
              <w:left w:val="single" w:color="000000" w:sz="4" w:space="0"/>
              <w:bottom w:val="single" w:color="000000" w:sz="4" w:space="0"/>
              <w:right w:val="single" w:color="000000" w:sz="4" w:space="0"/>
            </w:tcBorders>
            <w:noWrap w:val="0"/>
            <w:vAlign w:val="center"/>
          </w:tcPr>
          <w:p w14:paraId="0418E424">
            <w:pPr>
              <w:keepNext w:val="0"/>
              <w:keepLines w:val="0"/>
              <w:widowControl/>
              <w:suppressLineNumbers w:val="0"/>
              <w:jc w:val="both"/>
              <w:textAlignment w:val="center"/>
              <w:rPr>
                <w:rFonts w:hint="default" w:ascii="彩虹粗仿宋" w:hAnsi="彩虹粗仿宋" w:eastAsia="彩虹粗仿宋" w:cs="彩虹粗仿宋"/>
                <w:i w:val="0"/>
                <w:iCs w:val="0"/>
                <w:color w:val="000000"/>
                <w:sz w:val="21"/>
                <w:szCs w:val="21"/>
                <w:u w:val="none"/>
                <w:lang w:val="en-US"/>
              </w:rPr>
            </w:pPr>
            <w:r>
              <w:rPr>
                <w:rFonts w:hint="eastAsia" w:ascii="彩虹粗仿宋" w:hAnsi="彩虹粗仿宋" w:eastAsia="彩虹粗仿宋" w:cs="彩虹粗仿宋"/>
                <w:i w:val="0"/>
                <w:iCs w:val="0"/>
                <w:color w:val="000000"/>
                <w:kern w:val="0"/>
                <w:sz w:val="21"/>
                <w:szCs w:val="21"/>
                <w:u w:val="none"/>
                <w:lang w:val="en-US" w:eastAsia="zh-CN" w:bidi="ar"/>
              </w:rPr>
              <w:t>本系统提供1年的免费质保，质保期满后4年售后维保。</w:t>
            </w:r>
          </w:p>
        </w:tc>
        <w:tc>
          <w:tcPr>
            <w:tcW w:w="436" w:type="dxa"/>
            <w:tcBorders>
              <w:top w:val="single" w:color="000000" w:sz="4" w:space="0"/>
              <w:left w:val="single" w:color="000000" w:sz="4" w:space="0"/>
              <w:bottom w:val="single" w:color="000000" w:sz="4" w:space="0"/>
              <w:right w:val="single" w:color="000000" w:sz="4" w:space="0"/>
            </w:tcBorders>
            <w:noWrap w:val="0"/>
            <w:vAlign w:val="center"/>
          </w:tcPr>
          <w:p w14:paraId="7585A4CF">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年</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56E2D519">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1"/>
                <w:szCs w:val="21"/>
                <w:u w:val="none"/>
              </w:rPr>
            </w:pPr>
            <w:r>
              <w:rPr>
                <w:rFonts w:hint="eastAsia" w:ascii="彩虹粗仿宋" w:hAnsi="彩虹粗仿宋" w:eastAsia="彩虹粗仿宋" w:cs="彩虹粗仿宋"/>
                <w:i w:val="0"/>
                <w:iCs w:val="0"/>
                <w:color w:val="000000"/>
                <w:kern w:val="0"/>
                <w:sz w:val="21"/>
                <w:szCs w:val="21"/>
                <w:u w:val="none"/>
                <w:lang w:val="en-US" w:eastAsia="zh-CN" w:bidi="ar"/>
              </w:rPr>
              <w:t>4</w:t>
            </w:r>
          </w:p>
        </w:tc>
      </w:tr>
    </w:tbl>
    <w:p w14:paraId="520070CD">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三</w:t>
      </w:r>
      <w:r>
        <w:rPr>
          <w:rFonts w:hint="eastAsia" w:ascii="彩虹粗仿宋" w:hAnsi="宋体" w:eastAsia="彩虹粗仿宋"/>
          <w:sz w:val="32"/>
          <w:szCs w:val="32"/>
        </w:rPr>
        <w:t>、维护工作方式（现场、热线、远程控制）。</w:t>
      </w:r>
    </w:p>
    <w:p w14:paraId="33394A8B">
      <w:pPr>
        <w:spacing w:line="560" w:lineRule="exact"/>
        <w:ind w:firstLine="640" w:firstLineChars="200"/>
        <w:rPr>
          <w:rFonts w:hint="eastAsia" w:ascii="彩虹粗仿宋" w:hAnsi="宋体" w:eastAsia="彩虹粗仿宋"/>
          <w:sz w:val="32"/>
          <w:szCs w:val="32"/>
          <w:lang w:eastAsia="zh-CN"/>
        </w:rPr>
      </w:pPr>
      <w:r>
        <w:rPr>
          <w:rFonts w:hint="eastAsia" w:ascii="彩虹粗仿宋" w:hAnsi="宋体" w:eastAsia="彩虹粗仿宋"/>
          <w:sz w:val="32"/>
          <w:szCs w:val="32"/>
        </w:rPr>
        <w:t>入选</w:t>
      </w:r>
      <w:r>
        <w:rPr>
          <w:rFonts w:hint="eastAsia" w:ascii="彩虹粗仿宋" w:hAnsi="宋体" w:eastAsia="彩虹粗仿宋"/>
          <w:sz w:val="32"/>
          <w:szCs w:val="32"/>
          <w:lang w:eastAsia="zh-CN"/>
        </w:rPr>
        <w:t>供应商</w:t>
      </w:r>
      <w:r>
        <w:rPr>
          <w:rFonts w:hint="eastAsia" w:ascii="彩虹粗仿宋" w:hAnsi="宋体" w:eastAsia="彩虹粗仿宋"/>
          <w:sz w:val="32"/>
          <w:szCs w:val="32"/>
        </w:rPr>
        <w:t>在</w:t>
      </w:r>
      <w:r>
        <w:rPr>
          <w:rFonts w:hint="eastAsia" w:ascii="彩虹粗仿宋" w:hAnsi="宋体" w:eastAsia="彩虹粗仿宋"/>
          <w:sz w:val="32"/>
          <w:szCs w:val="32"/>
          <w:lang w:eastAsia="zh-CN"/>
        </w:rPr>
        <w:t>狱管资金系统整体投产</w:t>
      </w:r>
      <w:r>
        <w:rPr>
          <w:rFonts w:hint="eastAsia" w:ascii="彩虹粗仿宋" w:hAnsi="宋体" w:eastAsia="彩虹粗仿宋"/>
          <w:sz w:val="32"/>
          <w:szCs w:val="32"/>
        </w:rPr>
        <w:t>上线</w:t>
      </w:r>
      <w:r>
        <w:rPr>
          <w:rFonts w:hint="eastAsia" w:ascii="彩虹粗仿宋" w:hAnsi="宋体" w:eastAsia="彩虹粗仿宋"/>
          <w:sz w:val="32"/>
          <w:szCs w:val="32"/>
          <w:lang w:eastAsia="zh-CN"/>
        </w:rPr>
        <w:t>验收</w:t>
      </w:r>
      <w:r>
        <w:rPr>
          <w:rFonts w:hint="eastAsia" w:ascii="彩虹粗仿宋" w:hAnsi="宋体" w:eastAsia="彩虹粗仿宋"/>
          <w:sz w:val="32"/>
          <w:szCs w:val="32"/>
        </w:rPr>
        <w:t>之日起提供</w:t>
      </w:r>
      <w:r>
        <w:rPr>
          <w:rFonts w:hint="eastAsia" w:ascii="彩虹粗仿宋" w:hAnsi="宋体" w:eastAsia="彩虹粗仿宋"/>
          <w:sz w:val="32"/>
          <w:szCs w:val="32"/>
          <w:lang w:val="en-US" w:eastAsia="zh-CN"/>
        </w:rPr>
        <w:t>1</w:t>
      </w:r>
      <w:r>
        <w:rPr>
          <w:rFonts w:hint="eastAsia" w:ascii="彩虹粗仿宋" w:hAnsi="宋体" w:eastAsia="彩虹粗仿宋"/>
          <w:sz w:val="32"/>
          <w:szCs w:val="32"/>
        </w:rPr>
        <w:t>年</w:t>
      </w:r>
      <w:r>
        <w:rPr>
          <w:rFonts w:hint="eastAsia" w:ascii="彩虹粗仿宋" w:hAnsi="宋体" w:eastAsia="彩虹粗仿宋"/>
          <w:sz w:val="32"/>
          <w:szCs w:val="32"/>
          <w:lang w:eastAsia="zh-CN"/>
        </w:rPr>
        <w:t>免费维保</w:t>
      </w:r>
      <w:r>
        <w:rPr>
          <w:rFonts w:hint="eastAsia" w:ascii="彩虹粗仿宋" w:hAnsi="宋体" w:eastAsia="彩虹粗仿宋"/>
          <w:sz w:val="32"/>
          <w:szCs w:val="32"/>
        </w:rPr>
        <w:t>支持服务，</w:t>
      </w:r>
      <w:r>
        <w:rPr>
          <w:rFonts w:hint="eastAsia" w:ascii="彩虹粗仿宋" w:hAnsi="宋体" w:eastAsia="彩虹粗仿宋"/>
          <w:sz w:val="32"/>
          <w:szCs w:val="32"/>
          <w:lang w:eastAsia="zh-CN"/>
        </w:rPr>
        <w:t>项目建设和试运行期间，需要到拉萨进行现场支持及培训，</w:t>
      </w:r>
      <w:r>
        <w:rPr>
          <w:rFonts w:hint="eastAsia" w:ascii="彩虹粗仿宋" w:hAnsi="宋体" w:eastAsia="彩虹粗仿宋"/>
          <w:sz w:val="32"/>
          <w:szCs w:val="32"/>
        </w:rPr>
        <w:t>维护期内应提供7*24小时的电话、网络</w:t>
      </w:r>
      <w:r>
        <w:rPr>
          <w:rFonts w:hint="eastAsia" w:ascii="彩虹粗仿宋" w:hAnsi="宋体" w:eastAsia="彩虹粗仿宋"/>
          <w:sz w:val="32"/>
          <w:szCs w:val="32"/>
          <w:lang w:eastAsia="zh-CN"/>
        </w:rPr>
        <w:t>和其他远程控制方式进行技术支持，</w:t>
      </w:r>
      <w:r>
        <w:rPr>
          <w:rFonts w:hint="eastAsia" w:ascii="彩虹粗仿宋" w:hAnsi="宋体" w:eastAsia="彩虹粗仿宋"/>
          <w:sz w:val="32"/>
          <w:szCs w:val="32"/>
        </w:rPr>
        <w:t>以及遇到远程无法解决的上门维护服务。</w:t>
      </w:r>
      <w:r>
        <w:rPr>
          <w:rFonts w:hint="eastAsia" w:ascii="彩虹粗仿宋" w:hAnsi="宋体" w:eastAsia="彩虹粗仿宋"/>
          <w:sz w:val="32"/>
          <w:szCs w:val="32"/>
          <w:lang w:eastAsia="zh-CN"/>
        </w:rPr>
        <w:t>入选供应商应在接收到故障报告时立即作出响应。</w:t>
      </w:r>
    </w:p>
    <w:p w14:paraId="5BCDE0D1">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四</w:t>
      </w:r>
      <w:r>
        <w:rPr>
          <w:rFonts w:hint="eastAsia" w:ascii="彩虹粗仿宋" w:hAnsi="宋体" w:eastAsia="彩虹粗仿宋"/>
          <w:sz w:val="32"/>
          <w:szCs w:val="32"/>
        </w:rPr>
        <w:t>、故障事件级别定义及响应处理的承诺。</w:t>
      </w:r>
    </w:p>
    <w:p w14:paraId="4A72F6F5">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对于严重级别故障，入选供应商应立即派出高级技术人员到现场进行维修，与此同时，入选供应商技术支持人员应通过电话、网络等方式尝试排除故障；入选供应商派出的高级技术人员应当在</w:t>
      </w:r>
      <w:r>
        <w:rPr>
          <w:rFonts w:hint="eastAsia" w:ascii="彩虹粗仿宋" w:hAnsi="宋体" w:eastAsia="彩虹粗仿宋"/>
          <w:sz w:val="32"/>
          <w:szCs w:val="32"/>
          <w:lang w:val="en-US" w:eastAsia="zh-CN"/>
        </w:rPr>
        <w:t>8</w:t>
      </w:r>
      <w:r>
        <w:rPr>
          <w:rFonts w:hint="eastAsia" w:ascii="彩虹粗仿宋" w:hAnsi="宋体" w:eastAsia="彩虹粗仿宋"/>
          <w:sz w:val="32"/>
          <w:szCs w:val="32"/>
        </w:rPr>
        <w:t>小时内（从甲方故障报告时间起算，下同）到达故障现场，入选供应商承诺在收到故障报告后</w:t>
      </w:r>
      <w:r>
        <w:rPr>
          <w:rFonts w:hint="eastAsia" w:ascii="彩虹粗仿宋" w:hAnsi="宋体" w:eastAsia="彩虹粗仿宋"/>
          <w:sz w:val="32"/>
          <w:szCs w:val="32"/>
          <w:lang w:val="en-US" w:eastAsia="zh-CN"/>
        </w:rPr>
        <w:t>24</w:t>
      </w:r>
      <w:r>
        <w:rPr>
          <w:rFonts w:hint="eastAsia" w:ascii="彩虹粗仿宋" w:hAnsi="宋体" w:eastAsia="彩虹粗仿宋"/>
          <w:sz w:val="32"/>
          <w:szCs w:val="32"/>
        </w:rPr>
        <w:t>小时内恢复系统正常运行。</w:t>
      </w:r>
    </w:p>
    <w:p w14:paraId="1298E748">
      <w:pPr>
        <w:spacing w:line="560" w:lineRule="exact"/>
        <w:ind w:firstLine="640" w:firstLineChars="200"/>
        <w:rPr>
          <w:rFonts w:ascii="彩虹粗仿宋" w:hAnsi="宋体" w:eastAsia="彩虹粗仿宋"/>
          <w:color w:val="auto"/>
          <w:sz w:val="32"/>
          <w:szCs w:val="32"/>
        </w:rPr>
      </w:pPr>
      <w:r>
        <w:rPr>
          <w:rFonts w:hint="eastAsia" w:ascii="彩虹粗仿宋" w:hAnsi="宋体" w:eastAsia="彩虹粗仿宋"/>
          <w:sz w:val="32"/>
          <w:szCs w:val="32"/>
        </w:rPr>
        <w:t>对于一般级别故障，入选供应商应立即通过电话、网络等方式尝试排除故障；如故障在</w:t>
      </w:r>
      <w:r>
        <w:rPr>
          <w:rFonts w:hint="eastAsia" w:ascii="彩虹粗仿宋" w:hAnsi="宋体" w:eastAsia="彩虹粗仿宋"/>
          <w:color w:val="auto"/>
          <w:sz w:val="32"/>
          <w:szCs w:val="32"/>
          <w:lang w:val="en-US" w:eastAsia="zh-CN"/>
        </w:rPr>
        <w:t>2</w:t>
      </w:r>
      <w:r>
        <w:rPr>
          <w:rFonts w:hint="eastAsia" w:ascii="彩虹粗仿宋" w:hAnsi="宋体" w:eastAsia="彩虹粗仿宋"/>
          <w:color w:val="auto"/>
          <w:sz w:val="32"/>
          <w:szCs w:val="32"/>
        </w:rPr>
        <w:t>小时内无法排除，入选供应商应立即派出高级技术人员在</w:t>
      </w:r>
      <w:r>
        <w:rPr>
          <w:rFonts w:hint="eastAsia" w:ascii="彩虹粗仿宋" w:hAnsi="宋体" w:eastAsia="彩虹粗仿宋"/>
          <w:color w:val="auto"/>
          <w:sz w:val="32"/>
          <w:szCs w:val="32"/>
          <w:lang w:val="en-US" w:eastAsia="zh-CN"/>
        </w:rPr>
        <w:t>8</w:t>
      </w:r>
      <w:r>
        <w:rPr>
          <w:rFonts w:hint="eastAsia" w:ascii="彩虹粗仿宋" w:hAnsi="宋体" w:eastAsia="彩虹粗仿宋"/>
          <w:color w:val="auto"/>
          <w:sz w:val="32"/>
          <w:szCs w:val="32"/>
        </w:rPr>
        <w:t>小时内到达故障现场进行维修，入选供应商承诺在收到故障报告后</w:t>
      </w:r>
      <w:r>
        <w:rPr>
          <w:rFonts w:hint="eastAsia" w:ascii="彩虹粗仿宋" w:hAnsi="宋体" w:eastAsia="彩虹粗仿宋"/>
          <w:color w:val="auto"/>
          <w:sz w:val="32"/>
          <w:szCs w:val="32"/>
          <w:lang w:val="en-US" w:eastAsia="zh-CN"/>
        </w:rPr>
        <w:t>12</w:t>
      </w:r>
      <w:r>
        <w:rPr>
          <w:rFonts w:hint="eastAsia" w:ascii="彩虹粗仿宋" w:hAnsi="宋体" w:eastAsia="彩虹粗仿宋"/>
          <w:color w:val="auto"/>
          <w:sz w:val="32"/>
          <w:szCs w:val="32"/>
        </w:rPr>
        <w:t>小时内恢复系统正常运行。</w:t>
      </w:r>
    </w:p>
    <w:p w14:paraId="33CF3DD3">
      <w:pPr>
        <w:spacing w:line="560" w:lineRule="exact"/>
        <w:ind w:firstLine="640" w:firstLineChars="200"/>
        <w:rPr>
          <w:rFonts w:ascii="彩虹粗仿宋" w:hAnsi="宋体" w:eastAsia="彩虹粗仿宋"/>
          <w:sz w:val="32"/>
          <w:szCs w:val="32"/>
        </w:rPr>
      </w:pPr>
      <w:r>
        <w:rPr>
          <w:rFonts w:hint="eastAsia" w:ascii="彩虹粗仿宋" w:hAnsi="宋体" w:eastAsia="彩虹粗仿宋"/>
          <w:color w:val="auto"/>
          <w:sz w:val="32"/>
          <w:szCs w:val="32"/>
        </w:rPr>
        <w:t>对于轻微级别故障，入选供应商应立即通过电话、网络等方式尝试排除故障；如故障在1小时内无法排除，入选供应商应在</w:t>
      </w:r>
      <w:r>
        <w:rPr>
          <w:rFonts w:hint="eastAsia" w:ascii="彩虹粗仿宋" w:hAnsi="宋体" w:eastAsia="彩虹粗仿宋"/>
          <w:color w:val="auto"/>
          <w:sz w:val="32"/>
          <w:szCs w:val="32"/>
          <w:lang w:val="en-US" w:eastAsia="zh-CN"/>
        </w:rPr>
        <w:t>8</w:t>
      </w:r>
      <w:r>
        <w:rPr>
          <w:rFonts w:hint="eastAsia" w:ascii="彩虹粗仿宋" w:hAnsi="宋体" w:eastAsia="彩虹粗仿宋"/>
          <w:color w:val="auto"/>
          <w:sz w:val="32"/>
          <w:szCs w:val="32"/>
        </w:rPr>
        <w:t>小时内派出技术人员到达故障现场进行维修，入选供应商承诺在收到故障报告后</w:t>
      </w:r>
      <w:r>
        <w:rPr>
          <w:rFonts w:hint="eastAsia" w:ascii="彩虹粗仿宋" w:hAnsi="宋体" w:eastAsia="彩虹粗仿宋"/>
          <w:color w:val="auto"/>
          <w:sz w:val="32"/>
          <w:szCs w:val="32"/>
          <w:lang w:val="en-US" w:eastAsia="zh-CN"/>
        </w:rPr>
        <w:t>8</w:t>
      </w:r>
      <w:r>
        <w:rPr>
          <w:rFonts w:hint="eastAsia" w:ascii="彩虹粗仿宋" w:hAnsi="宋体" w:eastAsia="彩虹粗仿宋"/>
          <w:sz w:val="32"/>
          <w:szCs w:val="32"/>
        </w:rPr>
        <w:t>小时内恢复系统正常运行。</w:t>
      </w:r>
    </w:p>
    <w:p w14:paraId="7D529AE2">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对于无法现场解决的故障，入选供应商应当按照甲方要求采取其他补救措施。</w:t>
      </w:r>
    </w:p>
    <w:p w14:paraId="6FAA85D8">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五</w:t>
      </w:r>
      <w:r>
        <w:rPr>
          <w:rFonts w:hint="eastAsia" w:ascii="彩虹粗仿宋" w:hAnsi="宋体" w:eastAsia="彩虹粗仿宋"/>
          <w:sz w:val="32"/>
          <w:szCs w:val="32"/>
        </w:rPr>
        <w:t>、供应商维护服务人员的数量、资质经验、角色等方面的要求。</w:t>
      </w:r>
    </w:p>
    <w:p w14:paraId="689125F1">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无</w:t>
      </w:r>
    </w:p>
    <w:p w14:paraId="453BB79A">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六</w:t>
      </w:r>
      <w:r>
        <w:rPr>
          <w:rFonts w:hint="eastAsia" w:ascii="彩虹粗仿宋" w:hAnsi="宋体" w:eastAsia="彩虹粗仿宋"/>
          <w:sz w:val="32"/>
          <w:szCs w:val="32"/>
        </w:rPr>
        <w:t>、供应商人员与建行相关部门在系统维护工作中的关系。</w:t>
      </w:r>
    </w:p>
    <w:p w14:paraId="7BF26C86">
      <w:pPr>
        <w:spacing w:line="560" w:lineRule="exact"/>
        <w:ind w:firstLine="640" w:firstLineChars="200"/>
        <w:rPr>
          <w:rFonts w:hint="eastAsia" w:ascii="彩虹粗仿宋" w:hAnsi="宋体" w:eastAsia="彩虹粗仿宋"/>
          <w:sz w:val="32"/>
          <w:szCs w:val="32"/>
          <w:lang w:eastAsia="zh-CN"/>
        </w:rPr>
      </w:pPr>
      <w:r>
        <w:rPr>
          <w:rFonts w:hint="eastAsia" w:ascii="彩虹粗仿宋" w:hAnsi="宋体" w:eastAsia="彩虹粗仿宋"/>
          <w:sz w:val="32"/>
          <w:szCs w:val="32"/>
        </w:rPr>
        <w:t>熟悉总行“智慧政法平台”，可以按时交付</w:t>
      </w:r>
      <w:r>
        <w:rPr>
          <w:rFonts w:hint="eastAsia" w:ascii="彩虹粗仿宋" w:hAnsi="宋体" w:eastAsia="彩虹粗仿宋"/>
          <w:sz w:val="32"/>
          <w:szCs w:val="32"/>
          <w:lang w:eastAsia="zh-CN"/>
        </w:rPr>
        <w:t>及维保支持西藏未成年犯管教所项目。</w:t>
      </w:r>
    </w:p>
    <w:p w14:paraId="3E2CCFE7">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七</w:t>
      </w:r>
      <w:r>
        <w:rPr>
          <w:rFonts w:hint="eastAsia" w:ascii="彩虹粗仿宋" w:hAnsi="宋体" w:eastAsia="彩虹粗仿宋"/>
          <w:sz w:val="32"/>
          <w:szCs w:val="32"/>
        </w:rPr>
        <w:t>、工作成果要求，包括保密要求、最终提交文档要求、验收标准及验收流程等。</w:t>
      </w:r>
    </w:p>
    <w:p w14:paraId="64694557">
      <w:pPr>
        <w:ind w:left="420" w:firstLine="220"/>
        <w:rPr>
          <w:rFonts w:hint="eastAsia" w:ascii="彩虹粗仿宋" w:hAnsi="宋体" w:eastAsia="彩虹粗仿宋"/>
          <w:sz w:val="32"/>
          <w:szCs w:val="32"/>
          <w:lang w:eastAsia="zh-CN"/>
        </w:rPr>
      </w:pPr>
      <w:r>
        <w:rPr>
          <w:rFonts w:hint="eastAsia" w:ascii="彩虹粗仿宋" w:hAnsi="宋体" w:eastAsia="彩虹粗仿宋"/>
          <w:sz w:val="32"/>
          <w:szCs w:val="32"/>
          <w:lang w:eastAsia="zh-CN"/>
        </w:rPr>
        <w:t>以签订采购合同进行约定。</w:t>
      </w:r>
    </w:p>
    <w:p w14:paraId="5FAE55BD">
      <w:pPr>
        <w:ind w:left="420" w:firstLine="220"/>
        <w:rPr>
          <w:rFonts w:ascii="彩虹粗仿宋" w:hAnsi="宋体" w:eastAsia="彩虹粗仿宋"/>
          <w:sz w:val="32"/>
          <w:szCs w:val="32"/>
        </w:rPr>
      </w:pPr>
      <w:r>
        <w:rPr>
          <w:rFonts w:hint="eastAsia" w:ascii="彩虹粗仿宋" w:hAnsi="宋体" w:eastAsia="彩虹粗仿宋"/>
          <w:sz w:val="32"/>
          <w:szCs w:val="32"/>
          <w:lang w:val="en-US" w:eastAsia="zh-CN"/>
        </w:rPr>
        <w:t>八</w:t>
      </w:r>
      <w:bookmarkStart w:id="0" w:name="_GoBack"/>
      <w:bookmarkEnd w:id="0"/>
      <w:r>
        <w:rPr>
          <w:rFonts w:hint="eastAsia" w:ascii="彩虹粗仿宋" w:hAnsi="宋体" w:eastAsia="彩虹粗仿宋"/>
          <w:sz w:val="32"/>
          <w:szCs w:val="32"/>
        </w:rPr>
        <w:t>、其他要求，如：问题处理流程的说明、系统运行日志和运行报告的内容要求等。</w:t>
      </w:r>
    </w:p>
    <w:p w14:paraId="709EE749">
      <w:pPr>
        <w:ind w:left="420" w:firstLine="220"/>
      </w:pPr>
      <w:r>
        <w:rPr>
          <w:rFonts w:hint="eastAsia" w:ascii="彩虹粗仿宋" w:hAnsi="宋体" w:eastAsia="彩虹粗仿宋"/>
          <w:sz w:val="32"/>
          <w:szCs w:val="32"/>
        </w:rPr>
        <w:t>无</w:t>
      </w:r>
    </w:p>
    <w:p w14:paraId="1FD6FA36"/>
    <w:p w14:paraId="51A922C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 w:name="Sim Sun">
    <w:altName w:val="华文中宋"/>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DF3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Office_12.8.2.17134_F1E327BC-269C-435d-A152-05C5408002CA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2025-12-02T08:20:14Z</dcterms:created>
  <dc:creator>CCB</dc:creator>
  <cp:lastModifiedBy>周丹</cp:lastModifiedBy>
  <dcterms:modified xsi:type="dcterms:W3CDTF">2025-12-02T08:21:48Z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F276D7F5FBF649238E2070B2BF5DFD7B_12</vt:lpwstr>
  </property>
</Properties>
</file>