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720"/>
        <w:jc w:val="center"/>
        <w:rPr>
          <w:rFonts w:ascii="彩虹小标宋" w:hAnsi="彩虹小标宋" w:eastAsia="彩虹小标宋"/>
          <w:bCs/>
          <w:color w:val="auto"/>
          <w:sz w:val="36"/>
          <w:szCs w:val="36"/>
        </w:rPr>
      </w:pPr>
      <w:r>
        <w:rPr>
          <w:rFonts w:hint="eastAsia" w:ascii="彩虹小标宋" w:hAnsi="彩虹小标宋" w:eastAsia="彩虹小标宋"/>
          <w:bCs/>
          <w:color w:val="auto"/>
          <w:sz w:val="36"/>
          <w:szCs w:val="36"/>
        </w:rPr>
        <w:t>许昌分行公安</w:t>
      </w:r>
      <w:r>
        <w:rPr>
          <w:rFonts w:ascii="彩虹小标宋" w:hAnsi="彩虹小标宋" w:eastAsia="彩虹小标宋"/>
          <w:bCs/>
          <w:color w:val="auto"/>
          <w:sz w:val="36"/>
          <w:szCs w:val="36"/>
        </w:rPr>
        <w:t>110联网报警服务采购需求</w:t>
      </w:r>
      <w:r>
        <w:rPr>
          <w:rFonts w:hint="eastAsia" w:ascii="彩虹小标宋" w:hAnsi="彩虹小标宋" w:eastAsia="彩虹小标宋"/>
          <w:bCs/>
          <w:color w:val="auto"/>
          <w:sz w:val="36"/>
          <w:szCs w:val="36"/>
        </w:rPr>
        <w:t>采购需求</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一、对候选供应商的要求</w:t>
      </w:r>
    </w:p>
    <w:p>
      <w:pPr>
        <w:spacing w:line="52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（一）具有独立法人资格，有效的营业执照。</w:t>
      </w:r>
    </w:p>
    <w:p>
      <w:pPr>
        <w:spacing w:line="52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（二）正常经营，财务状况良好，提供近三年（202</w:t>
      </w:r>
      <w:r>
        <w:rPr>
          <w:rFonts w:hint="eastAsia" w:ascii="彩虹粗仿宋" w:hAnsi="彩虹粗仿宋" w:eastAsia="彩虹粗仿宋"/>
          <w:color w:val="auto"/>
          <w:sz w:val="32"/>
          <w:szCs w:val="32"/>
          <w:lang w:val="en-US" w:eastAsia="zh-CN"/>
        </w:rPr>
        <w:t>0</w:t>
      </w:r>
      <w:r>
        <w:rPr>
          <w:rFonts w:hint="eastAsia" w:ascii="彩虹粗仿宋" w:hAnsi="彩虹粗仿宋" w:eastAsia="彩虹粗仿宋"/>
          <w:color w:val="auto"/>
          <w:sz w:val="32"/>
          <w:szCs w:val="32"/>
        </w:rPr>
        <w:t>年-202</w:t>
      </w:r>
      <w:r>
        <w:rPr>
          <w:rFonts w:hint="eastAsia" w:ascii="彩虹粗仿宋" w:hAnsi="彩虹粗仿宋" w:eastAsia="彩虹粗仿宋"/>
          <w:color w:val="auto"/>
          <w:sz w:val="32"/>
          <w:szCs w:val="32"/>
          <w:lang w:val="en-US" w:eastAsia="zh-CN"/>
        </w:rPr>
        <w:t>2</w:t>
      </w:r>
      <w:r>
        <w:rPr>
          <w:rFonts w:hint="eastAsia" w:ascii="彩虹粗仿宋" w:hAnsi="彩虹粗仿宋" w:eastAsia="彩虹粗仿宋"/>
          <w:color w:val="auto"/>
          <w:sz w:val="32"/>
          <w:szCs w:val="32"/>
        </w:rPr>
        <w:t>年）的经审计的财务报告或财务报表（新成立企业从成立日计算）</w:t>
      </w:r>
    </w:p>
    <w:p>
      <w:pPr>
        <w:spacing w:line="52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w:t>
      </w:r>
      <w:r>
        <w:rPr>
          <w:rStyle w:val="4"/>
          <w:rFonts w:hint="eastAsia" w:ascii="彩虹粗仿宋" w:hAnsi="彩虹粗仿宋" w:eastAsia="彩虹粗仿宋"/>
          <w:color w:val="auto"/>
          <w:sz w:val="32"/>
          <w:szCs w:val="32"/>
        </w:rPr>
        <w:t>2021年1月1日以来</w:t>
      </w:r>
      <w:r>
        <w:rPr>
          <w:rFonts w:hint="eastAsia" w:ascii="彩虹粗仿宋" w:hAnsi="彩虹粗仿宋" w:eastAsia="彩虹粗仿宋"/>
          <w:color w:val="auto"/>
          <w:sz w:val="32"/>
          <w:szCs w:val="32"/>
        </w:rPr>
        <w:t>具有与公安联网110报警服务同类项目经验。</w:t>
      </w:r>
    </w:p>
    <w:p>
      <w:pPr>
        <w:numPr>
          <w:ilvl w:val="0"/>
          <w:numId w:val="1"/>
        </w:numPr>
        <w:spacing w:line="560" w:lineRule="atLeast"/>
        <w:ind w:firstLine="640"/>
        <w:rPr>
          <w:rFonts w:ascii="彩虹粗仿宋" w:hAnsi="彩虹粗仿宋" w:eastAsia="彩虹粗仿宋"/>
          <w:color w:val="auto"/>
          <w:sz w:val="32"/>
        </w:rPr>
      </w:pPr>
      <w:r>
        <w:rPr>
          <w:rFonts w:hint="eastAsia" w:ascii="彩虹粗仿宋" w:hAnsi="彩虹粗仿宋" w:eastAsia="彩虹粗仿宋"/>
          <w:color w:val="auto"/>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60" w:lineRule="atLeast"/>
        <w:ind w:firstLine="640"/>
        <w:rPr>
          <w:rFonts w:ascii="彩虹粗仿宋" w:hAnsi="彩虹粗仿宋" w:eastAsia="彩虹粗仿宋"/>
          <w:color w:val="auto"/>
          <w:sz w:val="32"/>
        </w:rPr>
      </w:pPr>
      <w:r>
        <w:rPr>
          <w:rFonts w:hint="eastAsia" w:ascii="彩虹粗仿宋" w:hAnsi="彩虹粗仿宋" w:eastAsia="彩虹粗仿宋"/>
          <w:color w:val="auto"/>
          <w:sz w:val="32"/>
        </w:rPr>
        <w:t>（五）本项目不允许联合体投标，不允许分包或转包。</w:t>
      </w:r>
    </w:p>
    <w:p>
      <w:pPr>
        <w:spacing w:line="560" w:lineRule="exact"/>
        <w:ind w:firstLine="640"/>
        <w:rPr>
          <w:rFonts w:ascii="彩虹粗仿宋" w:hAnsi="彩虹粗仿宋" w:eastAsia="彩虹粗仿宋"/>
          <w:color w:val="auto"/>
          <w:sz w:val="32"/>
        </w:rPr>
      </w:pPr>
      <w:r>
        <w:rPr>
          <w:rFonts w:hint="eastAsia" w:ascii="彩虹粗仿宋" w:hAnsi="彩虹粗仿宋" w:eastAsia="彩虹粗仿宋"/>
          <w:color w:val="auto"/>
          <w:sz w:val="32"/>
        </w:rPr>
        <w:t>（六）</w:t>
      </w:r>
      <w:bookmarkStart w:id="0" w:name="_GoBack"/>
      <w:r>
        <w:rPr>
          <w:rFonts w:hint="eastAsia" w:ascii="彩虹粗仿宋" w:hAnsi="彩虹粗仿宋" w:eastAsia="彩虹粗仿宋"/>
          <w:color w:val="auto"/>
          <w:sz w:val="32"/>
        </w:rPr>
        <w:t>外商独资、中外合资、中外合作的公司不得参与</w:t>
      </w:r>
      <w:bookmarkEnd w:id="0"/>
      <w:r>
        <w:rPr>
          <w:rFonts w:hint="eastAsia" w:ascii="彩虹粗仿宋" w:hAnsi="彩虹粗仿宋" w:eastAsia="彩虹粗仿宋"/>
          <w:color w:val="auto"/>
          <w:sz w:val="32"/>
        </w:rPr>
        <w:t>。</w:t>
      </w:r>
    </w:p>
    <w:p>
      <w:pPr>
        <w:spacing w:line="560" w:lineRule="exact"/>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二、服务基本内容</w:t>
      </w:r>
    </w:p>
    <w:p>
      <w:pPr>
        <w:spacing w:line="560" w:lineRule="exact"/>
        <w:ind w:firstLine="640"/>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许昌城区所辖1座金库、16个营业网点、7个离行式自助银行（自助设备）、4栋办公楼、1个档案库、1个计算机设备间等的联网报警设施、设备及相关配件的安装、更换、调试、维修、巡检及迁移，对联网报警设备进行报警测试、监控、警情处置等服务项目。</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三、服务团队要求</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（一）符合《保安服务管理条例》的要求，有当地公安部门认可的110报警入网许可服务，开展110联网报警服务3年以上，在当地服务于大多数金融机构；</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（二）供应商有专门联系人，服务人员经过专业培训；</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（三）供应商公司服务人员按照我行的要求完成每次的工作任务，遵章守纪，合规履职；</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（四）供应商承诺为我行服务人员提供营运期间的支持保障及应急工作；</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（五）与我行合作期限不低于一年；</w:t>
      </w:r>
    </w:p>
    <w:p>
      <w:pPr>
        <w:spacing w:line="560" w:lineRule="exact"/>
        <w:ind w:firstLine="640"/>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（六）具备一定的专业技能，能正确处理服务中出现的各种情况并进行有效处置。</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四、服务质量要求</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（一）计划安排要求</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项目推进按照前期工作安排，按照我行采购流程进行，积极与采购部门对接，安排专人配合采购部门对采购事项所涉及到的内容、费用、问题及时解决，早日圆满完成本次采购项目。</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（二）服务质量标准</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1、供应商承诺按照协议约定的服务内容向我行提供合格的服务，接受我行对其工作的指导和监督。</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2、按照我行的服务需求，配备和提供服务人员。不得泄漏因服务而取得的任何我行的业务信息。</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3、供应商负责制定与受托业务相关的内控制度、操作规程、人员考核等办法，并报我行备案；供应商不得将其在协议约定项下任一事项转让或分包给第三方。</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5、供应商应确保与公安局“110”报警服务平台的信息畅通，达到公安部门服务的要求。做好所辖110报警设备日常的故障排查工作，确保技术人员配备，保障设备良好运行。</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（三）风险控制要求</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按照总行《关于防范业务外包用工风险的通知》（建人〔2014〕235号）的文件要求，禁止供应商以我行名义进行用工管理或开展生产经营活动，服务人员应与供应商公司依法订立劳动合同，防范服务类业务用工风险。</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1、日常管理、监督和检查。</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2、明确责任，防范风险</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双方按照约定明确双方责任，建立健全安全责任制，完善双方沟通协作机制。提供110报警联网维护服务的供应商公司应根据不同工作性质，明确人员岗位职责，规范流程，不断提升服务人员的业务素质和技能，为我行提供更加安全的110报警服务。</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（2）我行负责监督检查供应商公司提供服务的数量、质量和应急处置。</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（3）供应商公司通过工作合同、规章对服务人员的行为做出约束，并与服务人员一一签订《保密协议》，防范客户信息泄露的风险，严格防范操作风险、声誉风险及其它风险。</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（四）保密要求</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1、服务人员只能掌握了解工作需要的相关信息，不得将我行信息资料以任何方式透露给其他任何机构或个人。</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2、服务人员不得利用工作之便窃取、收买或者非法提供他人申请信息资料进行各种非法活动。</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3、由于供应商公司及公司服务人员原因导致我行及客户信息泄漏的，按照双方合同约定追究相关责任。</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4、供应商公司应严守在履行协议约定中以口头、书面或其他任何方式知悉的我行的商业秘密、技术秘密和其他商业及业务信息，不得泄露。无论协议约定是否无效、变更或终止，本保密条款持续有效。</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（五）应急预案要求</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1、供应商公司应制定相关应急预案，演练预案场景、预案分工、预案演练、预案评估，并明确应急处置流程。</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2、因服务人员原因造成我行及客户信息泄露、客户投诉等风险，供应商公司应立即向我行报告，同时启动应急预案，沟通协商解决办法，防止事态扩大。</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3、由于供应商公司原因（如：服务中断）引起突发事件的，我行应立即启动相应应急预案，妥善处置问题，积极争取恢复生产。</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4、造成我行经济损失的，应按照相关法律法规、合同约定进行索赔。造成我行声誉损失的，应要求供应商公司积极配合我行采取措施消除影响、恢复声誉。涉嫌违法犯罪的，应及时向公安机关报案。</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6、在处理事（案）件过程中要时刻向我行报告进展情况，待风险解除后，形成书面报告报送我行，我行综合评估后确定是否继续开展此服务事项。</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（六）消保条款要求</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1.个人信息保护条款</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（1）明确双方职责、保密义务及个人信息保护条款措施、个人信息发生泄露的违约责任；约定合作机构的保密义务不因服务的终止而终止；</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（2）合作机构不得在未获得客户同意的前提下将获得的个人信息进一步提供给其他第三方；</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（3）合作机构向个人信息主体征得收集个人信息的明确同意授权；</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（4）在双方合作关系终止时，应确保其不再存储我行相关个人信息。</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2.信息披露条款</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 xml:space="preserve">3.消费者投诉条款 </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（2）对涉及理赔给付的合作机构，应明确其承担的投诉处理义务和责任。</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 xml:space="preserve">4.其他行为监督 </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5.黑名单退出机制</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对有下列情形之一的，应取消准入资格；已经准入的，应予以退出。</w:t>
      </w:r>
    </w:p>
    <w:p>
      <w:pPr>
        <w:spacing w:line="600" w:lineRule="exact"/>
        <w:ind w:left="210"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（1）存在消费者权益侵权行为，引发较大舆情或重大投诉在社会上造成严重不良影响的；</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（2）存在消费者权益侵权行为，受到监管处罚，给我行造成严重不良影响的；</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（3）存在消费者权益侵权行为，受到公安立案或法院判决，给我行造成严重不良影响的；</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（4）违反法律法规和监管机构规定的其他严重情形。</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6.争端的解决</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合同协议有效期内若发生争议，应本着友好协商的态度加以妥善解决。协商不成的，向所在地人民法院起诉。诉讼期间，合同不涉及争议的条款，双方仍需继续履行。</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（七）验收方法和标准</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 xml:space="preserve">1、按照有关规定，每月供应商公司110报警服务进行综合评价，按“合格”、“基本合格”、“不合格”进行测评考核。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s="彩虹粗仿宋"/>
          <w:color w:val="auto"/>
          <w:sz w:val="32"/>
          <w:szCs w:val="32"/>
        </w:rPr>
        <w:t>2、每月由我行使用单位按“合格”、“基本合格”、“不合格”进行测评考核，根据我行提供的测评情况对供应商公司进行综合评价，合格岗位占服务总岗位90%（含）以上为总体合格、80%（含）以上90%以下为基本合格、80%以下为不合格，按总体合格、基本合格、不合格三个档次支付服务费用。总体合格档次支付全额服务费用，基本合格、不合格档次对供应商公司进行约谈，按照合同约定扣减相应费用。</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五、服务供应安排</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（一）报警监控</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供应商公司按照报警联网设备合同的约定对我行各地区辖内报警服务点（含网点、自助、金库、档案库房等）进行撤布防的监控。</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（二）设备巡检</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全年为我行网点的联网报警系统每季度进行1次全面的检修。</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（三）设备日常维修维护</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做好营业场所和办公楼等重点部位110联网线路设备和报警系统的的日常维护。</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（四）人员培训</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每年对我行人员每季度提供1次安保设施设备维护使用培训。</w:t>
      </w:r>
    </w:p>
    <w:p>
      <w:pPr>
        <w:spacing w:line="600" w:lineRule="exact"/>
        <w:ind w:firstLine="640"/>
        <w:jc w:val="left"/>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（五）警情处置</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s="彩虹粗仿宋"/>
          <w:color w:val="auto"/>
          <w:sz w:val="32"/>
          <w:szCs w:val="32"/>
        </w:rPr>
        <w:t>供应商与“110”指挥中心24小时共同接收紧急报警信号，及时通知反馈处理。</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六、服务数量要求</w:t>
      </w:r>
    </w:p>
    <w:tbl>
      <w:tblPr>
        <w:tblStyle w:val="2"/>
        <w:tblW w:w="8512" w:type="dxa"/>
        <w:tblInd w:w="-108" w:type="dxa"/>
        <w:tblLayout w:type="autofit"/>
        <w:tblCellMar>
          <w:top w:w="0" w:type="dxa"/>
          <w:left w:w="10" w:type="dxa"/>
          <w:bottom w:w="0" w:type="dxa"/>
          <w:right w:w="10" w:type="dxa"/>
        </w:tblCellMar>
      </w:tblPr>
      <w:tblGrid>
        <w:gridCol w:w="579"/>
        <w:gridCol w:w="1133"/>
        <w:gridCol w:w="2727"/>
        <w:gridCol w:w="1278"/>
        <w:gridCol w:w="2795"/>
      </w:tblGrid>
      <w:tr>
        <w:tblPrEx>
          <w:tblCellMar>
            <w:top w:w="0" w:type="dxa"/>
            <w:left w:w="10" w:type="dxa"/>
            <w:bottom w:w="0" w:type="dxa"/>
            <w:right w:w="10" w:type="dxa"/>
          </w:tblCellMar>
        </w:tblPrEx>
        <w:trPr>
          <w:trHeight w:val="540" w:hRule="atLeast"/>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序号</w:t>
            </w:r>
          </w:p>
        </w:tc>
        <w:tc>
          <w:tcPr>
            <w:tcW w:w="1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二级行</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服务区域</w:t>
            </w:r>
          </w:p>
        </w:tc>
        <w:tc>
          <w:tcPr>
            <w:tcW w:w="12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点位数量</w:t>
            </w:r>
          </w:p>
        </w:tc>
        <w:tc>
          <w:tcPr>
            <w:tcW w:w="2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备注</w:t>
            </w:r>
          </w:p>
        </w:tc>
      </w:tr>
      <w:tr>
        <w:tblPrEx>
          <w:tblCellMar>
            <w:top w:w="0" w:type="dxa"/>
            <w:left w:w="10" w:type="dxa"/>
            <w:bottom w:w="0" w:type="dxa"/>
            <w:right w:w="10" w:type="dxa"/>
          </w:tblCellMar>
        </w:tblPrEx>
        <w:trPr>
          <w:trHeight w:val="1561" w:hRule="atLeast"/>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1</w:t>
            </w:r>
          </w:p>
        </w:tc>
        <w:tc>
          <w:tcPr>
            <w:tcW w:w="1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left"/>
              <w:rPr>
                <w:rFonts w:ascii="宋体" w:hAnsi="宋体" w:eastAsia="宋体" w:cs="宋体"/>
                <w:color w:val="auto"/>
                <w:sz w:val="22"/>
              </w:rPr>
            </w:pPr>
            <w:r>
              <w:rPr>
                <w:rFonts w:hint="eastAsia" w:ascii="宋体" w:hAnsi="宋体" w:eastAsia="宋体" w:cs="宋体"/>
                <w:color w:val="auto"/>
                <w:sz w:val="22"/>
              </w:rPr>
              <w:t>许昌分行</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left"/>
              <w:rPr>
                <w:rFonts w:ascii="宋体" w:hAnsi="宋体" w:eastAsia="宋体" w:cs="宋体"/>
                <w:color w:val="auto"/>
                <w:sz w:val="22"/>
              </w:rPr>
            </w:pPr>
            <w:r>
              <w:rPr>
                <w:rFonts w:hint="eastAsia" w:ascii="宋体" w:hAnsi="宋体" w:eastAsia="宋体" w:cs="宋体"/>
                <w:color w:val="auto"/>
                <w:sz w:val="22"/>
              </w:rPr>
              <w:t>对许昌分行辖区内报警设备（含网点、自助、金库、档案库房等）提供监控、处置、维护等服务</w:t>
            </w:r>
          </w:p>
        </w:tc>
        <w:tc>
          <w:tcPr>
            <w:tcW w:w="12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45</w:t>
            </w:r>
          </w:p>
        </w:tc>
        <w:tc>
          <w:tcPr>
            <w:tcW w:w="2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left"/>
              <w:rPr>
                <w:rFonts w:ascii="宋体" w:hAnsi="宋体" w:eastAsia="宋体" w:cs="宋体"/>
                <w:color w:val="auto"/>
                <w:sz w:val="22"/>
              </w:rPr>
            </w:pPr>
            <w:r>
              <w:rPr>
                <w:rFonts w:hint="eastAsia" w:ascii="宋体" w:hAnsi="宋体" w:eastAsia="宋体" w:cs="宋体"/>
                <w:color w:val="auto"/>
                <w:sz w:val="22"/>
              </w:rPr>
              <w:t>许昌城区16个营业网点（含自助）、8个离行式自助设备（银行）、金库、办公楼、档案库房、监控中心等</w:t>
            </w:r>
          </w:p>
        </w:tc>
      </w:tr>
    </w:tbl>
    <w:p>
      <w:pPr>
        <w:spacing w:line="560" w:lineRule="exact"/>
        <w:ind w:firstLine="640"/>
        <w:rPr>
          <w:rFonts w:ascii="彩虹粗仿宋" w:hAnsi="彩虹粗仿宋" w:eastAsia="彩虹粗仿宋"/>
          <w:color w:val="auto"/>
          <w:sz w:val="32"/>
          <w:szCs w:val="32"/>
        </w:rPr>
      </w:pP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七、款项支付要求</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八、报价要求</w:t>
      </w:r>
    </w:p>
    <w:p>
      <w:pPr>
        <w:spacing w:line="560" w:lineRule="exact"/>
        <w:ind w:firstLine="633"/>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本次采购项目为许昌分行公安110联网报警服务，报含税单价和含税总价，超过预算为无效报价，含税单价和报警点数具体如下：</w:t>
      </w:r>
      <w:r>
        <w:rPr>
          <w:rFonts w:ascii="彩虹粗仿宋" w:hAnsi="彩虹粗仿宋" w:eastAsia="彩虹粗仿宋"/>
          <w:color w:val="auto"/>
          <w:sz w:val="32"/>
          <w:szCs w:val="32"/>
        </w:rPr>
        <w:t xml:space="preserve"> </w:t>
      </w:r>
    </w:p>
    <w:tbl>
      <w:tblPr>
        <w:tblStyle w:val="2"/>
        <w:tblW w:w="5000" w:type="pct"/>
        <w:tblInd w:w="0" w:type="dxa"/>
        <w:tblLayout w:type="autofit"/>
        <w:tblCellMar>
          <w:top w:w="0" w:type="dxa"/>
          <w:left w:w="108" w:type="dxa"/>
          <w:bottom w:w="0" w:type="dxa"/>
          <w:right w:w="108" w:type="dxa"/>
        </w:tblCellMar>
      </w:tblPr>
      <w:tblGrid>
        <w:gridCol w:w="2425"/>
        <w:gridCol w:w="1735"/>
        <w:gridCol w:w="2192"/>
        <w:gridCol w:w="2170"/>
      </w:tblGrid>
      <w:tr>
        <w:tblPrEx>
          <w:tblCellMar>
            <w:top w:w="0" w:type="dxa"/>
            <w:left w:w="108" w:type="dxa"/>
            <w:bottom w:w="0" w:type="dxa"/>
            <w:right w:w="108" w:type="dxa"/>
          </w:tblCellMar>
        </w:tblPrEx>
        <w:trPr>
          <w:trHeight w:val="540" w:hRule="atLeast"/>
        </w:trPr>
        <w:tc>
          <w:tcPr>
            <w:tcW w:w="142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b/>
                <w:color w:val="auto"/>
                <w:kern w:val="0"/>
                <w:sz w:val="22"/>
              </w:rPr>
            </w:pPr>
            <w:r>
              <w:rPr>
                <w:rFonts w:hint="eastAsia" w:ascii="宋体" w:hAnsi="宋体" w:eastAsia="宋体" w:cs="宋体"/>
                <w:b/>
                <w:color w:val="auto"/>
                <w:kern w:val="0"/>
                <w:sz w:val="22"/>
              </w:rPr>
              <w:t>采购项目</w:t>
            </w:r>
          </w:p>
        </w:tc>
        <w:tc>
          <w:tcPr>
            <w:tcW w:w="1018" w:type="pct"/>
            <w:tcBorders>
              <w:top w:val="single" w:color="auto" w:sz="4" w:space="0"/>
              <w:left w:val="nil"/>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b/>
                <w:color w:val="auto"/>
                <w:kern w:val="0"/>
                <w:sz w:val="22"/>
              </w:rPr>
            </w:pPr>
            <w:r>
              <w:rPr>
                <w:rFonts w:hint="eastAsia" w:ascii="宋体" w:hAnsi="宋体" w:eastAsia="宋体" w:cs="宋体"/>
                <w:b/>
                <w:color w:val="auto"/>
                <w:kern w:val="0"/>
                <w:sz w:val="22"/>
              </w:rPr>
              <w:t>单位</w:t>
            </w:r>
          </w:p>
        </w:tc>
        <w:tc>
          <w:tcPr>
            <w:tcW w:w="1286" w:type="pct"/>
            <w:tcBorders>
              <w:top w:val="single" w:color="auto" w:sz="4" w:space="0"/>
              <w:left w:val="nil"/>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b/>
                <w:color w:val="auto"/>
                <w:kern w:val="0"/>
                <w:sz w:val="22"/>
              </w:rPr>
            </w:pPr>
            <w:r>
              <w:rPr>
                <w:rFonts w:hint="eastAsia" w:ascii="宋体" w:hAnsi="宋体" w:eastAsia="宋体" w:cs="宋体"/>
                <w:b/>
                <w:color w:val="auto"/>
                <w:kern w:val="0"/>
                <w:sz w:val="22"/>
              </w:rPr>
              <w:t>数量（每月）</w:t>
            </w:r>
          </w:p>
        </w:tc>
        <w:tc>
          <w:tcPr>
            <w:tcW w:w="1273" w:type="pct"/>
            <w:tcBorders>
              <w:top w:val="single" w:color="auto" w:sz="4" w:space="0"/>
              <w:left w:val="nil"/>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b/>
                <w:color w:val="auto"/>
                <w:kern w:val="0"/>
                <w:sz w:val="22"/>
              </w:rPr>
            </w:pPr>
            <w:r>
              <w:rPr>
                <w:rFonts w:hint="eastAsia" w:ascii="宋体" w:hAnsi="宋体" w:eastAsia="宋体" w:cs="宋体"/>
                <w:b/>
                <w:color w:val="auto"/>
                <w:kern w:val="0"/>
                <w:sz w:val="22"/>
              </w:rPr>
              <w:t>单价（元）</w:t>
            </w:r>
          </w:p>
        </w:tc>
      </w:tr>
      <w:tr>
        <w:tblPrEx>
          <w:tblCellMar>
            <w:top w:w="0" w:type="dxa"/>
            <w:left w:w="108" w:type="dxa"/>
            <w:bottom w:w="0" w:type="dxa"/>
            <w:right w:w="108" w:type="dxa"/>
          </w:tblCellMar>
        </w:tblPrEx>
        <w:trPr>
          <w:trHeight w:val="540" w:hRule="atLeast"/>
        </w:trPr>
        <w:tc>
          <w:tcPr>
            <w:tcW w:w="142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color w:val="auto"/>
                <w:kern w:val="0"/>
                <w:sz w:val="22"/>
              </w:rPr>
            </w:pPr>
            <w:r>
              <w:rPr>
                <w:rFonts w:hint="eastAsia" w:ascii="宋体" w:hAnsi="宋体" w:eastAsia="宋体" w:cs="宋体"/>
                <w:color w:val="auto"/>
                <w:kern w:val="0"/>
                <w:sz w:val="22"/>
              </w:rPr>
              <w:t>城区110联网报警</w:t>
            </w:r>
          </w:p>
        </w:tc>
        <w:tc>
          <w:tcPr>
            <w:tcW w:w="1018" w:type="pct"/>
            <w:tcBorders>
              <w:top w:val="single" w:color="auto" w:sz="4" w:space="0"/>
              <w:left w:val="nil"/>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rPr>
                <w:rFonts w:ascii="宋体" w:hAnsi="宋体" w:eastAsia="宋体" w:cs="宋体"/>
                <w:color w:val="auto"/>
                <w:kern w:val="0"/>
                <w:sz w:val="22"/>
              </w:rPr>
            </w:pPr>
            <w:r>
              <w:rPr>
                <w:rFonts w:hint="eastAsia" w:ascii="宋体" w:hAnsi="宋体" w:eastAsia="宋体" w:cs="宋体"/>
                <w:color w:val="auto"/>
                <w:kern w:val="0"/>
                <w:sz w:val="22"/>
              </w:rPr>
              <w:t>元/点/月</w:t>
            </w:r>
          </w:p>
        </w:tc>
        <w:tc>
          <w:tcPr>
            <w:tcW w:w="1286" w:type="pct"/>
            <w:tcBorders>
              <w:top w:val="single" w:color="auto" w:sz="4" w:space="0"/>
              <w:left w:val="nil"/>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color w:val="auto"/>
                <w:kern w:val="0"/>
                <w:sz w:val="22"/>
              </w:rPr>
            </w:pPr>
            <w:r>
              <w:rPr>
                <w:rFonts w:hint="eastAsia" w:ascii="宋体" w:hAnsi="宋体" w:eastAsia="宋体" w:cs="宋体"/>
                <w:color w:val="auto"/>
                <w:kern w:val="0"/>
                <w:sz w:val="22"/>
              </w:rPr>
              <w:t>45</w:t>
            </w:r>
          </w:p>
        </w:tc>
        <w:tc>
          <w:tcPr>
            <w:tcW w:w="1273" w:type="pct"/>
            <w:tcBorders>
              <w:top w:val="single" w:color="auto" w:sz="4" w:space="0"/>
              <w:left w:val="nil"/>
              <w:bottom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eastAsia="宋体" w:cs="宋体"/>
                <w:color w:val="auto"/>
                <w:kern w:val="0"/>
                <w:sz w:val="22"/>
              </w:rPr>
            </w:pPr>
            <w:r>
              <w:rPr>
                <w:rFonts w:hint="eastAsia" w:ascii="宋体" w:hAnsi="宋体" w:eastAsia="宋体" w:cs="宋体"/>
                <w:color w:val="auto"/>
                <w:kern w:val="0"/>
                <w:sz w:val="22"/>
              </w:rPr>
              <w:t xml:space="preserve">400.00 </w:t>
            </w:r>
          </w:p>
        </w:tc>
      </w:tr>
    </w:tbl>
    <w:p>
      <w:pPr>
        <w:spacing w:line="560" w:lineRule="exact"/>
        <w:ind w:firstLine="640"/>
        <w:rPr>
          <w:rFonts w:ascii="彩虹黑体" w:hAnsi="彩虹黑体" w:eastAsia="彩虹黑体"/>
          <w:color w:val="auto"/>
          <w:sz w:val="32"/>
          <w:szCs w:val="32"/>
        </w:rPr>
      </w:pP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九、其他要求</w:t>
      </w:r>
    </w:p>
    <w:p>
      <w:pPr>
        <w:rPr>
          <w:color w:val="auto"/>
        </w:rPr>
      </w:pP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未经采购方允许，供应商不得将本项目采购内容及项目以任何方式进行转包。</w:t>
      </w:r>
    </w:p>
    <w:p>
      <w:pPr>
        <w:rPr>
          <w:color w:val="auto"/>
        </w:rPr>
      </w:pPr>
    </w:p>
    <w:p/>
    <w:sectPr>
      <w:endnotePr>
        <w:numFmt w:val="decimal"/>
      </w:endnote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3164E"/>
    <w:multiLevelType w:val="singleLevel"/>
    <w:tmpl w:val="8B03164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9C4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Calibri" w:cs="Times New Roman"/>
      <w:kern w:val="1"/>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im-content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2024-05-22T01:54:19Z</dcterms:created>
  <dc:creator>haccb</dc:creator>
  <cp:lastModifiedBy>haccb</cp:lastModifiedBy>
  <dcterms:modified xsi:type="dcterms:W3CDTF">2024-05-22T01:56:04Z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164D07A8F5A34E8AA61AB193C6346995_12</vt:lpwstr>
  </property>
</Properties>
</file>