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彩虹小标宋" w:hAnsi="宋体" w:eastAsia="彩虹小标宋" w:cs="Times New Roman"/>
          <w:bCs/>
          <w:snapToGrid w:val="0"/>
          <w:color w:val="000000" w:themeColor="text1"/>
          <w:kern w:val="0"/>
          <w:sz w:val="36"/>
          <w:szCs w:val="36"/>
          <w14:textFill>
            <w14:solidFill>
              <w14:schemeClr w14:val="tx1"/>
            </w14:solidFill>
          </w14:textFill>
        </w:rPr>
      </w:pPr>
      <w:r>
        <w:rPr>
          <w:rFonts w:hint="eastAsia" w:ascii="彩虹小标宋" w:hAnsi="宋体" w:eastAsia="彩虹小标宋" w:cs="Times New Roman"/>
          <w:bCs/>
          <w:snapToGrid w:val="0"/>
          <w:color w:val="000000" w:themeColor="text1"/>
          <w:kern w:val="0"/>
          <w:sz w:val="36"/>
          <w:szCs w:val="36"/>
          <w14:textFill>
            <w14:solidFill>
              <w14:schemeClr w14:val="tx1"/>
            </w14:solidFill>
          </w14:textFill>
        </w:rPr>
        <w:t>采购需求</w:t>
      </w: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一、对候选供应商的要求</w:t>
      </w:r>
    </w:p>
    <w:p>
      <w:pPr>
        <w:adjustRightInd w:val="0"/>
        <w:snapToGrid w:val="0"/>
        <w:spacing w:line="360" w:lineRule="auto"/>
        <w:ind w:firstLine="560" w:firstLineChars="200"/>
        <w:outlineLvl w:val="1"/>
        <w:rPr>
          <w:rFonts w:ascii="彩虹粗仿宋" w:eastAsia="彩虹粗仿宋"/>
          <w:color w:val="000000"/>
          <w:kern w:val="0"/>
          <w:sz w:val="28"/>
          <w:szCs w:val="28"/>
        </w:rPr>
      </w:pPr>
      <w:r>
        <w:rPr>
          <w:rFonts w:hint="eastAsia" w:ascii="彩虹粗仿宋" w:eastAsia="彩虹粗仿宋"/>
          <w:color w:val="000000"/>
          <w:kern w:val="0"/>
          <w:sz w:val="28"/>
          <w:szCs w:val="28"/>
        </w:rPr>
        <w:t>1.1基本资格要求</w:t>
      </w:r>
    </w:p>
    <w:p>
      <w:pPr>
        <w:adjustRightInd w:val="0"/>
        <w:snapToGrid w:val="0"/>
        <w:spacing w:line="360" w:lineRule="auto"/>
        <w:ind w:firstLine="560" w:firstLineChars="200"/>
        <w:jc w:val="left"/>
        <w:outlineLvl w:val="1"/>
        <w:rPr>
          <w:rFonts w:hint="eastAsia" w:ascii="彩虹粗仿宋" w:eastAsia="彩虹粗仿宋"/>
          <w:color w:val="000000"/>
          <w:kern w:val="0"/>
          <w:sz w:val="28"/>
          <w:szCs w:val="28"/>
        </w:rPr>
      </w:pPr>
      <w:r>
        <w:rPr>
          <w:rFonts w:hint="eastAsia" w:ascii="彩虹粗仿宋" w:eastAsia="彩虹粗仿宋"/>
          <w:color w:val="000000"/>
          <w:kern w:val="0"/>
          <w:sz w:val="28"/>
          <w:szCs w:val="28"/>
        </w:rPr>
        <w:t>投标人是在中国境内办理了工商注册的能够独立承担民事责任的独立法人或组织，营业执照有效，遵守国家有关法律、法规，具有良好的商业信誉和健全的财务会计制度。</w:t>
      </w:r>
    </w:p>
    <w:p>
      <w:pPr>
        <w:adjustRightInd w:val="0"/>
        <w:snapToGrid w:val="0"/>
        <w:spacing w:line="360" w:lineRule="auto"/>
        <w:ind w:firstLine="560" w:firstLineChars="200"/>
        <w:jc w:val="left"/>
        <w:outlineLvl w:val="1"/>
        <w:rPr>
          <w:rFonts w:hint="eastAsia" w:ascii="彩虹粗仿宋" w:eastAsia="彩虹粗仿宋"/>
          <w:color w:val="000000"/>
          <w:kern w:val="0"/>
          <w:sz w:val="28"/>
          <w:szCs w:val="28"/>
        </w:rPr>
      </w:pPr>
      <w:r>
        <w:rPr>
          <w:rFonts w:hint="eastAsia" w:ascii="彩虹粗仿宋" w:eastAsia="彩虹粗仿宋"/>
          <w:color w:val="000000"/>
          <w:kern w:val="0"/>
          <w:sz w:val="28"/>
          <w:szCs w:val="28"/>
        </w:rPr>
        <w:t>1.2特定资格要求</w:t>
      </w:r>
    </w:p>
    <w:p>
      <w:pPr>
        <w:adjustRightInd w:val="0"/>
        <w:snapToGrid w:val="0"/>
        <w:spacing w:line="360" w:lineRule="auto"/>
        <w:ind w:firstLine="560" w:firstLineChars="200"/>
        <w:rPr>
          <w:rFonts w:ascii="彩虹粗仿宋" w:hAnsi="彩虹粗仿宋" w:eastAsia="彩虹粗仿宋" w:cs="彩虹粗仿宋"/>
          <w:color w:val="000000" w:themeColor="text1"/>
          <w:sz w:val="28"/>
          <w:szCs w:val="28"/>
          <w:lang w:bidi="ar"/>
          <w14:textFill>
            <w14:solidFill>
              <w14:schemeClr w14:val="tx1"/>
            </w14:solidFill>
          </w14:textFill>
        </w:rPr>
      </w:pPr>
      <w:r>
        <w:rPr>
          <w:rFonts w:hint="eastAsia" w:ascii="彩虹粗仿宋" w:hAnsi="彩虹粗仿宋" w:eastAsia="彩虹粗仿宋" w:cs="彩虹粗仿宋"/>
          <w:color w:val="000000" w:themeColor="text1"/>
          <w:sz w:val="28"/>
          <w:szCs w:val="28"/>
          <w:lang w:bidi="ar"/>
          <w14:textFill>
            <w14:solidFill>
              <w14:schemeClr w14:val="tx1"/>
            </w14:solidFill>
          </w14:textFill>
        </w:rPr>
        <w:t>具备自2023年1月以来与政府、企业、事业单位合作的，单个合同金额在80万元及以上的后勤服务的合同案例（后勤服务是指保洁服务或驾驶服务或餐饮服务中的一项或多项）。</w:t>
      </w:r>
    </w:p>
    <w:p>
      <w:pPr>
        <w:autoSpaceDE w:val="0"/>
        <w:adjustRightInd w:val="0"/>
        <w:snapToGrid w:val="0"/>
        <w:spacing w:line="360" w:lineRule="auto"/>
        <w:ind w:firstLine="560" w:firstLineChars="200"/>
        <w:rPr>
          <w:rFonts w:hint="eastAsia" w:ascii="彩虹粗仿宋" w:hAnsi="宋体" w:eastAsia="彩虹粗仿宋"/>
          <w:sz w:val="28"/>
          <w:szCs w:val="28"/>
        </w:rPr>
      </w:pPr>
      <w:r>
        <w:rPr>
          <w:rFonts w:hint="eastAsia" w:ascii="彩虹粗仿宋" w:hAnsi="宋体" w:eastAsia="彩虹粗仿宋"/>
          <w:sz w:val="28"/>
          <w:szCs w:val="28"/>
        </w:rPr>
        <w:t>（</w:t>
      </w:r>
      <w:r>
        <w:rPr>
          <w:rFonts w:hint="eastAsia" w:ascii="彩虹粗仿宋" w:hAnsi="宋体" w:eastAsia="彩虹粗仿宋"/>
          <w:color w:val="000000"/>
          <w:kern w:val="0"/>
          <w:sz w:val="28"/>
          <w:szCs w:val="28"/>
        </w:rPr>
        <w:t>提供一个案例合同扫描件+该合同下的结算发票（一张或多张加总金额达到80万元及以上）+所提供的结算发票在税务系统的验真截图。</w:t>
      </w:r>
      <w:r>
        <w:rPr>
          <w:rFonts w:hint="eastAsia" w:ascii="彩虹粗仿宋" w:hAnsi="宋体" w:eastAsia="彩虹粗仿宋"/>
          <w:sz w:val="28"/>
          <w:szCs w:val="28"/>
        </w:rPr>
        <w:t>）</w:t>
      </w:r>
    </w:p>
    <w:p>
      <w:pPr>
        <w:adjustRightInd w:val="0"/>
        <w:snapToGrid w:val="0"/>
        <w:spacing w:line="360" w:lineRule="auto"/>
        <w:ind w:firstLine="560" w:firstLineChars="200"/>
        <w:outlineLvl w:val="0"/>
        <w:rPr>
          <w:rFonts w:hint="eastAsia" w:ascii="彩虹粗仿宋" w:hAnsi="宋体" w:eastAsia="彩虹粗仿宋"/>
          <w:color w:val="000000"/>
          <w:kern w:val="0"/>
          <w:sz w:val="28"/>
          <w:szCs w:val="28"/>
        </w:rPr>
      </w:pPr>
      <w:r>
        <w:rPr>
          <w:rFonts w:hint="eastAsia" w:ascii="彩虹粗仿宋" w:eastAsia="彩虹粗仿宋"/>
          <w:color w:val="000000"/>
          <w:kern w:val="0"/>
          <w:sz w:val="28"/>
          <w:szCs w:val="28"/>
        </w:rPr>
        <w:t>1.3其他要求</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 xml:space="preserve">（1）投标人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 </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（2）法定代表人（负责人）为同一人、或者存在控股/管理关系的、或者存在共同的高管人员的不同投标人，不得同时参与本项目。</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 xml:space="preserve">（3）投标人近3年生产经营活动中无违法、违规等不良记录（此不良记录是指在生产经营活动中有商业欺诈、质量伪劣等实质性侵害招标人权益的情形）。 </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（4）投标人当前未处于限制开展生产经营活动、责令停产停业、责令关闭、限制从业等重大行政处罚期内。</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（5）投标人须在法律和财务上独立、合法运作并独立于建设银行和招标代理机构。</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（6）投标人与建设银行不存在利益冲突，不存在损害建设银行合法利益和声誉的情形，不存在针对建设银行的重大诚信问题。</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（7）投标人在资格审查时未处于建设银行供应商暂停合作、禁用、退出等处理期内。</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8）投标人须承诺，在本项目招标过程中不存在下列情形。如存在下列情形之一，招标人有权取消其投标或中标资格。情形包括但不限于：①法定代表人（负责人）在生产经营活动中受到刑事处罚；②重大并购或重组，影响正常生产经营；③其他重大风险事项，影响正常采购合作。</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9）投标人提供的产品或服务不存在任何侵犯第三方知识产权的情形。如果第三方声称投标人向建设银行提供的产品或服务侵犯其知识产权，并已就此对建设银行或投标人提起（或有迹象表明很可能提起）法律诉讼程序或知识产权行政执法程序（简称侵权诉讼），投标人自知悉上述事项起将立即书面通知建设银行，建设银行有权采取相应措施，投标人将依法承担全部责任。</w:t>
      </w:r>
    </w:p>
    <w:p>
      <w:pPr>
        <w:adjustRightInd w:val="0"/>
        <w:snapToGrid w:val="0"/>
        <w:spacing w:line="360" w:lineRule="auto"/>
        <w:ind w:firstLine="420" w:firstLineChars="150"/>
        <w:rPr>
          <w:rFonts w:hint="eastAsia" w:ascii="彩虹粗仿宋" w:hAnsi="宋体" w:eastAsia="彩虹粗仿宋"/>
          <w:color w:val="000000"/>
          <w:sz w:val="28"/>
          <w:szCs w:val="28"/>
        </w:rPr>
      </w:pPr>
      <w:r>
        <w:rPr>
          <w:rFonts w:hint="eastAsia" w:ascii="彩虹粗仿宋" w:hAnsi="宋体" w:eastAsia="彩虹粗仿宋"/>
          <w:color w:val="000000"/>
          <w:sz w:val="28"/>
          <w:szCs w:val="28"/>
        </w:rPr>
        <w:t>（10）提供《供应商近亲属在建行任职回避承诺函》。</w:t>
      </w:r>
    </w:p>
    <w:p>
      <w:pPr>
        <w:adjustRightInd w:val="0"/>
        <w:snapToGrid w:val="0"/>
        <w:spacing w:line="360" w:lineRule="auto"/>
        <w:ind w:firstLine="420" w:firstLineChars="150"/>
        <w:rPr>
          <w:rFonts w:ascii="彩虹粗仿宋" w:hAnsi="宋体" w:eastAsia="彩虹粗仿宋"/>
          <w:color w:val="000000"/>
          <w:sz w:val="28"/>
          <w:szCs w:val="28"/>
        </w:rPr>
      </w:pPr>
      <w:r>
        <w:rPr>
          <w:rFonts w:hint="eastAsia" w:ascii="彩虹粗仿宋" w:hAnsi="宋体" w:eastAsia="彩虹粗仿宋"/>
          <w:color w:val="000000"/>
          <w:sz w:val="28"/>
          <w:szCs w:val="28"/>
        </w:rPr>
        <w:t>1.4 本次招标不接受联合体投标。</w:t>
      </w: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二、对拟采购服务的要求</w:t>
      </w:r>
    </w:p>
    <w:p>
      <w:pPr>
        <w:adjustRightInd w:val="0"/>
        <w:snapToGrid w:val="0"/>
        <w:spacing w:line="360" w:lineRule="auto"/>
        <w:ind w:firstLine="560" w:firstLineChars="200"/>
        <w:rPr>
          <w:rFonts w:ascii="彩虹粗仿宋" w:hAnsi="Times New Roman" w:eastAsia="彩虹粗仿宋" w:cs="Times New Roman"/>
          <w:color w:val="000000" w:themeColor="text1"/>
          <w:sz w:val="28"/>
          <w:szCs w:val="28"/>
          <w14:textFill>
            <w14:solidFill>
              <w14:schemeClr w14:val="tx1"/>
            </w14:solidFill>
          </w14:textFill>
        </w:rPr>
      </w:pPr>
      <w:r>
        <w:rPr>
          <w:rFonts w:hint="eastAsia" w:ascii="彩虹粗仿宋" w:hAnsi="Times New Roman" w:eastAsia="彩虹粗仿宋" w:cs="Times New Roman"/>
          <w:color w:val="000000" w:themeColor="text1"/>
          <w:sz w:val="28"/>
          <w:szCs w:val="28"/>
          <w14:textFill>
            <w14:solidFill>
              <w14:schemeClr w14:val="tx1"/>
            </w14:solidFill>
          </w14:textFill>
        </w:rPr>
        <w:t>（一）本项目拟对建行星沙支行本部及网点</w:t>
      </w:r>
      <w:r>
        <w:rPr>
          <w:rFonts w:hint="eastAsia" w:ascii="彩虹粗仿宋" w:hAnsi="Times New Roman" w:eastAsia="彩虹粗仿宋" w:cs="Times New Roman"/>
          <w:snapToGrid w:val="0"/>
          <w:color w:val="000000" w:themeColor="text1"/>
          <w:kern w:val="0"/>
          <w:sz w:val="28"/>
          <w:szCs w:val="28"/>
          <w14:textFill>
            <w14:solidFill>
              <w14:schemeClr w14:val="tx1"/>
            </w14:solidFill>
          </w14:textFill>
        </w:rPr>
        <w:t>后勤服务进行采购</w:t>
      </w:r>
      <w:r>
        <w:rPr>
          <w:rFonts w:hint="eastAsia" w:ascii="彩虹粗仿宋" w:hAnsi="Times New Roman" w:eastAsia="彩虹粗仿宋" w:cs="Times New Roman"/>
          <w:color w:val="000000" w:themeColor="text1"/>
          <w:sz w:val="28"/>
          <w:szCs w:val="28"/>
          <w14:textFill>
            <w14:solidFill>
              <w14:schemeClr w14:val="tx1"/>
            </w14:solidFill>
          </w14:textFill>
        </w:rPr>
        <w:t>，包括本部接待、本部保洁、网点保洁、驾驶服务、食堂餐饮服务、文明劝导等服务内容，服务期限两年（预计为2026年3月1日至2028年2月29日），具体如下:</w:t>
      </w:r>
    </w:p>
    <w:p>
      <w:pPr>
        <w:adjustRightInd w:val="0"/>
        <w:snapToGrid w:val="0"/>
        <w:spacing w:line="360" w:lineRule="auto"/>
        <w:ind w:firstLine="560" w:firstLineChars="200"/>
        <w:rPr>
          <w:rFonts w:hint="eastAsia" w:ascii="彩虹粗仿宋" w:hAnsi="Times New Roman" w:eastAsia="彩虹粗仿宋" w:cs="Times New Roman"/>
          <w:color w:val="000000" w:themeColor="text1"/>
          <w:sz w:val="28"/>
          <w:szCs w:val="28"/>
          <w14:textFill>
            <w14:solidFill>
              <w14:schemeClr w14:val="tx1"/>
            </w14:solidFill>
          </w14:textFill>
        </w:rPr>
      </w:pPr>
      <w:r>
        <w:rPr>
          <w:rFonts w:hint="eastAsia" w:ascii="彩虹粗仿宋" w:hAnsi="Times New Roman" w:eastAsia="彩虹粗仿宋" w:cs="Times New Roman"/>
          <w:color w:val="000000" w:themeColor="text1"/>
          <w:sz w:val="28"/>
          <w:szCs w:val="28"/>
          <w14:textFill>
            <w14:solidFill>
              <w14:schemeClr w14:val="tx1"/>
            </w14:solidFill>
          </w14:textFill>
        </w:rPr>
        <w:t>1.基本费用</w:t>
      </w:r>
    </w:p>
    <w:tbl>
      <w:tblPr>
        <w:tblStyle w:val="7"/>
        <w:tblW w:w="5000" w:type="pct"/>
        <w:tblInd w:w="0" w:type="dxa"/>
        <w:tblLayout w:type="autofit"/>
        <w:tblCellMar>
          <w:top w:w="0" w:type="dxa"/>
          <w:left w:w="108" w:type="dxa"/>
          <w:bottom w:w="0" w:type="dxa"/>
          <w:right w:w="108" w:type="dxa"/>
        </w:tblCellMar>
      </w:tblPr>
      <w:tblGrid>
        <w:gridCol w:w="673"/>
        <w:gridCol w:w="3263"/>
        <w:gridCol w:w="1417"/>
        <w:gridCol w:w="1275"/>
        <w:gridCol w:w="1894"/>
      </w:tblGrid>
      <w:tr>
        <w:tblPrEx>
          <w:tblCellMar>
            <w:top w:w="0" w:type="dxa"/>
            <w:left w:w="108" w:type="dxa"/>
            <w:bottom w:w="0" w:type="dxa"/>
            <w:right w:w="108" w:type="dxa"/>
          </w:tblCellMar>
        </w:tblPrEx>
        <w:trPr>
          <w:trHeight w:val="20" w:hRule="atLeast"/>
        </w:trPr>
        <w:tc>
          <w:tcPr>
            <w:tcW w:w="39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 w:val="22"/>
              </w:rPr>
            </w:pPr>
            <w:r>
              <w:rPr>
                <w:rFonts w:hint="eastAsia" w:cs="宋体" w:asciiTheme="minorEastAsia" w:hAnsiTheme="minorEastAsia"/>
                <w:b/>
                <w:bCs/>
                <w:color w:val="000000"/>
                <w:kern w:val="0"/>
                <w:sz w:val="22"/>
              </w:rPr>
              <w:t>序号</w:t>
            </w:r>
          </w:p>
        </w:tc>
        <w:tc>
          <w:tcPr>
            <w:tcW w:w="191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 w:val="22"/>
              </w:rPr>
            </w:pPr>
            <w:r>
              <w:rPr>
                <w:rFonts w:hint="eastAsia" w:cs="宋体" w:asciiTheme="minorEastAsia" w:hAnsiTheme="minorEastAsia"/>
                <w:b/>
                <w:bCs/>
                <w:color w:val="000000"/>
                <w:kern w:val="0"/>
                <w:sz w:val="22"/>
              </w:rPr>
              <w:t>岗位</w:t>
            </w:r>
          </w:p>
        </w:tc>
        <w:tc>
          <w:tcPr>
            <w:tcW w:w="83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 w:val="22"/>
              </w:rPr>
            </w:pPr>
            <w:r>
              <w:rPr>
                <w:rFonts w:hint="eastAsia" w:cs="宋体" w:asciiTheme="minorEastAsia" w:hAnsiTheme="minorEastAsia"/>
                <w:b/>
                <w:bCs/>
                <w:color w:val="000000"/>
                <w:kern w:val="0"/>
                <w:sz w:val="22"/>
              </w:rPr>
              <w:t>服务岗位（个）</w:t>
            </w:r>
          </w:p>
        </w:tc>
        <w:tc>
          <w:tcPr>
            <w:tcW w:w="74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 w:val="22"/>
              </w:rPr>
            </w:pPr>
            <w:r>
              <w:rPr>
                <w:rFonts w:hint="eastAsia" w:cs="宋体" w:asciiTheme="minorEastAsia" w:hAnsiTheme="minorEastAsia"/>
                <w:b/>
                <w:bCs/>
                <w:color w:val="000000"/>
                <w:kern w:val="0"/>
                <w:sz w:val="22"/>
              </w:rPr>
              <w:t>服务时间（月）</w:t>
            </w:r>
          </w:p>
        </w:tc>
        <w:tc>
          <w:tcPr>
            <w:tcW w:w="111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000000"/>
                <w:kern w:val="0"/>
                <w:sz w:val="22"/>
              </w:rPr>
            </w:pPr>
            <w:r>
              <w:rPr>
                <w:rFonts w:hint="eastAsia" w:cs="宋体" w:asciiTheme="minorEastAsia" w:hAnsiTheme="minorEastAsia"/>
                <w:b/>
                <w:color w:val="000000" w:themeColor="text1"/>
                <w:kern w:val="0"/>
                <w:sz w:val="22"/>
                <w14:textFill>
                  <w14:solidFill>
                    <w14:schemeClr w14:val="tx1"/>
                  </w14:solidFill>
                </w14:textFill>
              </w:rPr>
              <w:t>招标含税控制单价</w:t>
            </w:r>
            <w:r>
              <w:rPr>
                <w:rFonts w:hint="eastAsia" w:cs="宋体" w:asciiTheme="minorEastAsia" w:hAnsiTheme="minorEastAsia"/>
                <w:b/>
                <w:bCs/>
                <w:color w:val="000000"/>
                <w:kern w:val="0"/>
                <w:sz w:val="22"/>
              </w:rPr>
              <w:t>（元/月/岗）</w:t>
            </w:r>
          </w:p>
        </w:tc>
      </w:tr>
      <w:tr>
        <w:tblPrEx>
          <w:tblCellMar>
            <w:top w:w="0" w:type="dxa"/>
            <w:left w:w="108" w:type="dxa"/>
            <w:bottom w:w="0" w:type="dxa"/>
            <w:right w:w="108" w:type="dxa"/>
          </w:tblCellMar>
        </w:tblPrEx>
        <w:trPr>
          <w:trHeight w:val="2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w:t>
            </w:r>
          </w:p>
        </w:tc>
        <w:tc>
          <w:tcPr>
            <w:tcW w:w="19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本部接待</w:t>
            </w:r>
          </w:p>
        </w:tc>
        <w:tc>
          <w:tcPr>
            <w:tcW w:w="83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w:t>
            </w:r>
          </w:p>
        </w:tc>
        <w:tc>
          <w:tcPr>
            <w:tcW w:w="748"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24</w:t>
            </w:r>
          </w:p>
        </w:tc>
        <w:tc>
          <w:tcPr>
            <w:tcW w:w="111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bookmarkStart w:id="0" w:name="_GoBack"/>
            <w:bookmarkEnd w:id="0"/>
          </w:p>
        </w:tc>
      </w:tr>
      <w:tr>
        <w:tblPrEx>
          <w:tblCellMar>
            <w:top w:w="0" w:type="dxa"/>
            <w:left w:w="108" w:type="dxa"/>
            <w:bottom w:w="0" w:type="dxa"/>
            <w:right w:w="108" w:type="dxa"/>
          </w:tblCellMar>
        </w:tblPrEx>
        <w:trPr>
          <w:trHeight w:val="2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w:t>
            </w:r>
          </w:p>
        </w:tc>
        <w:tc>
          <w:tcPr>
            <w:tcW w:w="19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本部保洁</w:t>
            </w:r>
          </w:p>
        </w:tc>
        <w:tc>
          <w:tcPr>
            <w:tcW w:w="83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w:t>
            </w:r>
          </w:p>
        </w:tc>
        <w:tc>
          <w:tcPr>
            <w:tcW w:w="748"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24</w:t>
            </w:r>
          </w:p>
        </w:tc>
        <w:tc>
          <w:tcPr>
            <w:tcW w:w="111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p>
        </w:tc>
      </w:tr>
      <w:tr>
        <w:tblPrEx>
          <w:tblCellMar>
            <w:top w:w="0" w:type="dxa"/>
            <w:left w:w="108" w:type="dxa"/>
            <w:bottom w:w="0" w:type="dxa"/>
            <w:right w:w="108" w:type="dxa"/>
          </w:tblCellMar>
        </w:tblPrEx>
        <w:trPr>
          <w:trHeight w:val="2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3</w:t>
            </w:r>
          </w:p>
        </w:tc>
        <w:tc>
          <w:tcPr>
            <w:tcW w:w="19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网点保洁</w:t>
            </w:r>
          </w:p>
        </w:tc>
        <w:tc>
          <w:tcPr>
            <w:tcW w:w="83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8</w:t>
            </w:r>
          </w:p>
        </w:tc>
        <w:tc>
          <w:tcPr>
            <w:tcW w:w="748"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24</w:t>
            </w:r>
          </w:p>
        </w:tc>
        <w:tc>
          <w:tcPr>
            <w:tcW w:w="111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p>
        </w:tc>
      </w:tr>
      <w:tr>
        <w:tblPrEx>
          <w:tblCellMar>
            <w:top w:w="0" w:type="dxa"/>
            <w:left w:w="108" w:type="dxa"/>
            <w:bottom w:w="0" w:type="dxa"/>
            <w:right w:w="108" w:type="dxa"/>
          </w:tblCellMar>
        </w:tblPrEx>
        <w:trPr>
          <w:trHeight w:val="2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4</w:t>
            </w:r>
          </w:p>
        </w:tc>
        <w:tc>
          <w:tcPr>
            <w:tcW w:w="19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驾驶服务</w:t>
            </w:r>
          </w:p>
        </w:tc>
        <w:tc>
          <w:tcPr>
            <w:tcW w:w="83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6</w:t>
            </w:r>
          </w:p>
        </w:tc>
        <w:tc>
          <w:tcPr>
            <w:tcW w:w="748"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24</w:t>
            </w:r>
          </w:p>
        </w:tc>
        <w:tc>
          <w:tcPr>
            <w:tcW w:w="111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p>
        </w:tc>
      </w:tr>
      <w:tr>
        <w:tblPrEx>
          <w:tblCellMar>
            <w:top w:w="0" w:type="dxa"/>
            <w:left w:w="108" w:type="dxa"/>
            <w:bottom w:w="0" w:type="dxa"/>
            <w:right w:w="108" w:type="dxa"/>
          </w:tblCellMar>
        </w:tblPrEx>
        <w:trPr>
          <w:trHeight w:val="2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19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本部食堂餐饮服务-主厨</w:t>
            </w:r>
          </w:p>
        </w:tc>
        <w:tc>
          <w:tcPr>
            <w:tcW w:w="83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w:t>
            </w:r>
          </w:p>
        </w:tc>
        <w:tc>
          <w:tcPr>
            <w:tcW w:w="748"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24</w:t>
            </w:r>
          </w:p>
        </w:tc>
        <w:tc>
          <w:tcPr>
            <w:tcW w:w="111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p>
        </w:tc>
      </w:tr>
      <w:tr>
        <w:tblPrEx>
          <w:tblCellMar>
            <w:top w:w="0" w:type="dxa"/>
            <w:left w:w="108" w:type="dxa"/>
            <w:bottom w:w="0" w:type="dxa"/>
            <w:right w:w="108" w:type="dxa"/>
          </w:tblCellMar>
        </w:tblPrEx>
        <w:trPr>
          <w:trHeight w:val="2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6</w:t>
            </w:r>
          </w:p>
        </w:tc>
        <w:tc>
          <w:tcPr>
            <w:tcW w:w="19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本部食堂餐饮服务-副厨</w:t>
            </w:r>
          </w:p>
        </w:tc>
        <w:tc>
          <w:tcPr>
            <w:tcW w:w="83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w:t>
            </w:r>
          </w:p>
        </w:tc>
        <w:tc>
          <w:tcPr>
            <w:tcW w:w="748"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24</w:t>
            </w:r>
          </w:p>
        </w:tc>
        <w:tc>
          <w:tcPr>
            <w:tcW w:w="111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p>
        </w:tc>
      </w:tr>
      <w:tr>
        <w:tblPrEx>
          <w:tblCellMar>
            <w:top w:w="0" w:type="dxa"/>
            <w:left w:w="108" w:type="dxa"/>
            <w:bottom w:w="0" w:type="dxa"/>
            <w:right w:w="108" w:type="dxa"/>
          </w:tblCellMar>
        </w:tblPrEx>
        <w:trPr>
          <w:trHeight w:val="2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7</w:t>
            </w:r>
          </w:p>
        </w:tc>
        <w:tc>
          <w:tcPr>
            <w:tcW w:w="19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本部食堂餐饮服务-帮厨</w:t>
            </w:r>
          </w:p>
        </w:tc>
        <w:tc>
          <w:tcPr>
            <w:tcW w:w="83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w:t>
            </w:r>
          </w:p>
        </w:tc>
        <w:tc>
          <w:tcPr>
            <w:tcW w:w="748"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24</w:t>
            </w:r>
          </w:p>
        </w:tc>
        <w:tc>
          <w:tcPr>
            <w:tcW w:w="111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p>
        </w:tc>
      </w:tr>
      <w:tr>
        <w:tblPrEx>
          <w:tblCellMar>
            <w:top w:w="0" w:type="dxa"/>
            <w:left w:w="108" w:type="dxa"/>
            <w:bottom w:w="0" w:type="dxa"/>
            <w:right w:w="108" w:type="dxa"/>
          </w:tblCellMar>
        </w:tblPrEx>
        <w:trPr>
          <w:trHeight w:val="2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8</w:t>
            </w:r>
          </w:p>
        </w:tc>
        <w:tc>
          <w:tcPr>
            <w:tcW w:w="19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网点食堂餐饮服务</w:t>
            </w:r>
          </w:p>
        </w:tc>
        <w:tc>
          <w:tcPr>
            <w:tcW w:w="83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7</w:t>
            </w:r>
          </w:p>
        </w:tc>
        <w:tc>
          <w:tcPr>
            <w:tcW w:w="748"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24</w:t>
            </w:r>
          </w:p>
        </w:tc>
        <w:tc>
          <w:tcPr>
            <w:tcW w:w="111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p>
        </w:tc>
      </w:tr>
      <w:tr>
        <w:tblPrEx>
          <w:tblCellMar>
            <w:top w:w="0" w:type="dxa"/>
            <w:left w:w="108" w:type="dxa"/>
            <w:bottom w:w="0" w:type="dxa"/>
            <w:right w:w="108" w:type="dxa"/>
          </w:tblCellMar>
        </w:tblPrEx>
        <w:trPr>
          <w:trHeight w:val="2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9</w:t>
            </w:r>
          </w:p>
        </w:tc>
        <w:tc>
          <w:tcPr>
            <w:tcW w:w="19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文明劝导</w:t>
            </w:r>
          </w:p>
        </w:tc>
        <w:tc>
          <w:tcPr>
            <w:tcW w:w="83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w:t>
            </w:r>
          </w:p>
        </w:tc>
        <w:tc>
          <w:tcPr>
            <w:tcW w:w="748"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24</w:t>
            </w:r>
          </w:p>
        </w:tc>
        <w:tc>
          <w:tcPr>
            <w:tcW w:w="1111"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p>
        </w:tc>
      </w:tr>
    </w:tbl>
    <w:p>
      <w:pPr>
        <w:adjustRightInd w:val="0"/>
        <w:snapToGrid w:val="0"/>
        <w:spacing w:line="360" w:lineRule="auto"/>
        <w:ind w:firstLine="360" w:firstLineChars="200"/>
        <w:rPr>
          <w:rFonts w:hint="eastAsia" w:ascii="彩虹粗仿宋" w:hAnsi="Times New Roman" w:eastAsia="彩虹粗仿宋" w:cs="Times New Roman"/>
          <w:color w:val="000000" w:themeColor="text1"/>
          <w:sz w:val="18"/>
          <w:szCs w:val="18"/>
          <w14:textFill>
            <w14:solidFill>
              <w14:schemeClr w14:val="tx1"/>
            </w14:solidFill>
          </w14:textFill>
        </w:rPr>
      </w:pPr>
    </w:p>
    <w:p>
      <w:pPr>
        <w:adjustRightInd w:val="0"/>
        <w:snapToGrid w:val="0"/>
        <w:spacing w:line="360" w:lineRule="auto"/>
        <w:ind w:firstLine="560" w:firstLineChars="200"/>
        <w:rPr>
          <w:rFonts w:hint="eastAsia" w:ascii="彩虹粗仿宋" w:hAnsi="Times New Roman" w:eastAsia="彩虹粗仿宋" w:cs="Times New Roman"/>
          <w:color w:val="000000" w:themeColor="text1"/>
          <w:sz w:val="28"/>
          <w:szCs w:val="28"/>
          <w14:textFill>
            <w14:solidFill>
              <w14:schemeClr w14:val="tx1"/>
            </w14:solidFill>
          </w14:textFill>
        </w:rPr>
      </w:pPr>
      <w:r>
        <w:rPr>
          <w:rFonts w:hint="eastAsia" w:ascii="彩虹粗仿宋" w:hAnsi="Times New Roman" w:eastAsia="彩虹粗仿宋" w:cs="Times New Roman"/>
          <w:color w:val="000000" w:themeColor="text1"/>
          <w:sz w:val="28"/>
          <w:szCs w:val="28"/>
          <w14:textFill>
            <w14:solidFill>
              <w14:schemeClr w14:val="tx1"/>
            </w14:solidFill>
          </w14:textFill>
        </w:rPr>
        <w:t>2.零星服务费用（据实结算）</w:t>
      </w:r>
    </w:p>
    <w:tbl>
      <w:tblPr>
        <w:tblStyle w:val="7"/>
        <w:tblW w:w="5000" w:type="pct"/>
        <w:tblInd w:w="0" w:type="dxa"/>
        <w:tblLayout w:type="autofit"/>
        <w:tblCellMar>
          <w:top w:w="0" w:type="dxa"/>
          <w:left w:w="108" w:type="dxa"/>
          <w:bottom w:w="0" w:type="dxa"/>
          <w:right w:w="108" w:type="dxa"/>
        </w:tblCellMar>
      </w:tblPr>
      <w:tblGrid>
        <w:gridCol w:w="676"/>
        <w:gridCol w:w="1817"/>
        <w:gridCol w:w="876"/>
        <w:gridCol w:w="1137"/>
        <w:gridCol w:w="4016"/>
      </w:tblGrid>
      <w:tr>
        <w:tblPrEx>
          <w:tblCellMar>
            <w:top w:w="0" w:type="dxa"/>
            <w:left w:w="108" w:type="dxa"/>
            <w:bottom w:w="0" w:type="dxa"/>
            <w:right w:w="108" w:type="dxa"/>
          </w:tblCellMar>
        </w:tblPrEx>
        <w:trPr>
          <w:trHeight w:val="20" w:hRule="atLeast"/>
        </w:trPr>
        <w:tc>
          <w:tcPr>
            <w:tcW w:w="39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序号</w:t>
            </w:r>
          </w:p>
        </w:tc>
        <w:tc>
          <w:tcPr>
            <w:tcW w:w="106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内容</w:t>
            </w:r>
          </w:p>
        </w:tc>
        <w:tc>
          <w:tcPr>
            <w:tcW w:w="51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两年预估数量（次）</w:t>
            </w:r>
          </w:p>
        </w:tc>
        <w:tc>
          <w:tcPr>
            <w:tcW w:w="66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招标含税控制单价</w:t>
            </w:r>
            <w:r>
              <w:rPr>
                <w:rFonts w:hint="eastAsia" w:cs="宋体" w:asciiTheme="minorEastAsia" w:hAnsiTheme="minorEastAsia"/>
                <w:color w:val="29303D"/>
                <w:kern w:val="0"/>
                <w:sz w:val="22"/>
              </w:rPr>
              <w:t>（元/次）</w:t>
            </w:r>
          </w:p>
        </w:tc>
        <w:tc>
          <w:tcPr>
            <w:tcW w:w="235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备注</w:t>
            </w:r>
          </w:p>
        </w:tc>
      </w:tr>
      <w:tr>
        <w:tblPrEx>
          <w:tblCellMar>
            <w:top w:w="0" w:type="dxa"/>
            <w:left w:w="108" w:type="dxa"/>
            <w:bottom w:w="0" w:type="dxa"/>
            <w:right w:w="108" w:type="dxa"/>
          </w:tblCellMar>
        </w:tblPrEx>
        <w:trPr>
          <w:trHeight w:val="20" w:hRule="atLeast"/>
        </w:trPr>
        <w:tc>
          <w:tcPr>
            <w:tcW w:w="39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w:t>
            </w:r>
          </w:p>
        </w:tc>
        <w:tc>
          <w:tcPr>
            <w:tcW w:w="10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接待零星服务费</w:t>
            </w:r>
          </w:p>
        </w:tc>
        <w:tc>
          <w:tcPr>
            <w:tcW w:w="5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80</w:t>
            </w:r>
          </w:p>
        </w:tc>
        <w:tc>
          <w:tcPr>
            <w:tcW w:w="66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80</w:t>
            </w:r>
          </w:p>
        </w:tc>
        <w:tc>
          <w:tcPr>
            <w:tcW w:w="2356"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 w:val="22"/>
              </w:rPr>
            </w:pPr>
            <w:r>
              <w:rPr>
                <w:rFonts w:hint="eastAsia" w:cs="宋体" w:asciiTheme="minorEastAsia" w:hAnsiTheme="minorEastAsia"/>
                <w:color w:val="000000"/>
                <w:kern w:val="0"/>
                <w:sz w:val="22"/>
              </w:rPr>
              <w:t>按次计算，一次为一天（8个小时，不足一天的按一天计），仅限于非工作日的服务</w:t>
            </w:r>
          </w:p>
        </w:tc>
      </w:tr>
      <w:tr>
        <w:tblPrEx>
          <w:tblCellMar>
            <w:top w:w="0" w:type="dxa"/>
            <w:left w:w="108" w:type="dxa"/>
            <w:bottom w:w="0" w:type="dxa"/>
            <w:right w:w="108" w:type="dxa"/>
          </w:tblCellMar>
        </w:tblPrEx>
        <w:trPr>
          <w:trHeight w:val="20" w:hRule="atLeast"/>
        </w:trPr>
        <w:tc>
          <w:tcPr>
            <w:tcW w:w="39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w:t>
            </w:r>
          </w:p>
        </w:tc>
        <w:tc>
          <w:tcPr>
            <w:tcW w:w="10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保洁零星服务费</w:t>
            </w:r>
          </w:p>
        </w:tc>
        <w:tc>
          <w:tcPr>
            <w:tcW w:w="5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70</w:t>
            </w:r>
          </w:p>
        </w:tc>
        <w:tc>
          <w:tcPr>
            <w:tcW w:w="66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80</w:t>
            </w:r>
          </w:p>
        </w:tc>
        <w:tc>
          <w:tcPr>
            <w:tcW w:w="2356" w:type="pct"/>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r>
      <w:tr>
        <w:tblPrEx>
          <w:tblCellMar>
            <w:top w:w="0" w:type="dxa"/>
            <w:left w:w="108" w:type="dxa"/>
            <w:bottom w:w="0" w:type="dxa"/>
            <w:right w:w="108" w:type="dxa"/>
          </w:tblCellMar>
        </w:tblPrEx>
        <w:trPr>
          <w:trHeight w:val="20" w:hRule="atLeast"/>
        </w:trPr>
        <w:tc>
          <w:tcPr>
            <w:tcW w:w="39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3</w:t>
            </w:r>
          </w:p>
        </w:tc>
        <w:tc>
          <w:tcPr>
            <w:tcW w:w="10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驾驶</w:t>
            </w:r>
            <w:r>
              <w:rPr>
                <w:rFonts w:hint="eastAsia" w:cs="宋体" w:asciiTheme="minorEastAsia" w:hAnsiTheme="minorEastAsia"/>
                <w:color w:val="29303D"/>
                <w:kern w:val="0"/>
                <w:sz w:val="22"/>
              </w:rPr>
              <w:t>下乡服务费</w:t>
            </w:r>
          </w:p>
        </w:tc>
        <w:tc>
          <w:tcPr>
            <w:tcW w:w="5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700</w:t>
            </w:r>
          </w:p>
        </w:tc>
        <w:tc>
          <w:tcPr>
            <w:tcW w:w="66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80</w:t>
            </w:r>
          </w:p>
        </w:tc>
        <w:tc>
          <w:tcPr>
            <w:tcW w:w="235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 w:val="22"/>
              </w:rPr>
            </w:pPr>
            <w:r>
              <w:rPr>
                <w:rFonts w:hint="eastAsia" w:cs="宋体" w:asciiTheme="minorEastAsia" w:hAnsiTheme="minorEastAsia"/>
                <w:color w:val="000000"/>
                <w:kern w:val="0"/>
                <w:sz w:val="22"/>
              </w:rPr>
              <w:t>按次计算，一次时间为一天（8个小时，不足一天的按一天计，出车地点为长沙县除星沙、湘龙、泉塘街道外的其他乡镇村组，单次出车任务需走访多个村组，仅限于工作日的服务</w:t>
            </w:r>
          </w:p>
        </w:tc>
      </w:tr>
      <w:tr>
        <w:tblPrEx>
          <w:tblCellMar>
            <w:top w:w="0" w:type="dxa"/>
            <w:left w:w="108" w:type="dxa"/>
            <w:bottom w:w="0" w:type="dxa"/>
            <w:right w:w="108" w:type="dxa"/>
          </w:tblCellMar>
        </w:tblPrEx>
        <w:trPr>
          <w:trHeight w:val="20" w:hRule="atLeast"/>
        </w:trPr>
        <w:tc>
          <w:tcPr>
            <w:tcW w:w="39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4</w:t>
            </w:r>
          </w:p>
        </w:tc>
        <w:tc>
          <w:tcPr>
            <w:tcW w:w="10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驾驶服务出车服务费（市内）</w:t>
            </w:r>
          </w:p>
        </w:tc>
        <w:tc>
          <w:tcPr>
            <w:tcW w:w="5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5000</w:t>
            </w:r>
          </w:p>
        </w:tc>
        <w:tc>
          <w:tcPr>
            <w:tcW w:w="66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20</w:t>
            </w:r>
          </w:p>
        </w:tc>
        <w:tc>
          <w:tcPr>
            <w:tcW w:w="235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 w:val="22"/>
              </w:rPr>
            </w:pPr>
            <w:r>
              <w:rPr>
                <w:rFonts w:hint="eastAsia" w:cs="宋体" w:asciiTheme="minorEastAsia" w:hAnsiTheme="minorEastAsia"/>
                <w:color w:val="000000"/>
                <w:kern w:val="0"/>
                <w:sz w:val="22"/>
              </w:rPr>
              <w:t>按次计算，出车地点是长沙市内的地方，仅限于工作日的服务</w:t>
            </w:r>
          </w:p>
        </w:tc>
      </w:tr>
      <w:tr>
        <w:tblPrEx>
          <w:tblCellMar>
            <w:top w:w="0" w:type="dxa"/>
            <w:left w:w="108" w:type="dxa"/>
            <w:bottom w:w="0" w:type="dxa"/>
            <w:right w:w="108" w:type="dxa"/>
          </w:tblCellMar>
        </w:tblPrEx>
        <w:trPr>
          <w:trHeight w:val="20" w:hRule="atLeast"/>
        </w:trPr>
        <w:tc>
          <w:tcPr>
            <w:tcW w:w="39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10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驾驶服务出车服务费（市外长途）</w:t>
            </w:r>
          </w:p>
        </w:tc>
        <w:tc>
          <w:tcPr>
            <w:tcW w:w="5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120</w:t>
            </w:r>
          </w:p>
        </w:tc>
        <w:tc>
          <w:tcPr>
            <w:tcW w:w="66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50</w:t>
            </w:r>
          </w:p>
        </w:tc>
        <w:tc>
          <w:tcPr>
            <w:tcW w:w="235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 w:val="22"/>
              </w:rPr>
            </w:pPr>
            <w:r>
              <w:rPr>
                <w:rFonts w:hint="eastAsia" w:cs="宋体" w:asciiTheme="minorEastAsia" w:hAnsiTheme="minorEastAsia"/>
                <w:color w:val="000000"/>
                <w:kern w:val="0"/>
                <w:sz w:val="22"/>
              </w:rPr>
              <w:t>按次计算，出车地点是长沙市外的其他地市（不出省），仅限于工作日的服务</w:t>
            </w:r>
          </w:p>
        </w:tc>
      </w:tr>
      <w:tr>
        <w:tblPrEx>
          <w:tblCellMar>
            <w:top w:w="0" w:type="dxa"/>
            <w:left w:w="108" w:type="dxa"/>
            <w:bottom w:w="0" w:type="dxa"/>
            <w:right w:w="108" w:type="dxa"/>
          </w:tblCellMar>
        </w:tblPrEx>
        <w:trPr>
          <w:trHeight w:val="20" w:hRule="atLeast"/>
        </w:trPr>
        <w:tc>
          <w:tcPr>
            <w:tcW w:w="39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6</w:t>
            </w:r>
          </w:p>
        </w:tc>
        <w:tc>
          <w:tcPr>
            <w:tcW w:w="10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驾驶服务零星服务费（半天）</w:t>
            </w:r>
          </w:p>
        </w:tc>
        <w:tc>
          <w:tcPr>
            <w:tcW w:w="5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1200</w:t>
            </w:r>
          </w:p>
        </w:tc>
        <w:tc>
          <w:tcPr>
            <w:tcW w:w="66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100</w:t>
            </w:r>
          </w:p>
        </w:tc>
        <w:tc>
          <w:tcPr>
            <w:tcW w:w="235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 w:val="22"/>
              </w:rPr>
            </w:pPr>
            <w:r>
              <w:rPr>
                <w:rFonts w:hint="eastAsia" w:cs="宋体" w:asciiTheme="minorEastAsia" w:hAnsiTheme="minorEastAsia"/>
                <w:color w:val="000000"/>
                <w:kern w:val="0"/>
                <w:sz w:val="22"/>
              </w:rPr>
              <w:t>按次计算，时间为半天（4个小时，不足4个小时的按半天计），仅限于非工作日的服务</w:t>
            </w:r>
          </w:p>
        </w:tc>
      </w:tr>
      <w:tr>
        <w:tblPrEx>
          <w:tblCellMar>
            <w:top w:w="0" w:type="dxa"/>
            <w:left w:w="108" w:type="dxa"/>
            <w:bottom w:w="0" w:type="dxa"/>
            <w:right w:w="108" w:type="dxa"/>
          </w:tblCellMar>
        </w:tblPrEx>
        <w:trPr>
          <w:trHeight w:val="20" w:hRule="atLeast"/>
        </w:trPr>
        <w:tc>
          <w:tcPr>
            <w:tcW w:w="39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7</w:t>
            </w:r>
          </w:p>
        </w:tc>
        <w:tc>
          <w:tcPr>
            <w:tcW w:w="10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驾驶服务零星服务费（全天）</w:t>
            </w:r>
          </w:p>
        </w:tc>
        <w:tc>
          <w:tcPr>
            <w:tcW w:w="5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130</w:t>
            </w:r>
          </w:p>
        </w:tc>
        <w:tc>
          <w:tcPr>
            <w:tcW w:w="66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200</w:t>
            </w:r>
          </w:p>
        </w:tc>
        <w:tc>
          <w:tcPr>
            <w:tcW w:w="2356" w:type="pct"/>
            <w:tcBorders>
              <w:top w:val="nil"/>
              <w:left w:val="nil"/>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 w:val="22"/>
              </w:rPr>
            </w:pPr>
            <w:r>
              <w:rPr>
                <w:rFonts w:hint="eastAsia" w:cs="宋体" w:asciiTheme="minorEastAsia" w:hAnsiTheme="minorEastAsia"/>
                <w:color w:val="000000"/>
                <w:kern w:val="0"/>
                <w:sz w:val="22"/>
              </w:rPr>
              <w:t>按次计算，一次为一天（8个小时，大于4个小时按一天计，小于等于4个小时按半天计），仅限于非工作日的服务</w:t>
            </w:r>
          </w:p>
        </w:tc>
      </w:tr>
      <w:tr>
        <w:tblPrEx>
          <w:tblCellMar>
            <w:top w:w="0" w:type="dxa"/>
            <w:left w:w="108" w:type="dxa"/>
            <w:bottom w:w="0" w:type="dxa"/>
            <w:right w:w="108" w:type="dxa"/>
          </w:tblCellMar>
        </w:tblPrEx>
        <w:trPr>
          <w:trHeight w:val="20" w:hRule="atLeast"/>
        </w:trPr>
        <w:tc>
          <w:tcPr>
            <w:tcW w:w="39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8</w:t>
            </w:r>
          </w:p>
        </w:tc>
        <w:tc>
          <w:tcPr>
            <w:tcW w:w="10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本部食堂餐饮零星服务费</w:t>
            </w:r>
          </w:p>
        </w:tc>
        <w:tc>
          <w:tcPr>
            <w:tcW w:w="5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200</w:t>
            </w:r>
          </w:p>
        </w:tc>
        <w:tc>
          <w:tcPr>
            <w:tcW w:w="66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160</w:t>
            </w:r>
          </w:p>
        </w:tc>
        <w:tc>
          <w:tcPr>
            <w:tcW w:w="2356"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color w:val="000000"/>
                <w:kern w:val="0"/>
                <w:sz w:val="22"/>
              </w:rPr>
            </w:pPr>
            <w:r>
              <w:rPr>
                <w:rFonts w:hint="eastAsia" w:cs="宋体" w:asciiTheme="minorEastAsia" w:hAnsiTheme="minorEastAsia"/>
                <w:color w:val="000000"/>
                <w:kern w:val="0"/>
                <w:sz w:val="22"/>
              </w:rPr>
              <w:t>非工作日本部或网点食堂用餐（不限早、中、晚餐），按次计算</w:t>
            </w:r>
          </w:p>
        </w:tc>
      </w:tr>
      <w:tr>
        <w:tblPrEx>
          <w:tblCellMar>
            <w:top w:w="0" w:type="dxa"/>
            <w:left w:w="108" w:type="dxa"/>
            <w:bottom w:w="0" w:type="dxa"/>
            <w:right w:w="108" w:type="dxa"/>
          </w:tblCellMar>
        </w:tblPrEx>
        <w:trPr>
          <w:trHeight w:val="20" w:hRule="atLeast"/>
        </w:trPr>
        <w:tc>
          <w:tcPr>
            <w:tcW w:w="39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9</w:t>
            </w:r>
          </w:p>
        </w:tc>
        <w:tc>
          <w:tcPr>
            <w:tcW w:w="1066"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网点食堂餐饮零星服务费</w:t>
            </w:r>
          </w:p>
        </w:tc>
        <w:tc>
          <w:tcPr>
            <w:tcW w:w="514"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560</w:t>
            </w:r>
          </w:p>
        </w:tc>
        <w:tc>
          <w:tcPr>
            <w:tcW w:w="667" w:type="pct"/>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29303D"/>
                <w:kern w:val="0"/>
                <w:sz w:val="22"/>
              </w:rPr>
            </w:pPr>
            <w:r>
              <w:rPr>
                <w:rFonts w:hint="eastAsia" w:cs="宋体" w:asciiTheme="minorEastAsia" w:hAnsiTheme="minorEastAsia"/>
                <w:color w:val="29303D"/>
                <w:kern w:val="0"/>
                <w:sz w:val="22"/>
              </w:rPr>
              <w:t>100</w:t>
            </w:r>
          </w:p>
        </w:tc>
        <w:tc>
          <w:tcPr>
            <w:tcW w:w="2356" w:type="pct"/>
            <w:vMerge w:val="continue"/>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color w:val="000000"/>
                <w:kern w:val="0"/>
                <w:sz w:val="22"/>
              </w:rPr>
            </w:pPr>
          </w:p>
        </w:tc>
      </w:tr>
    </w:tbl>
    <w:p>
      <w:pPr>
        <w:adjustRightInd w:val="0"/>
        <w:snapToGrid w:val="0"/>
        <w:spacing w:line="360" w:lineRule="auto"/>
        <w:ind w:firstLine="560" w:firstLineChars="200"/>
        <w:rPr>
          <w:rFonts w:hint="eastAsia" w:ascii="彩虹粗仿宋" w:hAnsi="Times New Roman" w:eastAsia="彩虹粗仿宋" w:cs="Times New Roman"/>
          <w:color w:val="000000" w:themeColor="text1"/>
          <w:sz w:val="28"/>
          <w:szCs w:val="28"/>
          <w14:textFill>
            <w14:solidFill>
              <w14:schemeClr w14:val="tx1"/>
            </w14:solidFill>
          </w14:textFill>
        </w:rPr>
      </w:pPr>
    </w:p>
    <w:p>
      <w:pPr>
        <w:adjustRightInd w:val="0"/>
        <w:snapToGrid w:val="0"/>
        <w:spacing w:line="360" w:lineRule="auto"/>
        <w:ind w:firstLine="562" w:firstLineChars="200"/>
        <w:rPr>
          <w:rFonts w:ascii="彩虹粗仿宋" w:eastAsia="彩虹粗仿宋"/>
          <w:b/>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（二）服务内容</w:t>
      </w:r>
    </w:p>
    <w:p>
      <w:pPr>
        <w:adjustRightInd w:val="0"/>
        <w:snapToGrid w:val="0"/>
        <w:spacing w:line="360" w:lineRule="auto"/>
        <w:ind w:firstLine="562"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1.本部接待：</w:t>
      </w:r>
      <w:r>
        <w:rPr>
          <w:rFonts w:hint="eastAsia" w:ascii="彩虹粗仿宋" w:eastAsia="彩虹粗仿宋"/>
          <w:color w:val="000000" w:themeColor="text1"/>
          <w:sz w:val="28"/>
          <w:szCs w:val="28"/>
          <w14:textFill>
            <w14:solidFill>
              <w14:schemeClr w14:val="tx1"/>
            </w14:solidFill>
          </w14:textFill>
        </w:rPr>
        <w:t>负责星沙支行本部接待工作：</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A.服务岗位要求：1个岗，服务人员年龄25—45岁，女性，形象气质佳</w:t>
      </w:r>
      <w:r>
        <w:rPr>
          <w:rFonts w:hint="eastAsia" w:ascii="宋体" w:hAnsi="宋体"/>
          <w:color w:val="000000" w:themeColor="text1"/>
          <w:kern w:val="0"/>
          <w:szCs w:val="21"/>
          <w14:textFill>
            <w14:solidFill>
              <w14:schemeClr w14:val="tx1"/>
            </w14:solidFill>
          </w14:textFill>
        </w:rPr>
        <w:t>，</w:t>
      </w:r>
      <w:r>
        <w:rPr>
          <w:rFonts w:hint="eastAsia" w:ascii="彩虹粗仿宋" w:eastAsia="彩虹粗仿宋"/>
          <w:color w:val="000000" w:themeColor="text1"/>
          <w:sz w:val="28"/>
          <w:szCs w:val="28"/>
          <w14:textFill>
            <w14:solidFill>
              <w14:schemeClr w14:val="tx1"/>
            </w14:solidFill>
          </w14:textFill>
        </w:rPr>
        <w:t>高中以上文化程度，品德良好，工作认真负责，身体健康，能吃苦耐劳，有较强的纪律性和工作责任心，无被行政拘留、收容教育、收容教养、劳动教养，强制戒毒和刑事处罚等违法违纪记录。</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B.服务范畴：负责行领导的客户来访接待，安排客户人员等待、休息、泡茶等日常服务；负责行领导办公室收拾整理、报刊信件的收件递送工作；负责包厢的接待工作及支行交办的其他工作任务。</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C.工作时间：工作日上午8:00-12:00，下午14:00-17:30（根据工作需要，工作日适当提前或推迟属正常上班）。</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D.服务频次：行领导办公室收拾整理每天2次，会务及其他工作当天安排必须当天完成，工作日晚上有会议等需要延迟下班属正常上班。</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E.服务要求：办公室时刻保持整洁有序；前台及会务工作中微笑服务、接待热情、及时续水，接待到位。</w:t>
      </w:r>
    </w:p>
    <w:p>
      <w:pPr>
        <w:adjustRightInd w:val="0"/>
        <w:snapToGrid w:val="0"/>
        <w:spacing w:line="360" w:lineRule="auto"/>
        <w:ind w:firstLine="562"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2.本部保洁：</w:t>
      </w:r>
      <w:r>
        <w:rPr>
          <w:rFonts w:hint="eastAsia" w:ascii="彩虹粗仿宋" w:eastAsia="彩虹粗仿宋"/>
          <w:color w:val="000000" w:themeColor="text1"/>
          <w:sz w:val="28"/>
          <w:szCs w:val="28"/>
          <w14:textFill>
            <w14:solidFill>
              <w14:schemeClr w14:val="tx1"/>
            </w14:solidFill>
          </w14:textFill>
        </w:rPr>
        <w:t>对星沙支行本部五楼和六楼办公区域内进行日常保洁工作：</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A.服务岗位要求：1个岗，服务人员年龄20—55岁，初中以上文化程度，品德良好，工作认真负责，身体健康，能吃苦耐劳，有较强的纪律性和工作责任心，无被行政拘留、收容教育、收容教养、劳动教养，强制戒毒和刑事处罚等违法违纪记录。</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B.服务区域：星沙支行本部五楼和六楼的公共区域、办公室、活动室、会议室、卫生间、楼梯间、大厅、走廊、门窗等公共场地区域，五楼面积1400平方米、六楼面积1400平方米。</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C.工作时间：工作日上午8:00-12:00，下午14:00-17:30</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D.服务频次：公共区域、办公室、活动室、会议室、卫生间、楼梯间、大厅、走廊每天进行两遍全清扫拖洗（一般为上午8:30前，下午16:00后，特殊情况可增加清洁次数），卫生间每天清理拖扫6次及以上，门窗一周全部擦洗1次，每年两次大扫除（大扫除含办公楼内大门、窗户、墙壁、地面、天花板、空调过滤网等地方进行彻底的卫生保洁）。</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E.服务成效：办公楼及配套设施的办公和活动区域时刻保持干净整洁，窗明几净、卫生间无异味；清洁工具有序整洁摆放，定期做好消毒、杀菌和除“四害”工作。纸篓及卫生间垃圾及时收集，做到无蚊蝇，垃圾及时外运，洁具表面清洁干净；在特殊任务或重大节日室，提前做好全面保洁工作，对管理部门提出的问题要及时整改。</w:t>
      </w:r>
    </w:p>
    <w:p>
      <w:pPr>
        <w:adjustRightInd w:val="0"/>
        <w:snapToGrid w:val="0"/>
        <w:spacing w:line="360" w:lineRule="auto"/>
        <w:ind w:firstLine="562"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3. 网点保洁：</w:t>
      </w:r>
      <w:r>
        <w:rPr>
          <w:rFonts w:hint="eastAsia" w:ascii="彩虹粗仿宋" w:eastAsia="彩虹粗仿宋"/>
          <w:color w:val="000000" w:themeColor="text1"/>
          <w:sz w:val="28"/>
          <w:szCs w:val="28"/>
          <w14:textFill>
            <w14:solidFill>
              <w14:schemeClr w14:val="tx1"/>
            </w14:solidFill>
          </w14:textFill>
        </w:rPr>
        <w:t>对星沙支行8个网点（含营业部）进行日常保洁工作：</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A.服务岗位要求：8个岗，服务人员年龄25—60岁，初中以上文化程度，品德良好，工作认真负责，身体健康，能吃苦耐劳，有较强的纪律性和工作责任心，无被行政拘留、收容教育、收容教养、劳动教养，强制戒毒和刑事处罚等违法违纪记录。</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B.服务区域：以下8个网点的营业大厅、自助服务区及办公室、会议室、活动室、楼梯间（如有）地面整洁、窗明几净，无蜘蛛网、无积尘，及时清除垃圾；营业网点门前“三包”范围内区域干净整洁，随时清除垃圾。</w:t>
      </w:r>
    </w:p>
    <w:tbl>
      <w:tblPr>
        <w:tblStyle w:val="7"/>
        <w:tblW w:w="8780" w:type="dxa"/>
        <w:tblInd w:w="93" w:type="dxa"/>
        <w:tblLayout w:type="autofit"/>
        <w:tblCellMar>
          <w:top w:w="0" w:type="dxa"/>
          <w:left w:w="108" w:type="dxa"/>
          <w:bottom w:w="0" w:type="dxa"/>
          <w:right w:w="108" w:type="dxa"/>
        </w:tblCellMar>
      </w:tblPr>
      <w:tblGrid>
        <w:gridCol w:w="620"/>
        <w:gridCol w:w="1663"/>
        <w:gridCol w:w="4820"/>
        <w:gridCol w:w="1677"/>
      </w:tblGrid>
      <w:tr>
        <w:tblPrEx>
          <w:tblCellMar>
            <w:top w:w="0" w:type="dxa"/>
            <w:left w:w="108" w:type="dxa"/>
            <w:bottom w:w="0" w:type="dxa"/>
            <w:right w:w="108" w:type="dxa"/>
          </w:tblCellMar>
        </w:tblPrEx>
        <w:trPr>
          <w:trHeight w:val="492" w:hRule="atLeast"/>
        </w:trPr>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themeColor="text1"/>
                <w:kern w:val="0"/>
                <w:sz w:val="18"/>
                <w:szCs w:val="18"/>
                <w14:textFill>
                  <w14:solidFill>
                    <w14:schemeClr w14:val="tx1"/>
                  </w14:solidFill>
                </w14:textFill>
              </w:rPr>
            </w:pPr>
            <w:r>
              <w:rPr>
                <w:rFonts w:hint="eastAsia" w:ascii="宋体" w:hAnsi="宋体" w:eastAsia="宋体" w:cs="宋体"/>
                <w:b/>
                <w:bCs/>
                <w:color w:val="000000" w:themeColor="text1"/>
                <w:kern w:val="0"/>
                <w:sz w:val="18"/>
                <w:szCs w:val="18"/>
                <w14:textFill>
                  <w14:solidFill>
                    <w14:schemeClr w14:val="tx1"/>
                  </w14:solidFill>
                </w14:textFill>
              </w:rPr>
              <w:t>序号</w:t>
            </w:r>
          </w:p>
        </w:tc>
        <w:tc>
          <w:tcPr>
            <w:tcW w:w="166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themeColor="text1"/>
                <w:kern w:val="0"/>
                <w:sz w:val="18"/>
                <w:szCs w:val="18"/>
                <w14:textFill>
                  <w14:solidFill>
                    <w14:schemeClr w14:val="tx1"/>
                  </w14:solidFill>
                </w14:textFill>
              </w:rPr>
            </w:pPr>
            <w:r>
              <w:rPr>
                <w:rFonts w:hint="eastAsia" w:ascii="宋体" w:hAnsi="宋体" w:eastAsia="宋体" w:cs="宋体"/>
                <w:b/>
                <w:bCs/>
                <w:color w:val="000000" w:themeColor="text1"/>
                <w:kern w:val="0"/>
                <w:sz w:val="18"/>
                <w:szCs w:val="18"/>
                <w14:textFill>
                  <w14:solidFill>
                    <w14:schemeClr w14:val="tx1"/>
                  </w14:solidFill>
                </w14:textFill>
              </w:rPr>
              <w:t>网点名称</w:t>
            </w:r>
          </w:p>
        </w:tc>
        <w:tc>
          <w:tcPr>
            <w:tcW w:w="48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themeColor="text1"/>
                <w:kern w:val="0"/>
                <w:sz w:val="18"/>
                <w:szCs w:val="18"/>
                <w14:textFill>
                  <w14:solidFill>
                    <w14:schemeClr w14:val="tx1"/>
                  </w14:solidFill>
                </w14:textFill>
              </w:rPr>
            </w:pPr>
            <w:r>
              <w:rPr>
                <w:rFonts w:hint="eastAsia" w:ascii="宋体" w:hAnsi="宋体" w:eastAsia="宋体" w:cs="宋体"/>
                <w:b/>
                <w:bCs/>
                <w:color w:val="000000" w:themeColor="text1"/>
                <w:kern w:val="0"/>
                <w:sz w:val="18"/>
                <w:szCs w:val="18"/>
                <w14:textFill>
                  <w14:solidFill>
                    <w14:schemeClr w14:val="tx1"/>
                  </w14:solidFill>
                </w14:textFill>
              </w:rPr>
              <w:t>地址</w:t>
            </w:r>
          </w:p>
        </w:tc>
        <w:tc>
          <w:tcPr>
            <w:tcW w:w="16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themeColor="text1"/>
                <w:kern w:val="0"/>
                <w:sz w:val="18"/>
                <w:szCs w:val="18"/>
                <w14:textFill>
                  <w14:solidFill>
                    <w14:schemeClr w14:val="tx1"/>
                  </w14:solidFill>
                </w14:textFill>
              </w:rPr>
            </w:pPr>
            <w:r>
              <w:rPr>
                <w:rFonts w:hint="eastAsia" w:ascii="宋体" w:hAnsi="宋体" w:eastAsia="宋体" w:cs="宋体"/>
                <w:b/>
                <w:bCs/>
                <w:color w:val="000000" w:themeColor="text1"/>
                <w:kern w:val="0"/>
                <w:sz w:val="18"/>
                <w:szCs w:val="18"/>
                <w14:textFill>
                  <w14:solidFill>
                    <w14:schemeClr w14:val="tx1"/>
                  </w14:solidFill>
                </w14:textFill>
              </w:rPr>
              <w:t>网点面积</w:t>
            </w:r>
            <w:r>
              <w:rPr>
                <w:rFonts w:hint="eastAsia" w:ascii="宋体" w:hAnsi="宋体" w:eastAsia="宋体" w:cs="宋体"/>
                <w:b/>
                <w:bCs/>
                <w:color w:val="000000" w:themeColor="text1"/>
                <w:kern w:val="0"/>
                <w:sz w:val="18"/>
                <w:szCs w:val="18"/>
                <w14:textFill>
                  <w14:solidFill>
                    <w14:schemeClr w14:val="tx1"/>
                  </w14:solidFill>
                </w14:textFill>
              </w:rPr>
              <w:br w:type="textWrapping"/>
            </w:r>
            <w:r>
              <w:rPr>
                <w:rFonts w:hint="eastAsia" w:ascii="宋体" w:hAnsi="宋体" w:eastAsia="宋体" w:cs="宋体"/>
                <w:b/>
                <w:bCs/>
                <w:color w:val="000000" w:themeColor="text1"/>
                <w:kern w:val="0"/>
                <w:sz w:val="18"/>
                <w:szCs w:val="18"/>
                <w14:textFill>
                  <w14:solidFill>
                    <w14:schemeClr w14:val="tx1"/>
                  </w14:solidFill>
                </w14:textFill>
              </w:rPr>
              <w:t>（平方米）</w:t>
            </w:r>
          </w:p>
        </w:tc>
      </w:tr>
      <w:tr>
        <w:tblPrEx>
          <w:tblCellMar>
            <w:top w:w="0" w:type="dxa"/>
            <w:left w:w="108" w:type="dxa"/>
            <w:bottom w:w="0" w:type="dxa"/>
            <w:right w:w="108" w:type="dxa"/>
          </w:tblCellMar>
        </w:tblPrEx>
        <w:trPr>
          <w:trHeight w:val="396"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1</w:t>
            </w:r>
          </w:p>
        </w:tc>
        <w:tc>
          <w:tcPr>
            <w:tcW w:w="16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支行营业部</w:t>
            </w:r>
          </w:p>
        </w:tc>
        <w:tc>
          <w:tcPr>
            <w:tcW w:w="4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星隆国际广场一楼</w:t>
            </w:r>
          </w:p>
        </w:tc>
        <w:tc>
          <w:tcPr>
            <w:tcW w:w="16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950　</w:t>
            </w:r>
          </w:p>
        </w:tc>
      </w:tr>
      <w:tr>
        <w:tblPrEx>
          <w:tblCellMar>
            <w:top w:w="0" w:type="dxa"/>
            <w:left w:w="108" w:type="dxa"/>
            <w:bottom w:w="0" w:type="dxa"/>
            <w:right w:w="108" w:type="dxa"/>
          </w:tblCellMar>
        </w:tblPrEx>
        <w:trPr>
          <w:trHeight w:val="396"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2</w:t>
            </w:r>
          </w:p>
        </w:tc>
        <w:tc>
          <w:tcPr>
            <w:tcW w:w="16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松雅湖支行</w:t>
            </w:r>
          </w:p>
        </w:tc>
        <w:tc>
          <w:tcPr>
            <w:tcW w:w="4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开元路方略城市广场一楼</w:t>
            </w:r>
          </w:p>
        </w:tc>
        <w:tc>
          <w:tcPr>
            <w:tcW w:w="16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444　</w:t>
            </w:r>
          </w:p>
        </w:tc>
      </w:tr>
      <w:tr>
        <w:tblPrEx>
          <w:tblCellMar>
            <w:top w:w="0" w:type="dxa"/>
            <w:left w:w="108" w:type="dxa"/>
            <w:bottom w:w="0" w:type="dxa"/>
            <w:right w:w="108" w:type="dxa"/>
          </w:tblCellMar>
        </w:tblPrEx>
        <w:trPr>
          <w:trHeight w:val="396"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3</w:t>
            </w:r>
          </w:p>
        </w:tc>
        <w:tc>
          <w:tcPr>
            <w:tcW w:w="16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湘龙支行</w:t>
            </w:r>
          </w:p>
        </w:tc>
        <w:tc>
          <w:tcPr>
            <w:tcW w:w="4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滨湖西路36号</w:t>
            </w:r>
          </w:p>
        </w:tc>
        <w:tc>
          <w:tcPr>
            <w:tcW w:w="16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648　</w:t>
            </w:r>
          </w:p>
        </w:tc>
      </w:tr>
      <w:tr>
        <w:tblPrEx>
          <w:tblCellMar>
            <w:top w:w="0" w:type="dxa"/>
            <w:left w:w="108" w:type="dxa"/>
            <w:bottom w:w="0" w:type="dxa"/>
            <w:right w:w="108" w:type="dxa"/>
          </w:tblCellMar>
        </w:tblPrEx>
        <w:trPr>
          <w:trHeight w:val="396"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4</w:t>
            </w:r>
          </w:p>
        </w:tc>
        <w:tc>
          <w:tcPr>
            <w:tcW w:w="16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双拥路支行</w:t>
            </w:r>
          </w:p>
        </w:tc>
        <w:tc>
          <w:tcPr>
            <w:tcW w:w="4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车站北路919号第一湾楼盘</w:t>
            </w:r>
          </w:p>
        </w:tc>
        <w:tc>
          <w:tcPr>
            <w:tcW w:w="16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811　</w:t>
            </w:r>
          </w:p>
        </w:tc>
      </w:tr>
      <w:tr>
        <w:tblPrEx>
          <w:tblCellMar>
            <w:top w:w="0" w:type="dxa"/>
            <w:left w:w="108" w:type="dxa"/>
            <w:bottom w:w="0" w:type="dxa"/>
            <w:right w:w="108" w:type="dxa"/>
          </w:tblCellMar>
        </w:tblPrEx>
        <w:trPr>
          <w:trHeight w:val="396"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5</w:t>
            </w:r>
          </w:p>
        </w:tc>
        <w:tc>
          <w:tcPr>
            <w:tcW w:w="16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泉塘支行</w:t>
            </w:r>
          </w:p>
        </w:tc>
        <w:tc>
          <w:tcPr>
            <w:tcW w:w="4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东六路昌和购物中心2栋101</w:t>
            </w:r>
          </w:p>
        </w:tc>
        <w:tc>
          <w:tcPr>
            <w:tcW w:w="16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1049　</w:t>
            </w:r>
          </w:p>
        </w:tc>
      </w:tr>
      <w:tr>
        <w:tblPrEx>
          <w:tblCellMar>
            <w:top w:w="0" w:type="dxa"/>
            <w:left w:w="108" w:type="dxa"/>
            <w:bottom w:w="0" w:type="dxa"/>
            <w:right w:w="108" w:type="dxa"/>
          </w:tblCellMar>
        </w:tblPrEx>
        <w:trPr>
          <w:trHeight w:val="396"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6</w:t>
            </w:r>
          </w:p>
        </w:tc>
        <w:tc>
          <w:tcPr>
            <w:tcW w:w="16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长沙经开区支行</w:t>
            </w:r>
          </w:p>
        </w:tc>
        <w:tc>
          <w:tcPr>
            <w:tcW w:w="4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榔梨街道波隆城市花园5栋</w:t>
            </w:r>
          </w:p>
        </w:tc>
        <w:tc>
          <w:tcPr>
            <w:tcW w:w="16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761</w:t>
            </w:r>
          </w:p>
        </w:tc>
      </w:tr>
      <w:tr>
        <w:tblPrEx>
          <w:tblCellMar>
            <w:top w:w="0" w:type="dxa"/>
            <w:left w:w="108" w:type="dxa"/>
            <w:bottom w:w="0" w:type="dxa"/>
            <w:right w:w="108" w:type="dxa"/>
          </w:tblCellMar>
        </w:tblPrEx>
        <w:trPr>
          <w:trHeight w:val="396"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7</w:t>
            </w:r>
          </w:p>
        </w:tc>
        <w:tc>
          <w:tcPr>
            <w:tcW w:w="16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自贸区临空支行</w:t>
            </w:r>
          </w:p>
        </w:tc>
        <w:tc>
          <w:tcPr>
            <w:tcW w:w="4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黄花镇黄金大道96号顺兴家园1栋104号门面</w:t>
            </w:r>
          </w:p>
        </w:tc>
        <w:tc>
          <w:tcPr>
            <w:tcW w:w="16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448　</w:t>
            </w:r>
          </w:p>
        </w:tc>
      </w:tr>
      <w:tr>
        <w:tblPrEx>
          <w:tblCellMar>
            <w:top w:w="0" w:type="dxa"/>
            <w:left w:w="108" w:type="dxa"/>
            <w:bottom w:w="0" w:type="dxa"/>
            <w:right w:w="108" w:type="dxa"/>
          </w:tblCellMar>
        </w:tblPrEx>
        <w:trPr>
          <w:trHeight w:val="396"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8</w:t>
            </w:r>
          </w:p>
        </w:tc>
        <w:tc>
          <w:tcPr>
            <w:tcW w:w="16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黄兴支行</w:t>
            </w:r>
          </w:p>
        </w:tc>
        <w:tc>
          <w:tcPr>
            <w:tcW w:w="4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黄兴镇黄江大道596号三润兴苑第一层108至122号门面</w:t>
            </w:r>
          </w:p>
        </w:tc>
        <w:tc>
          <w:tcPr>
            <w:tcW w:w="167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18"/>
                <w:szCs w:val="18"/>
                <w14:textFill>
                  <w14:solidFill>
                    <w14:schemeClr w14:val="tx1"/>
                  </w14:solidFill>
                </w14:textFill>
              </w:rPr>
            </w:pPr>
            <w:r>
              <w:rPr>
                <w:rFonts w:hint="eastAsia" w:ascii="宋体" w:hAnsi="宋体" w:eastAsia="宋体" w:cs="宋体"/>
                <w:color w:val="000000" w:themeColor="text1"/>
                <w:kern w:val="0"/>
                <w:sz w:val="18"/>
                <w:szCs w:val="18"/>
                <w14:textFill>
                  <w14:solidFill>
                    <w14:schemeClr w14:val="tx1"/>
                  </w14:solidFill>
                </w14:textFill>
              </w:rPr>
              <w:t>426.5</w:t>
            </w:r>
          </w:p>
        </w:tc>
      </w:tr>
    </w:tbl>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C.工作时间：营业日全天（8:30-17:30）。</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D.服务频次：营业大厅、自助服务区一天两次大卫生，其他区域随时清扫，及时响应网点的清洁工作需求。每月定期对天花板、窗户等清洁难度大的地方进行清扫，每年两次大扫除（大扫除含大门、窗户、地面、天花板、空调过滤网、网点前坪5米内地面等地方进行彻底的卫生保洁）。</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E.服务成效：全区域干净整洁、窗明几净；门前“三包”范围内无白色可视垃圾。</w:t>
      </w:r>
    </w:p>
    <w:p>
      <w:pPr>
        <w:adjustRightInd w:val="0"/>
        <w:snapToGrid w:val="0"/>
        <w:spacing w:line="360" w:lineRule="auto"/>
        <w:ind w:firstLine="562" w:firstLineChars="200"/>
        <w:rPr>
          <w:rFonts w:ascii="彩虹粗仿宋" w:eastAsia="彩虹粗仿宋"/>
          <w:b/>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4.驾驶服务：</w:t>
      </w:r>
      <w:r>
        <w:rPr>
          <w:rFonts w:hint="eastAsia" w:ascii="彩虹粗仿宋" w:eastAsia="彩虹粗仿宋"/>
          <w:color w:val="000000" w:themeColor="text1"/>
          <w:sz w:val="28"/>
          <w:szCs w:val="28"/>
          <w14:textFill>
            <w14:solidFill>
              <w14:schemeClr w14:val="tx1"/>
            </w14:solidFill>
          </w14:textFill>
        </w:rPr>
        <w:t>为星沙支行公务车辆提供驾驶服务，星沙支行共有车辆8台，具体型号如下：</w:t>
      </w:r>
    </w:p>
    <w:tbl>
      <w:tblPr>
        <w:tblStyle w:val="7"/>
        <w:tblW w:w="5000" w:type="pct"/>
        <w:tblInd w:w="0" w:type="dxa"/>
        <w:tblLayout w:type="autofit"/>
        <w:tblCellMar>
          <w:top w:w="0" w:type="dxa"/>
          <w:left w:w="108" w:type="dxa"/>
          <w:bottom w:w="0" w:type="dxa"/>
          <w:right w:w="108" w:type="dxa"/>
        </w:tblCellMar>
      </w:tblPr>
      <w:tblGrid>
        <w:gridCol w:w="1101"/>
        <w:gridCol w:w="1842"/>
        <w:gridCol w:w="2187"/>
        <w:gridCol w:w="1466"/>
        <w:gridCol w:w="1926"/>
      </w:tblGrid>
      <w:tr>
        <w:tblPrEx>
          <w:tblCellMar>
            <w:top w:w="0" w:type="dxa"/>
            <w:left w:w="108" w:type="dxa"/>
            <w:bottom w:w="0" w:type="dxa"/>
            <w:right w:w="108" w:type="dxa"/>
          </w:tblCellMar>
        </w:tblPrEx>
        <w:trPr>
          <w:trHeight w:val="435" w:hRule="atLeast"/>
        </w:trPr>
        <w:tc>
          <w:tcPr>
            <w:tcW w:w="64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序号</w:t>
            </w:r>
          </w:p>
        </w:tc>
        <w:tc>
          <w:tcPr>
            <w:tcW w:w="1081"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品牌</w:t>
            </w:r>
          </w:p>
        </w:tc>
        <w:tc>
          <w:tcPr>
            <w:tcW w:w="128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蓝牌/绿牌</w:t>
            </w:r>
          </w:p>
        </w:tc>
        <w:tc>
          <w:tcPr>
            <w:tcW w:w="860"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座位数</w:t>
            </w:r>
          </w:p>
        </w:tc>
        <w:tc>
          <w:tcPr>
            <w:tcW w:w="1130"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购入年份</w:t>
            </w:r>
          </w:p>
        </w:tc>
      </w:tr>
      <w:tr>
        <w:tblPrEx>
          <w:tblCellMar>
            <w:top w:w="0" w:type="dxa"/>
            <w:left w:w="108" w:type="dxa"/>
            <w:bottom w:w="0" w:type="dxa"/>
            <w:right w:w="108" w:type="dxa"/>
          </w:tblCellMar>
        </w:tblPrEx>
        <w:trPr>
          <w:trHeight w:val="462" w:hRule="atLeast"/>
        </w:trPr>
        <w:tc>
          <w:tcPr>
            <w:tcW w:w="64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1</w:t>
            </w:r>
          </w:p>
        </w:tc>
        <w:tc>
          <w:tcPr>
            <w:tcW w:w="1081"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大众</w:t>
            </w:r>
          </w:p>
        </w:tc>
        <w:tc>
          <w:tcPr>
            <w:tcW w:w="1283"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蓝牌</w:t>
            </w:r>
          </w:p>
        </w:tc>
        <w:tc>
          <w:tcPr>
            <w:tcW w:w="86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5</w:t>
            </w:r>
          </w:p>
        </w:tc>
        <w:tc>
          <w:tcPr>
            <w:tcW w:w="113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2013</w:t>
            </w:r>
          </w:p>
        </w:tc>
      </w:tr>
      <w:tr>
        <w:tblPrEx>
          <w:tblCellMar>
            <w:top w:w="0" w:type="dxa"/>
            <w:left w:w="108" w:type="dxa"/>
            <w:bottom w:w="0" w:type="dxa"/>
            <w:right w:w="108" w:type="dxa"/>
          </w:tblCellMar>
        </w:tblPrEx>
        <w:trPr>
          <w:trHeight w:val="480" w:hRule="atLeast"/>
        </w:trPr>
        <w:tc>
          <w:tcPr>
            <w:tcW w:w="64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2</w:t>
            </w:r>
          </w:p>
        </w:tc>
        <w:tc>
          <w:tcPr>
            <w:tcW w:w="1081"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大众</w:t>
            </w:r>
          </w:p>
        </w:tc>
        <w:tc>
          <w:tcPr>
            <w:tcW w:w="1283"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蓝牌</w:t>
            </w:r>
          </w:p>
        </w:tc>
        <w:tc>
          <w:tcPr>
            <w:tcW w:w="86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5</w:t>
            </w:r>
          </w:p>
        </w:tc>
        <w:tc>
          <w:tcPr>
            <w:tcW w:w="113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2013</w:t>
            </w:r>
          </w:p>
        </w:tc>
      </w:tr>
      <w:tr>
        <w:tblPrEx>
          <w:tblCellMar>
            <w:top w:w="0" w:type="dxa"/>
            <w:left w:w="108" w:type="dxa"/>
            <w:bottom w:w="0" w:type="dxa"/>
            <w:right w:w="108" w:type="dxa"/>
          </w:tblCellMar>
        </w:tblPrEx>
        <w:trPr>
          <w:trHeight w:val="439" w:hRule="atLeast"/>
        </w:trPr>
        <w:tc>
          <w:tcPr>
            <w:tcW w:w="64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3</w:t>
            </w:r>
          </w:p>
        </w:tc>
        <w:tc>
          <w:tcPr>
            <w:tcW w:w="1081"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别克</w:t>
            </w:r>
          </w:p>
        </w:tc>
        <w:tc>
          <w:tcPr>
            <w:tcW w:w="1283"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蓝牌</w:t>
            </w:r>
          </w:p>
        </w:tc>
        <w:tc>
          <w:tcPr>
            <w:tcW w:w="86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7</w:t>
            </w:r>
          </w:p>
        </w:tc>
        <w:tc>
          <w:tcPr>
            <w:tcW w:w="113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2015</w:t>
            </w:r>
          </w:p>
        </w:tc>
      </w:tr>
      <w:tr>
        <w:tblPrEx>
          <w:tblCellMar>
            <w:top w:w="0" w:type="dxa"/>
            <w:left w:w="108" w:type="dxa"/>
            <w:bottom w:w="0" w:type="dxa"/>
            <w:right w:w="108" w:type="dxa"/>
          </w:tblCellMar>
        </w:tblPrEx>
        <w:trPr>
          <w:trHeight w:val="402" w:hRule="atLeast"/>
        </w:trPr>
        <w:tc>
          <w:tcPr>
            <w:tcW w:w="64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4</w:t>
            </w:r>
          </w:p>
        </w:tc>
        <w:tc>
          <w:tcPr>
            <w:tcW w:w="1081"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红旗</w:t>
            </w:r>
          </w:p>
        </w:tc>
        <w:tc>
          <w:tcPr>
            <w:tcW w:w="1283"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绿牌</w:t>
            </w:r>
          </w:p>
        </w:tc>
        <w:tc>
          <w:tcPr>
            <w:tcW w:w="86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5</w:t>
            </w:r>
          </w:p>
        </w:tc>
        <w:tc>
          <w:tcPr>
            <w:tcW w:w="113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2022</w:t>
            </w:r>
          </w:p>
        </w:tc>
      </w:tr>
      <w:tr>
        <w:tblPrEx>
          <w:tblCellMar>
            <w:top w:w="0" w:type="dxa"/>
            <w:left w:w="108" w:type="dxa"/>
            <w:bottom w:w="0" w:type="dxa"/>
            <w:right w:w="108" w:type="dxa"/>
          </w:tblCellMar>
        </w:tblPrEx>
        <w:trPr>
          <w:trHeight w:val="462" w:hRule="atLeast"/>
        </w:trPr>
        <w:tc>
          <w:tcPr>
            <w:tcW w:w="64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5</w:t>
            </w:r>
          </w:p>
        </w:tc>
        <w:tc>
          <w:tcPr>
            <w:tcW w:w="1081"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红旗</w:t>
            </w:r>
          </w:p>
        </w:tc>
        <w:tc>
          <w:tcPr>
            <w:tcW w:w="1283"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绿牌</w:t>
            </w:r>
          </w:p>
        </w:tc>
        <w:tc>
          <w:tcPr>
            <w:tcW w:w="86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5</w:t>
            </w:r>
          </w:p>
        </w:tc>
        <w:tc>
          <w:tcPr>
            <w:tcW w:w="113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2022</w:t>
            </w:r>
          </w:p>
        </w:tc>
      </w:tr>
      <w:tr>
        <w:tblPrEx>
          <w:tblCellMar>
            <w:top w:w="0" w:type="dxa"/>
            <w:left w:w="108" w:type="dxa"/>
            <w:bottom w:w="0" w:type="dxa"/>
            <w:right w:w="108" w:type="dxa"/>
          </w:tblCellMar>
        </w:tblPrEx>
        <w:trPr>
          <w:trHeight w:val="420" w:hRule="atLeast"/>
        </w:trPr>
        <w:tc>
          <w:tcPr>
            <w:tcW w:w="64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6</w:t>
            </w:r>
          </w:p>
        </w:tc>
        <w:tc>
          <w:tcPr>
            <w:tcW w:w="1081"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红旗</w:t>
            </w:r>
          </w:p>
        </w:tc>
        <w:tc>
          <w:tcPr>
            <w:tcW w:w="1283"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绿牌</w:t>
            </w:r>
          </w:p>
        </w:tc>
        <w:tc>
          <w:tcPr>
            <w:tcW w:w="86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5</w:t>
            </w:r>
          </w:p>
        </w:tc>
        <w:tc>
          <w:tcPr>
            <w:tcW w:w="113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2022</w:t>
            </w:r>
          </w:p>
        </w:tc>
      </w:tr>
      <w:tr>
        <w:tblPrEx>
          <w:tblCellMar>
            <w:top w:w="0" w:type="dxa"/>
            <w:left w:w="108" w:type="dxa"/>
            <w:bottom w:w="0" w:type="dxa"/>
            <w:right w:w="108" w:type="dxa"/>
          </w:tblCellMar>
        </w:tblPrEx>
        <w:trPr>
          <w:trHeight w:val="379" w:hRule="atLeast"/>
        </w:trPr>
        <w:tc>
          <w:tcPr>
            <w:tcW w:w="64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7</w:t>
            </w:r>
          </w:p>
        </w:tc>
        <w:tc>
          <w:tcPr>
            <w:tcW w:w="1081"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红旗</w:t>
            </w:r>
          </w:p>
        </w:tc>
        <w:tc>
          <w:tcPr>
            <w:tcW w:w="1283"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绿牌</w:t>
            </w:r>
          </w:p>
        </w:tc>
        <w:tc>
          <w:tcPr>
            <w:tcW w:w="86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5</w:t>
            </w:r>
          </w:p>
        </w:tc>
        <w:tc>
          <w:tcPr>
            <w:tcW w:w="113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2022</w:t>
            </w:r>
          </w:p>
        </w:tc>
      </w:tr>
      <w:tr>
        <w:tblPrEx>
          <w:tblCellMar>
            <w:top w:w="0" w:type="dxa"/>
            <w:left w:w="108" w:type="dxa"/>
            <w:bottom w:w="0" w:type="dxa"/>
            <w:right w:w="108" w:type="dxa"/>
          </w:tblCellMar>
        </w:tblPrEx>
        <w:trPr>
          <w:trHeight w:val="480" w:hRule="atLeast"/>
        </w:trPr>
        <w:tc>
          <w:tcPr>
            <w:tcW w:w="64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8</w:t>
            </w:r>
          </w:p>
        </w:tc>
        <w:tc>
          <w:tcPr>
            <w:tcW w:w="1081"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金杯</w:t>
            </w:r>
          </w:p>
        </w:tc>
        <w:tc>
          <w:tcPr>
            <w:tcW w:w="1283"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黄牌</w:t>
            </w:r>
          </w:p>
        </w:tc>
        <w:tc>
          <w:tcPr>
            <w:tcW w:w="86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14</w:t>
            </w:r>
          </w:p>
        </w:tc>
        <w:tc>
          <w:tcPr>
            <w:tcW w:w="1130" w:type="pct"/>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2012</w:t>
            </w:r>
          </w:p>
        </w:tc>
      </w:tr>
    </w:tbl>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A.服务岗位要求：6个岗，服务人员年龄20—50岁，具有驾驶对应公务车辆应持有的驾照类型（在有效期内），身体健康，能吃苦耐劳，热爱本职工作，有3年以上实际驾龄，无被行政拘留、收容教育、收容教养、劳动教养，强制戒毒和刑事处罚等违法违纪记录。；</w:t>
      </w:r>
    </w:p>
    <w:p>
      <w:pPr>
        <w:adjustRightInd w:val="0"/>
        <w:snapToGrid w:val="0"/>
        <w:spacing w:line="360" w:lineRule="auto"/>
        <w:ind w:firstLine="560" w:firstLineChars="200"/>
        <w:outlineLvl w:val="0"/>
        <w:rPr>
          <w:rFonts w:ascii="宋体" w:hAnsi="宋体" w:eastAsia="宋体" w:cs="宋体"/>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B.服务范畴：按照支行业务需要提供公务车辆驾驶服务。</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C.工作时间：正常工作日时间8：30-17：30，根据工作需要，工作日适当提前或推迟属正常上班。休息日及节假日根据值班安排出车，另行计算零星服务费用；</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D.服务频次：根据我行《派车单》提供的指定时间进行服务。</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E.服务要求：</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（1）认真贯彻执行《中华人民共和国道路交通管理条例》，自觉遵守交通规则，牢固树立“安全行车，优质服务”的宗旨。</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（2）服从车辆管理员的安排，保证行车安全。如遇休息时有紧急公务，驾驶员必须听从安排及时出车，圆满完成出车任务。</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（3）爱护车辆，经常保持车况良好，车容整洁，负责车辆的保养、维护，保证车辆安全运行。</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（4）出车前应认真检查车况，出车返回后，应停放在指定的车库，并适时清洁车辆。</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（5）按时到岗、坚守岗位，不迟到早退，不随意替班。</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（6）完成星沙支行综合管理部交办的其他事项。</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另：星沙支行车辆管理部门负责购买车辆保险（含交通事故强制险、第三方责任险、座位险、车损险等）。我行不承担驾驶人员未按规定驾驶所产生的相应责任。违章驾驶车辆产生的一切责任和损失由供应商承担。</w:t>
      </w:r>
    </w:p>
    <w:p>
      <w:pPr>
        <w:adjustRightInd w:val="0"/>
        <w:snapToGrid w:val="0"/>
        <w:spacing w:line="360" w:lineRule="auto"/>
        <w:ind w:firstLine="562"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5.本部食堂餐饮服务-主厨</w:t>
      </w:r>
      <w:r>
        <w:rPr>
          <w:rFonts w:hint="eastAsia" w:ascii="彩虹粗仿宋" w:eastAsia="彩虹粗仿宋"/>
          <w:color w:val="000000" w:themeColor="text1"/>
          <w:sz w:val="28"/>
          <w:szCs w:val="28"/>
          <w14:textFill>
            <w14:solidFill>
              <w14:schemeClr w14:val="tx1"/>
            </w14:solidFill>
          </w14:textFill>
        </w:rPr>
        <w:t>：为星沙支行本部食堂（含营业部）提供主厨餐饮服务（不含食材、厨具、餐具等供给）：</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A.服务岗位要求：1个岗，服务人员年龄20—50岁，身体健康，能吃苦耐劳，热爱本职工作，无不良嗜好。厨艺精湛，有5年及以上厨师经验，按期体检，持有一年内的健康证，无不适合从事餐饮工作的疾病，无被行政拘留、收容教育、收容教养、劳动教养，强制戒毒和刑事处罚等违法违纪记录。</w:t>
      </w:r>
    </w:p>
    <w:p>
      <w:pPr>
        <w:adjustRightInd w:val="0"/>
        <w:snapToGrid w:val="0"/>
        <w:spacing w:line="360" w:lineRule="auto"/>
        <w:ind w:firstLine="560" w:firstLineChars="200"/>
        <w:outlineLvl w:val="0"/>
        <w:rPr>
          <w:rFonts w:ascii="宋体" w:hAnsi="宋体" w:eastAsia="宋体" w:cs="宋体"/>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B.服务区域：星沙支行本部食堂，就餐人员约80人/餐。</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C.工作时间：工作日6：00-18：30（根据工作需要，工作日适当提前或推迟属正常上班）。</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D.服务频次：正常工作日本部食堂提供早、中、晚餐；非工作日根据单位安排是否提供就餐，另行计算零星服务费用；</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E.服务要求：服从管理，按照我行餐饮要求保证按时保质保量提供良好的餐饮服务，</w:t>
      </w:r>
      <w:r>
        <w:rPr>
          <w:rFonts w:hint="eastAsia" w:ascii="彩虹粗仿宋" w:hAnsi="Times New Roman" w:eastAsia="彩虹粗仿宋" w:cs="Times New Roman"/>
          <w:bCs/>
          <w:color w:val="000000" w:themeColor="text1"/>
          <w:sz w:val="28"/>
          <w:szCs w:val="28"/>
          <w14:textFill>
            <w14:solidFill>
              <w14:schemeClr w14:val="tx1"/>
            </w14:solidFill>
          </w14:textFill>
        </w:rPr>
        <w:t>负责每周员工餐的菜单制定、营养搭配和新品开发。</w:t>
      </w:r>
      <w:r>
        <w:rPr>
          <w:rFonts w:hint="eastAsia" w:ascii="彩虹粗仿宋" w:hAnsi="Times New Roman" w:eastAsia="彩虹粗仿宋"/>
          <w:bCs/>
          <w:color w:val="000000" w:themeColor="text1"/>
          <w:sz w:val="28"/>
          <w:szCs w:val="28"/>
          <w14:textFill>
            <w14:solidFill>
              <w14:schemeClr w14:val="tx1"/>
            </w14:solidFill>
          </w14:textFill>
        </w:rPr>
        <w:t>负责对每天的所有原材料质量、数量把关和入库。主抓菜品质量和接待餐、员工餐、会议餐、培训餐的出品，</w:t>
      </w:r>
      <w:r>
        <w:rPr>
          <w:rFonts w:hint="eastAsia" w:ascii="彩虹粗仿宋" w:eastAsia="彩虹粗仿宋"/>
          <w:color w:val="000000" w:themeColor="text1"/>
          <w:sz w:val="28"/>
          <w:szCs w:val="28"/>
          <w14:textFill>
            <w14:solidFill>
              <w14:schemeClr w14:val="tx1"/>
            </w14:solidFill>
          </w14:textFill>
        </w:rPr>
        <w:t>充分听取我方员工意见，努力提高烹饪技术，不断改进饭菜质量，合理配餐。</w:t>
      </w:r>
      <w:r>
        <w:rPr>
          <w:rFonts w:hint="eastAsia" w:ascii="彩虹粗仿宋" w:hAnsi="Times New Roman" w:eastAsia="彩虹粗仿宋"/>
          <w:bCs/>
          <w:color w:val="000000" w:themeColor="text1"/>
          <w:sz w:val="28"/>
          <w:szCs w:val="28"/>
          <w14:textFill>
            <w14:solidFill>
              <w14:schemeClr w14:val="tx1"/>
            </w14:solidFill>
          </w14:textFill>
        </w:rPr>
        <w:t>负责</w:t>
      </w:r>
      <w:r>
        <w:rPr>
          <w:rFonts w:hint="eastAsia" w:ascii="彩虹粗仿宋" w:eastAsia="彩虹粗仿宋"/>
          <w:color w:val="000000" w:themeColor="text1"/>
          <w:sz w:val="28"/>
          <w:szCs w:val="28"/>
          <w14:textFill>
            <w14:solidFill>
              <w14:schemeClr w14:val="tx1"/>
            </w14:solidFill>
          </w14:textFill>
        </w:rPr>
        <w:t>食堂卫生和食品安全，对食品的质量、味道、安全全面负责。</w:t>
      </w:r>
    </w:p>
    <w:p>
      <w:pPr>
        <w:adjustRightInd w:val="0"/>
        <w:snapToGrid w:val="0"/>
        <w:spacing w:line="360" w:lineRule="auto"/>
        <w:ind w:firstLine="562"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6.本部食堂餐饮服务-副厨：</w:t>
      </w:r>
      <w:r>
        <w:rPr>
          <w:rFonts w:hint="eastAsia" w:ascii="彩虹粗仿宋" w:eastAsia="彩虹粗仿宋"/>
          <w:color w:val="000000" w:themeColor="text1"/>
          <w:sz w:val="28"/>
          <w:szCs w:val="28"/>
          <w14:textFill>
            <w14:solidFill>
              <w14:schemeClr w14:val="tx1"/>
            </w14:solidFill>
          </w14:textFill>
        </w:rPr>
        <w:t>为星沙支行本部食堂（含营业部）提供副厨餐饮服务（不含食材、厨具、餐具等供给）：</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A.服务岗位要求：1个岗，服务人员年龄20—50岁，身体健康，能吃苦耐劳，热爱本职工作，无不良嗜好。厨艺好，菜品口味适合大众口味，有3年及以上厨师经验，按期体检，持有一年内的健康证，无不适合从事餐饮工作的疾病，无被行政拘留、收容教育、收容教养、劳动教养，强制戒毒和刑事处罚等违法违纪记录。</w:t>
      </w:r>
    </w:p>
    <w:p>
      <w:pPr>
        <w:adjustRightInd w:val="0"/>
        <w:snapToGrid w:val="0"/>
        <w:spacing w:line="360" w:lineRule="auto"/>
        <w:ind w:firstLine="560" w:firstLineChars="200"/>
        <w:outlineLvl w:val="0"/>
        <w:rPr>
          <w:rFonts w:ascii="宋体" w:hAnsi="宋体" w:eastAsia="宋体" w:cs="宋体"/>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B.服务区域：星沙支行本部食堂，就餐人员约80人/餐。</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C.工作时间：工作日6：00-18：30（根据工作需要，工作日适当提前或推迟属正常上班）。</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D.服务频次：正常工作日本部食堂提供早、中、晚餐；非工作日根据单位安排是否提供就餐，另行计算零星服务费用。</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E.服务成效：服从管理，按照我方餐饮要求保证按时保质保量为员工提供餐饮服务。</w:t>
      </w:r>
      <w:r>
        <w:rPr>
          <w:rFonts w:hint="eastAsia" w:ascii="彩虹粗仿宋" w:hAnsi="Times New Roman" w:eastAsia="彩虹粗仿宋"/>
          <w:bCs/>
          <w:color w:val="000000" w:themeColor="text1"/>
          <w:sz w:val="28"/>
          <w:szCs w:val="28"/>
          <w14:textFill>
            <w14:solidFill>
              <w14:schemeClr w14:val="tx1"/>
            </w14:solidFill>
          </w14:textFill>
        </w:rPr>
        <w:t>协作配合主厨开展工作。负责各种菜品档案建立，主抓员工餐、会议餐、培训餐的出品，</w:t>
      </w:r>
      <w:r>
        <w:rPr>
          <w:rFonts w:hint="eastAsia" w:ascii="彩虹粗仿宋" w:eastAsia="彩虹粗仿宋"/>
          <w:color w:val="000000" w:themeColor="text1"/>
          <w:sz w:val="28"/>
          <w:szCs w:val="28"/>
          <w14:textFill>
            <w14:solidFill>
              <w14:schemeClr w14:val="tx1"/>
            </w14:solidFill>
          </w14:textFill>
        </w:rPr>
        <w:t>不断改进饭菜质量，合理配餐。</w:t>
      </w:r>
    </w:p>
    <w:p>
      <w:pPr>
        <w:adjustRightInd w:val="0"/>
        <w:snapToGrid w:val="0"/>
        <w:spacing w:line="360" w:lineRule="auto"/>
        <w:ind w:firstLine="562"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7.本部食堂餐饮服务-帮厨：</w:t>
      </w:r>
      <w:r>
        <w:rPr>
          <w:rFonts w:hint="eastAsia" w:ascii="彩虹粗仿宋" w:eastAsia="彩虹粗仿宋"/>
          <w:color w:val="000000" w:themeColor="text1"/>
          <w:sz w:val="28"/>
          <w:szCs w:val="28"/>
          <w14:textFill>
            <w14:solidFill>
              <w14:schemeClr w14:val="tx1"/>
            </w14:solidFill>
          </w14:textFill>
        </w:rPr>
        <w:t>为星沙支行本部食堂（含营业部）提供帮厨餐饮服务（不含食材、厨具、餐具等供给）：</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A.服务岗位要求：2个岗，服务人员年龄20—60岁，身体健康，能吃苦耐劳，热爱本职工作，无不良嗜好。有2年及以上餐饮服务经验，按期体检，持有一年内的健康证，无不适合从事餐饮工作的疾病，无被行政拘留、收容教育、收容教养、劳动教养，强制戒毒和刑事处罚等违法违纪记录。</w:t>
      </w:r>
    </w:p>
    <w:p>
      <w:pPr>
        <w:adjustRightInd w:val="0"/>
        <w:snapToGrid w:val="0"/>
        <w:spacing w:line="360" w:lineRule="auto"/>
        <w:ind w:firstLine="560" w:firstLineChars="200"/>
        <w:outlineLvl w:val="0"/>
        <w:rPr>
          <w:rFonts w:ascii="宋体" w:hAnsi="宋体" w:eastAsia="宋体" w:cs="宋体"/>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B.服务区域：星沙支行本部食堂，就餐人员约80人/餐。</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C.工作时间：工作日6：00-18：30（根据工作需要，工作日适当提前或推迟属正常上班）。</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D.服务频次：正常工作日本部食堂提供早、中、晚餐；非工作日根据单位安排是否提供就餐，另行计算零星服务费用。</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E.服务成效：服从管理，按照我行餐饮要求保证按时保质保量为员工提供餐饮服务。负责食堂员工就餐和招待用餐的供应服务，及菜品、碗筷杯的清洗整理。菜品清洗及制作过程中必须做到干净卫生；餐后碗筷杯等用具清洗干净，消毒到位；做好食堂卫生，确保用餐环境干净卫生。同时做好安全防火工作。安全使用燃气、电等，防止火灾。要节约用水、电、气、粮、油等，爱护好食堂设施；就餐完毕应及时关掉水电空调。易燃、易爆物品要严格按规定放置，杜绝意外事故的发生。</w:t>
      </w:r>
    </w:p>
    <w:p>
      <w:pPr>
        <w:adjustRightInd w:val="0"/>
        <w:snapToGrid w:val="0"/>
        <w:spacing w:line="360" w:lineRule="auto"/>
        <w:ind w:firstLine="562"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8. 网点食堂餐饮服务：</w:t>
      </w:r>
      <w:r>
        <w:rPr>
          <w:rFonts w:hint="eastAsia" w:ascii="彩虹粗仿宋" w:eastAsia="彩虹粗仿宋"/>
          <w:color w:val="000000" w:themeColor="text1"/>
          <w:sz w:val="28"/>
          <w:szCs w:val="28"/>
          <w14:textFill>
            <w14:solidFill>
              <w14:schemeClr w14:val="tx1"/>
            </w14:solidFill>
          </w14:textFill>
        </w:rPr>
        <w:t>为星沙支行7个网点提供餐饮服务：</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A.服务岗位要求：7个岗（每个网点1个岗），服务人员年龄20—60岁，身体健康，能吃苦耐劳，热爱本职工作，无不良嗜好。厨艺好，菜品口味适合大众口味，有2年及以上厨师经验，按期体检，持有一年内的健康证，无不适合从事餐饮工作的疾病，无被行政拘留、收容教育、收容教养、劳动教养，强制戒毒和刑事处罚等违法违纪记录。</w:t>
      </w:r>
    </w:p>
    <w:p>
      <w:pPr>
        <w:adjustRightInd w:val="0"/>
        <w:snapToGrid w:val="0"/>
        <w:spacing w:line="360" w:lineRule="auto"/>
        <w:ind w:firstLine="560" w:firstLineChars="200"/>
        <w:outlineLvl w:val="0"/>
        <w:rPr>
          <w:rFonts w:ascii="宋体" w:hAnsi="宋体" w:eastAsia="宋体" w:cs="宋体"/>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B.服务区域：8个营业网点厨房及餐厅，各网点就餐员工平均为20人。</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C.工作时间：各网点营业日10:00-14:00。</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D.服务频次：网点营业日中餐；节假日根据单位安排是否提供就餐，另行计算零星服务费用。</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E.服务成效：服从管理，按照我行餐饮要求保证按时保质保量为员工提供餐饮服务。负责网点食堂员工就餐</w:t>
      </w:r>
      <w:r>
        <w:rPr>
          <w:rFonts w:hint="eastAsia" w:ascii="彩虹粗仿宋" w:hAnsi="Times New Roman" w:eastAsia="彩虹粗仿宋" w:cs="Times New Roman"/>
          <w:bCs/>
          <w:color w:val="000000" w:themeColor="text1"/>
          <w:sz w:val="28"/>
          <w:szCs w:val="28"/>
          <w14:textFill>
            <w14:solidFill>
              <w14:schemeClr w14:val="tx1"/>
            </w14:solidFill>
          </w14:textFill>
        </w:rPr>
        <w:t>菜单制定、营养搭配和餐饮供应服务。</w:t>
      </w:r>
      <w:r>
        <w:rPr>
          <w:rFonts w:hint="eastAsia" w:ascii="彩虹粗仿宋" w:hAnsi="Times New Roman" w:eastAsia="彩虹粗仿宋"/>
          <w:bCs/>
          <w:color w:val="000000" w:themeColor="text1"/>
          <w:sz w:val="28"/>
          <w:szCs w:val="28"/>
          <w14:textFill>
            <w14:solidFill>
              <w14:schemeClr w14:val="tx1"/>
            </w14:solidFill>
          </w14:textFill>
        </w:rPr>
        <w:t>负责对每天的所有原材料质量、数量把关和入库。</w:t>
      </w:r>
      <w:r>
        <w:rPr>
          <w:rFonts w:hint="eastAsia" w:ascii="彩虹粗仿宋" w:eastAsia="彩虹粗仿宋"/>
          <w:color w:val="000000" w:themeColor="text1"/>
          <w:sz w:val="28"/>
          <w:szCs w:val="28"/>
          <w14:textFill>
            <w14:solidFill>
              <w14:schemeClr w14:val="tx1"/>
            </w14:solidFill>
          </w14:textFill>
        </w:rPr>
        <w:t>充分听取我方员工意见，努力提高烹饪技术，不断改进饭菜质量，合理配餐。</w:t>
      </w:r>
      <w:r>
        <w:rPr>
          <w:rFonts w:hint="eastAsia" w:ascii="彩虹粗仿宋" w:hAnsi="Times New Roman" w:eastAsia="彩虹粗仿宋"/>
          <w:bCs/>
          <w:color w:val="000000" w:themeColor="text1"/>
          <w:sz w:val="28"/>
          <w:szCs w:val="28"/>
          <w14:textFill>
            <w14:solidFill>
              <w14:schemeClr w14:val="tx1"/>
            </w14:solidFill>
          </w14:textFill>
        </w:rPr>
        <w:t>负责</w:t>
      </w:r>
      <w:r>
        <w:rPr>
          <w:rFonts w:hint="eastAsia" w:ascii="彩虹粗仿宋" w:eastAsia="彩虹粗仿宋"/>
          <w:color w:val="000000" w:themeColor="text1"/>
          <w:sz w:val="28"/>
          <w:szCs w:val="28"/>
          <w14:textFill>
            <w14:solidFill>
              <w14:schemeClr w14:val="tx1"/>
            </w14:solidFill>
          </w14:textFill>
        </w:rPr>
        <w:t>食堂卫生、食品安全及菜品、碗筷杯的清洗整理，对食品的质量、味道、安全全面负责。菜品清洗及制作过程中必须做到干净卫生；餐后碗筷杯等用具清洗干净，消毒到位；做好食堂卫生，确保用餐环境干净卫生。同时做好安全防火工作。安全使用燃气、电等，防止火灾。要节约用水、电、气、粮、油等，爱护好食堂设施；就餐完毕应及时关掉水电空调。易燃、易爆物品要严格按规定放置，杜绝意外事故的发生。</w:t>
      </w:r>
    </w:p>
    <w:p>
      <w:pPr>
        <w:adjustRightInd w:val="0"/>
        <w:snapToGrid w:val="0"/>
        <w:spacing w:line="360" w:lineRule="auto"/>
        <w:ind w:firstLine="562"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b/>
          <w:color w:val="000000" w:themeColor="text1"/>
          <w:sz w:val="28"/>
          <w:szCs w:val="28"/>
          <w14:textFill>
            <w14:solidFill>
              <w14:schemeClr w14:val="tx1"/>
            </w14:solidFill>
          </w14:textFill>
        </w:rPr>
        <w:t>9. 文明劝导</w:t>
      </w:r>
      <w:r>
        <w:rPr>
          <w:rFonts w:hint="eastAsia" w:ascii="彩虹粗仿宋" w:eastAsia="彩虹粗仿宋"/>
          <w:color w:val="000000" w:themeColor="text1"/>
          <w:sz w:val="28"/>
          <w:szCs w:val="28"/>
          <w14:textFill>
            <w14:solidFill>
              <w14:schemeClr w14:val="tx1"/>
            </w14:solidFill>
          </w14:textFill>
        </w:rPr>
        <w:t>：在交通路口进行文明行为劝导。</w:t>
      </w:r>
    </w:p>
    <w:p>
      <w:pPr>
        <w:adjustRightInd w:val="0"/>
        <w:snapToGrid w:val="0"/>
        <w:spacing w:line="360" w:lineRule="auto"/>
        <w:ind w:firstLine="560" w:firstLineChars="20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A.服务岗位要求：1个岗，服务人员年龄60岁以内，身体健康，能吃苦耐劳，无被行政拘留、收容教育、收容教养、劳动教养，强制戒毒和刑事处罚等违法违纪记录。</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B.服务区域：望仙路与东四路交叉路口。</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C.工作时间：每月10日、11日、20日、21日的早晚高峰：上午8:00-10:00，下午15:00-17:00，如遇节假日或特殊情况，则根据我行要求调整时间，每月出勤不少于4天。</w:t>
      </w:r>
    </w:p>
    <w:p>
      <w:pPr>
        <w:adjustRightInd w:val="0"/>
        <w:snapToGrid w:val="0"/>
        <w:spacing w:line="360" w:lineRule="auto"/>
        <w:ind w:firstLine="560" w:firstLineChars="200"/>
        <w:outlineLvl w:val="0"/>
        <w:rPr>
          <w:rFonts w:ascii="彩虹粗仿宋" w:eastAsia="彩虹粗仿宋"/>
          <w:color w:val="000000" w:themeColor="text1"/>
          <w:sz w:val="28"/>
          <w:szCs w:val="28"/>
          <w14:textFill>
            <w14:solidFill>
              <w14:schemeClr w14:val="tx1"/>
            </w14:solidFill>
          </w14:textFill>
        </w:rPr>
      </w:pPr>
      <w:r>
        <w:rPr>
          <w:rFonts w:hint="eastAsia" w:ascii="彩虹粗仿宋" w:eastAsia="彩虹粗仿宋"/>
          <w:color w:val="000000" w:themeColor="text1"/>
          <w:sz w:val="28"/>
          <w:szCs w:val="28"/>
          <w14:textFill>
            <w14:solidFill>
              <w14:schemeClr w14:val="tx1"/>
            </w14:solidFill>
          </w14:textFill>
        </w:rPr>
        <w:t>D.服务要求：在交通路口对过往行人、车辆进行文明行为劝导。特别是对老人、小孩、孕妇、残疾人等群体过斑马线有需要时进行辅助。</w:t>
      </w: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（三）服务管理要求</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1.供应商必须按照我行要求完成协议规定的各项服务任务。对指派的服务人员应服从我行的各项业务管理规定和国家、行业、地方从业标准。</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2.供应商应做好服务团队人员内部管理工作，制定和完善公司所有的规章制度，制定每个岗位的岗位职责，对所有的服务人员应实行上班考勤制度、请休假制度，培训制度等规章制度，对服务人员定期考核，确保服务人员的服务质量符合我行的要求。</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3.供应商要加强安全教育，增强安全意识，教育服务人员规范操作，严格现场管理，定期开展安全大检查，排查安全隐患，消除事故苗头。</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4.供应商应做好服务人员的招聘工作：需保证合同有效期间内，如遇人员增减，供应商应根据我行的需求进行相关岗位人员招聘工作。服务过程中供应商人员变动的，应先通知我行，经我行用人单位同意后才能变动。</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5.供应商应做好服务人员提供服务之前的培训：对从事具体服务所需的专业资格证书进行检查，加强服务人员的上岗前的业务培训、保密培训等，让每一个岗位的员工熟知岗位职责，保守我行商业秘密，做好本职工作并能胜任本职工作。</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6.供应商应重视后备人员的培养与补充：为保证在具体服务场所提供服务的服务质量，服务人员由于各种原因休假应及时安排临时补充人员接替。我行有权利对服务人员的服务质量进行监督评价，如果服务人员无法达到我行要求的服务规范的，收到我行提出的换人的要求后，应及时更换服务人员。</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7.供应商应保证合理的人员流动：为了提高服务人员的服务质量，应保证服务人员的流动性控制在合理范围以内。服务人员因辞职等原因离岗的，应保证在5个工作日内完成补充人员的招聘、岗前培训等工作并安排到岗。</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8.供应商应全面负责服务人员的劳动关系建立工作：与服务人员建立劳资关系，并与服务人员签订劳动合同，每月按时按量的发放服务人员的工资、奖金并按国家规定缴纳相关的社保福利，并向服务人员发放工资明细。对所聘用人员必须签订劳动用工合同，符合国家相关规定。若因违反本条规定，造成的一切后果由供应商承担全部责任。</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9.承担损失责任：供应商必须与服务人员签订保密协议，对客户信息等商业秘密严格遵守保密协议之规定，禁止服务人员离开本岗位时泄露我行的工作机密和商业机密，如因服务人员的责任导致我行的一切损失由供应商承担赔偿责任。</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10.凡由供应商人员酿成双方或第三方人身伤害或财产损失或引发其他纠纷的，由供应商负责。</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（四）服务供应安排</w:t>
      </w:r>
    </w:p>
    <w:p>
      <w:pPr>
        <w:adjustRightInd w:val="0"/>
        <w:snapToGrid w:val="0"/>
        <w:spacing w:line="360" w:lineRule="auto"/>
        <w:ind w:firstLine="560" w:firstLineChars="200"/>
        <w:rPr>
          <w:rFonts w:hint="eastAsia"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1.供应商与我行签订采购合同后，在</w:t>
      </w:r>
      <w:r>
        <w:rPr>
          <w:rFonts w:hint="eastAsia" w:ascii="彩虹粗仿宋" w:hAnsi="宋体" w:eastAsia="彩虹粗仿宋" w:cs="Times New Roman"/>
          <w:snapToGrid w:val="0"/>
          <w:color w:val="000000" w:themeColor="text1"/>
          <w:kern w:val="0"/>
          <w:sz w:val="28"/>
          <w:szCs w:val="28"/>
          <w:u w:val="single"/>
          <w14:textFill>
            <w14:solidFill>
              <w14:schemeClr w14:val="tx1"/>
            </w14:solidFill>
          </w14:textFill>
        </w:rPr>
        <w:t>10</w:t>
      </w: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个工作日内人员配备到位，确保工作的有序运行。</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2.</w:t>
      </w:r>
      <w:r>
        <w:rPr>
          <w:rFonts w:hint="eastAsia" w:ascii="彩虹粗仿宋" w:hAnsi="宋体" w:eastAsia="彩虹粗仿宋"/>
          <w:snapToGrid w:val="0"/>
          <w:kern w:val="0"/>
          <w:sz w:val="28"/>
          <w:szCs w:val="28"/>
        </w:rPr>
        <w:t>供应商要安排服务人员按照正常工作时间提供相关岗位的工作服务，听从用人单位的安排与调度。</w:t>
      </w:r>
    </w:p>
    <w:p>
      <w:pPr>
        <w:adjustRightInd w:val="0"/>
        <w:snapToGrid w:val="0"/>
        <w:spacing w:line="360" w:lineRule="auto"/>
        <w:rPr>
          <w:rFonts w:ascii="彩虹粗仿宋" w:hAnsi="宋体" w:eastAsia="彩虹粗仿宋" w:cs="Times New Roman"/>
          <w:b/>
          <w:snapToGrid w:val="0"/>
          <w:color w:val="000000" w:themeColor="text1"/>
          <w:kern w:val="0"/>
          <w:sz w:val="28"/>
          <w:szCs w:val="28"/>
          <w14:textFill>
            <w14:solidFill>
              <w14:schemeClr w14:val="tx1"/>
            </w14:solidFill>
          </w14:textFill>
        </w:rPr>
      </w:pP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（五）售后服务要求</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供应商根据服务质量要求提供服务。</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1.对我行反馈的意见或提出的整改要求，应在</w:t>
      </w:r>
      <w:r>
        <w:rPr>
          <w:rFonts w:hint="eastAsia" w:ascii="彩虹粗仿宋" w:hAnsi="宋体" w:eastAsia="彩虹粗仿宋" w:cs="Times New Roman"/>
          <w:snapToGrid w:val="0"/>
          <w:color w:val="000000" w:themeColor="text1"/>
          <w:kern w:val="0"/>
          <w:sz w:val="28"/>
          <w:szCs w:val="28"/>
          <w:u w:val="single"/>
          <w14:textFill>
            <w14:solidFill>
              <w14:schemeClr w14:val="tx1"/>
            </w14:solidFill>
          </w14:textFill>
        </w:rPr>
        <w:t>2</w:t>
      </w: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小时内响应。</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2.对提出的具体整改事项，原则上应在</w:t>
      </w:r>
      <w:r>
        <w:rPr>
          <w:rFonts w:hint="eastAsia" w:ascii="彩虹粗仿宋" w:hAnsi="宋体" w:eastAsia="彩虹粗仿宋" w:cs="Times New Roman"/>
          <w:snapToGrid w:val="0"/>
          <w:color w:val="000000" w:themeColor="text1"/>
          <w:kern w:val="0"/>
          <w:sz w:val="28"/>
          <w:szCs w:val="28"/>
          <w:u w:val="single"/>
          <w14:textFill>
            <w14:solidFill>
              <w14:schemeClr w14:val="tx1"/>
            </w14:solidFill>
          </w14:textFill>
        </w:rPr>
        <w:t>3</w:t>
      </w: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个工作日内整改到位，特殊事项可酌情延长整改时限。</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3.对提出更换人员的要求，原则上应在</w:t>
      </w:r>
      <w:r>
        <w:rPr>
          <w:rFonts w:hint="eastAsia" w:ascii="彩虹粗仿宋" w:hAnsi="宋体" w:eastAsia="彩虹粗仿宋" w:cs="Times New Roman"/>
          <w:snapToGrid w:val="0"/>
          <w:color w:val="000000" w:themeColor="text1"/>
          <w:kern w:val="0"/>
          <w:sz w:val="28"/>
          <w:szCs w:val="28"/>
          <w:u w:val="single"/>
          <w14:textFill>
            <w14:solidFill>
              <w14:schemeClr w14:val="tx1"/>
            </w14:solidFill>
          </w14:textFill>
        </w:rPr>
        <w:t>5</w:t>
      </w: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个工作日内更换人员到位。</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4.对于应急性的人员要求，原则上应在</w:t>
      </w:r>
      <w:r>
        <w:rPr>
          <w:rFonts w:hint="eastAsia" w:ascii="彩虹粗仿宋" w:hAnsi="宋体" w:eastAsia="彩虹粗仿宋" w:cs="Times New Roman"/>
          <w:snapToGrid w:val="0"/>
          <w:color w:val="000000" w:themeColor="text1"/>
          <w:kern w:val="0"/>
          <w:sz w:val="28"/>
          <w:szCs w:val="28"/>
          <w:u w:val="single"/>
          <w14:textFill>
            <w14:solidFill>
              <w14:schemeClr w14:val="tx1"/>
            </w14:solidFill>
          </w14:textFill>
        </w:rPr>
        <w:t>2</w:t>
      </w: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小时内响应，并安排人员到位。</w:t>
      </w: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（六）款项支付要求</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1.付款周期：按季进行结算。</w:t>
      </w:r>
    </w:p>
    <w:p>
      <w:pPr>
        <w:adjustRightInd w:val="0"/>
        <w:snapToGrid w:val="0"/>
        <w:spacing w:line="360" w:lineRule="auto"/>
        <w:ind w:firstLine="560" w:firstLineChars="200"/>
        <w:rPr>
          <w:rFonts w:hint="eastAsia"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2.付款方式：2.付款方式：供应商根据双方确认的结算金额进行结算，餐饮服务开具增值税普通发票，其他服务开具增值税专票（包括但不限于增值税、城市维护建设税、教育费附加及地方教育费附加、印花税及企业所得税等由供应商自行承担），并确保发票税率符合国家相应规定，保证发票真实合法，各项信息全面完整。我行收到发票后20个工作日内支付。</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3.项目服务岗位/人员数量不得少于响应文件中承诺数，我行有权根据实际岗位/服务人员数量给付服务费;因我行政策或者环境变化因素、业务需求变化等原因导致的项目服务面积/服务岗位的减少，按采购价格核减服务费用。</w:t>
      </w: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（七）报价要求</w:t>
      </w:r>
    </w:p>
    <w:p>
      <w:pPr>
        <w:adjustRightInd w:val="0"/>
        <w:snapToGrid w:val="0"/>
        <w:spacing w:line="360" w:lineRule="auto"/>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1.本次采购报价包括人力费用、服务管理费、增值税税金等一切费用。</w:t>
      </w:r>
    </w:p>
    <w:p>
      <w:pPr>
        <w:adjustRightInd w:val="0"/>
        <w:snapToGrid w:val="0"/>
        <w:spacing w:line="360" w:lineRule="auto"/>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2.报价说明</w:t>
      </w:r>
    </w:p>
    <w:p>
      <w:pPr>
        <w:adjustRightInd w:val="0"/>
        <w:snapToGrid w:val="0"/>
        <w:spacing w:line="360" w:lineRule="auto"/>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（1）供应商报价时应同时填报含税单价、含税总价及适用增值税专票税率（一般纳税人为6%、小规模纳税人为3%或1%）。餐饮服务提供增值税普通发票，其他服务要求供应商提供增值税专票。我行以基本费用、</w:t>
      </w:r>
      <w:r>
        <w:rPr>
          <w:rFonts w:hint="eastAsia" w:ascii="彩虹粗仿宋" w:hAnsi="Times New Roman" w:eastAsia="彩虹粗仿宋" w:cs="Times New Roman"/>
          <w:color w:val="000000" w:themeColor="text1"/>
          <w:sz w:val="28"/>
          <w:szCs w:val="28"/>
          <w14:textFill>
            <w14:solidFill>
              <w14:schemeClr w14:val="tx1"/>
            </w14:solidFill>
          </w14:textFill>
        </w:rPr>
        <w:t>零星服务费用</w:t>
      </w:r>
      <w:r>
        <w:rPr>
          <w:rFonts w:hint="eastAsia" w:ascii="彩虹粗仿宋" w:hAnsi="宋体" w:eastAsia="彩虹粗仿宋"/>
          <w:snapToGrid w:val="0"/>
          <w:kern w:val="0"/>
          <w:sz w:val="28"/>
          <w:szCs w:val="28"/>
        </w:rPr>
        <w:t>两部分含税合计计算评审价。</w:t>
      </w:r>
    </w:p>
    <w:p>
      <w:pPr>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sz w:val="28"/>
          <w:szCs w:val="28"/>
          <w14:textFill>
            <w14:solidFill>
              <w14:schemeClr w14:val="tx1"/>
            </w14:solidFill>
          </w14:textFill>
        </w:rPr>
        <w:t>（2）</w:t>
      </w:r>
      <w:r>
        <w:rPr>
          <w:rFonts w:hint="eastAsia" w:ascii="彩虹粗仿宋" w:eastAsia="彩虹粗仿宋"/>
          <w:color w:val="000000" w:themeColor="text1"/>
          <w:sz w:val="28"/>
          <w:szCs w:val="28"/>
          <w14:textFill>
            <w14:solidFill>
              <w14:schemeClr w14:val="tx1"/>
            </w14:solidFill>
          </w14:textFill>
        </w:rPr>
        <w:t>我行</w:t>
      </w:r>
      <w:r>
        <w:rPr>
          <w:rFonts w:hint="eastAsia" w:ascii="彩虹粗仿宋" w:hAnsi="宋体" w:eastAsia="彩虹粗仿宋" w:cs="宋体"/>
          <w:color w:val="000000" w:themeColor="text1"/>
          <w:sz w:val="28"/>
          <w:szCs w:val="28"/>
          <w14:textFill>
            <w14:solidFill>
              <w14:schemeClr w14:val="tx1"/>
            </w14:solidFill>
          </w14:textFill>
        </w:rPr>
        <w:t>提供</w:t>
      </w:r>
      <w:r>
        <w:rPr>
          <w:rFonts w:hint="eastAsia" w:ascii="彩虹粗仿宋" w:eastAsia="彩虹粗仿宋"/>
          <w:color w:val="000000" w:themeColor="text1"/>
          <w:sz w:val="28"/>
          <w:szCs w:val="28"/>
          <w14:textFill>
            <w14:solidFill>
              <w14:schemeClr w14:val="tx1"/>
            </w14:solidFill>
          </w14:textFill>
        </w:rPr>
        <w:t>自用机器设备、食堂器具、服务场地及服务需用到的水、电、气及餐饮制作原材料，供应商承担与后勤服务相关的其他一切费用，</w:t>
      </w: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包含以下内容：</w:t>
      </w:r>
    </w:p>
    <w:p>
      <w:pPr>
        <w:tabs>
          <w:tab w:val="left" w:pos="1701"/>
        </w:tabs>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1）服务人员的工资、福利、保险、加班费、体检费、通讯费、交通费、伙食费、服装费，其他行政费用、税金、管理费等。</w:t>
      </w:r>
    </w:p>
    <w:p>
      <w:pPr>
        <w:tabs>
          <w:tab w:val="left" w:pos="1701"/>
        </w:tabs>
        <w:adjustRightInd w:val="0"/>
        <w:snapToGrid w:val="0"/>
        <w:spacing w:line="360" w:lineRule="auto"/>
        <w:ind w:firstLine="560" w:firstLineChars="200"/>
        <w:rPr>
          <w:rFonts w:ascii="彩虹粗仿宋" w:hAnsi="宋体" w:eastAsia="彩虹粗仿宋" w:cs="Times New Roman"/>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snapToGrid w:val="0"/>
          <w:color w:val="000000" w:themeColor="text1"/>
          <w:kern w:val="0"/>
          <w:sz w:val="28"/>
          <w:szCs w:val="28"/>
          <w14:textFill>
            <w14:solidFill>
              <w14:schemeClr w14:val="tx1"/>
            </w14:solidFill>
          </w14:textFill>
        </w:rPr>
        <w:t>2）日常维修常用工具及卫生清洁所需的所有耗材，包含但不限于以下物品：常用维修工具及检测设备，撮箕、扫把、尘推布、拖把、垃圾袋、卫生纸、抹布、洁厕灵、瓷砖清洁剂、玻璃清洁剂、去污粉、玻璃刷、清洁球、橡胶手套等。</w:t>
      </w: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p>
    <w:p>
      <w:pPr>
        <w:adjustRightInd w:val="0"/>
        <w:snapToGrid w:val="0"/>
        <w:spacing w:line="360" w:lineRule="auto"/>
        <w:ind w:firstLine="562" w:firstLineChars="200"/>
        <w:rPr>
          <w:rFonts w:ascii="彩虹粗仿宋" w:hAnsi="Times New Roman" w:eastAsia="彩虹粗仿宋" w:cs="Times New Roman"/>
          <w:b/>
          <w:color w:val="000000" w:themeColor="text1"/>
          <w:kern w:val="0"/>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（八）</w:t>
      </w:r>
      <w:r>
        <w:rPr>
          <w:rFonts w:hint="eastAsia" w:ascii="彩虹粗仿宋" w:hAnsi="Times New Roman" w:eastAsia="彩虹粗仿宋" w:cs="Times New Roman"/>
          <w:b/>
          <w:color w:val="000000" w:themeColor="text1"/>
          <w:kern w:val="0"/>
          <w:sz w:val="28"/>
          <w:szCs w:val="28"/>
          <w14:textFill>
            <w14:solidFill>
              <w14:schemeClr w14:val="tx1"/>
            </w14:solidFill>
          </w14:textFill>
        </w:rPr>
        <w:t>违约责任</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1.本合同签订后，如因供应商原因未按期或未按协议约定内容提供服务，服务人员提供不及时，影响我行正常运行的，按照300元一次进行扣款;</w:t>
      </w:r>
    </w:p>
    <w:p>
      <w:pPr>
        <w:adjustRightInd w:val="0"/>
        <w:snapToGrid w:val="0"/>
        <w:spacing w:line="360" w:lineRule="auto"/>
        <w:ind w:firstLine="548" w:firstLineChars="196"/>
        <w:jc w:val="left"/>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2.供应商违反合同的约定或者法律、法规、部门规章规定，擅自扩大收费范围、提高收费标准或者重复收费，我行有权拒付，并要求供应商按照服务费总额的</w:t>
      </w:r>
      <w:permStart w:id="0" w:edGrp="everyone"/>
      <w:r>
        <w:rPr>
          <w:rFonts w:hint="eastAsia" w:ascii="彩虹粗仿宋" w:hAnsi="Times New Roman" w:eastAsia="彩虹粗仿宋" w:cs="Times New Roman"/>
          <w:color w:val="000000" w:themeColor="text1"/>
          <w:kern w:val="0"/>
          <w:sz w:val="28"/>
          <w:szCs w:val="28"/>
          <w14:textFill>
            <w14:solidFill>
              <w14:schemeClr w14:val="tx1"/>
            </w14:solidFill>
          </w14:textFill>
        </w:rPr>
        <w:t xml:space="preserve"> 10 </w:t>
      </w:r>
      <w:permEnd w:id="0"/>
      <w:r>
        <w:rPr>
          <w:rFonts w:hint="eastAsia" w:ascii="彩虹粗仿宋" w:hAnsi="Times New Roman" w:eastAsia="彩虹粗仿宋" w:cs="Times New Roman"/>
          <w:color w:val="000000" w:themeColor="text1"/>
          <w:kern w:val="0"/>
          <w:sz w:val="28"/>
          <w:szCs w:val="28"/>
          <w14:textFill>
            <w14:solidFill>
              <w14:schemeClr w14:val="tx1"/>
            </w14:solidFill>
          </w14:textFill>
        </w:rPr>
        <w:t>%支付违约金。</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3.供应商或供应商服务人员在提供服务过程中，造成我行或其他第三人的人身、财产损害的，供应商应承担赔偿责任。</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4.供应商违反“承诺与保证”条款中任一约定的，应按服务费总额的</w:t>
      </w:r>
      <w:permStart w:id="1" w:edGrp="everyone"/>
      <w:r>
        <w:rPr>
          <w:rFonts w:hint="eastAsia" w:ascii="彩虹粗仿宋" w:hAnsi="Times New Roman" w:eastAsia="彩虹粗仿宋" w:cs="Times New Roman"/>
          <w:color w:val="000000" w:themeColor="text1"/>
          <w:kern w:val="0"/>
          <w:sz w:val="28"/>
          <w:szCs w:val="28"/>
          <w14:textFill>
            <w14:solidFill>
              <w14:schemeClr w14:val="tx1"/>
            </w14:solidFill>
          </w14:textFill>
        </w:rPr>
        <w:t xml:space="preserve"> 10</w:t>
      </w:r>
      <w:r>
        <w:rPr>
          <w:rFonts w:ascii="彩虹粗仿宋" w:hAnsi="Times New Roman" w:eastAsia="彩虹粗仿宋" w:cs="Times New Roman"/>
          <w:color w:val="000000" w:themeColor="text1"/>
          <w:kern w:val="0"/>
          <w:sz w:val="28"/>
          <w:szCs w:val="28"/>
          <w14:textFill>
            <w14:solidFill>
              <w14:schemeClr w14:val="tx1"/>
            </w14:solidFill>
          </w14:textFill>
        </w:rPr>
        <w:t xml:space="preserve"> </w:t>
      </w:r>
      <w:permEnd w:id="1"/>
      <w:r>
        <w:rPr>
          <w:rFonts w:hint="eastAsia" w:ascii="彩虹粗仿宋" w:hAnsi="Times New Roman" w:eastAsia="彩虹粗仿宋" w:cs="Times New Roman"/>
          <w:color w:val="000000" w:themeColor="text1"/>
          <w:kern w:val="0"/>
          <w:sz w:val="28"/>
          <w:szCs w:val="28"/>
          <w14:textFill>
            <w14:solidFill>
              <w14:schemeClr w14:val="tx1"/>
            </w14:solidFill>
          </w14:textFill>
        </w:rPr>
        <w:t>%向我行支付违约金, 我行因此遭受损失的，供应商还应赔偿我行全部损失,同时我行有权解除或部分解除合同。</w:t>
      </w:r>
    </w:p>
    <w:p>
      <w:pPr>
        <w:adjustRightInd w:val="0"/>
        <w:snapToGrid w:val="0"/>
        <w:spacing w:line="360" w:lineRule="auto"/>
        <w:ind w:firstLine="548" w:firstLineChars="196"/>
        <w:jc w:val="left"/>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5.如有下列情况之一的，我行有权解除合同，造成严重后果的，供应商还应承担赔偿责任：</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（1）违反保密要求和禁止事项相关条款。</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（2）连续一周不能按质、按量、按时完成后勤服务的。</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（3）供应商经营条件发生变化，无法继续提供符合标准的服务。</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（4）供应商合同履行期间发生重大事故或案件，对建设银行声誉造成严重不利影响。</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（5）泄露我行商业秘密、技术秘密和其他商业及业务信息的。</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（6）将其与我行签订合同项下的全部或部分权利义务转让或分包给第三方的。</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（7）乙方行为违反廉洁管理要求的。</w:t>
      </w:r>
    </w:p>
    <w:p>
      <w:pPr>
        <w:adjustRightInd w:val="0"/>
        <w:snapToGrid w:val="0"/>
        <w:spacing w:line="360" w:lineRule="auto"/>
        <w:ind w:firstLine="560" w:firstLineChars="200"/>
        <w:rPr>
          <w:rFonts w:ascii="彩虹粗仿宋" w:hAnsi="Times New Roman" w:eastAsia="彩虹粗仿宋" w:cs="Times New Roman"/>
          <w:color w:val="000000" w:themeColor="text1"/>
          <w:kern w:val="0"/>
          <w:sz w:val="28"/>
          <w:szCs w:val="28"/>
          <w14:textFill>
            <w14:solidFill>
              <w14:schemeClr w14:val="tx1"/>
            </w14:solidFill>
          </w14:textFill>
        </w:rPr>
      </w:pPr>
      <w:r>
        <w:rPr>
          <w:rFonts w:hint="eastAsia" w:ascii="彩虹粗仿宋" w:hAnsi="Times New Roman" w:eastAsia="彩虹粗仿宋" w:cs="Times New Roman"/>
          <w:color w:val="000000" w:themeColor="text1"/>
          <w:kern w:val="0"/>
          <w:sz w:val="28"/>
          <w:szCs w:val="28"/>
          <w14:textFill>
            <w14:solidFill>
              <w14:schemeClr w14:val="tx1"/>
            </w14:solidFill>
          </w14:textFill>
        </w:rPr>
        <w:t>（8）乙方在本合同项下的行为违反法律、行政法规、规章规定的。</w:t>
      </w: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p>
    <w:p>
      <w:pPr>
        <w:adjustRightInd w:val="0"/>
        <w:snapToGrid w:val="0"/>
        <w:spacing w:line="360" w:lineRule="auto"/>
        <w:ind w:firstLine="562" w:firstLineChars="200"/>
        <w:rPr>
          <w:rFonts w:ascii="彩虹粗仿宋" w:hAnsi="宋体" w:eastAsia="彩虹粗仿宋"/>
          <w:b/>
          <w:snapToGrid w:val="0"/>
          <w:color w:val="000000" w:themeColor="text1"/>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（九）</w:t>
      </w:r>
      <w:r>
        <w:rPr>
          <w:rFonts w:hint="eastAsia" w:ascii="彩虹粗仿宋" w:hAnsi="宋体" w:eastAsia="彩虹粗仿宋"/>
          <w:b/>
          <w:snapToGrid w:val="0"/>
          <w:color w:val="000000" w:themeColor="text1"/>
          <w:sz w:val="28"/>
          <w:szCs w:val="28"/>
          <w14:textFill>
            <w14:solidFill>
              <w14:schemeClr w14:val="tx1"/>
            </w14:solidFill>
          </w14:textFill>
        </w:rPr>
        <w:t>履约保证金</w:t>
      </w:r>
    </w:p>
    <w:p>
      <w:pPr>
        <w:adjustRightInd w:val="0"/>
        <w:snapToGrid w:val="0"/>
        <w:spacing w:line="360" w:lineRule="auto"/>
        <w:ind w:firstLine="560" w:firstLineChars="200"/>
        <w:rPr>
          <w:rFonts w:ascii="彩虹粗仿宋" w:hAnsi="宋体" w:eastAsia="彩虹粗仿宋" w:cs="宋体"/>
          <w:color w:val="000000" w:themeColor="text1"/>
          <w:kern w:val="0"/>
          <w:sz w:val="28"/>
          <w:szCs w:val="28"/>
          <w14:textFill>
            <w14:solidFill>
              <w14:schemeClr w14:val="tx1"/>
            </w14:solidFill>
          </w14:textFill>
        </w:rPr>
      </w:pPr>
      <w:r>
        <w:rPr>
          <w:rFonts w:hint="eastAsia" w:ascii="彩虹粗仿宋" w:hAnsi="宋体" w:eastAsia="彩虹粗仿宋"/>
          <w:snapToGrid w:val="0"/>
          <w:color w:val="000000" w:themeColor="text1"/>
          <w:kern w:val="0"/>
          <w:sz w:val="28"/>
          <w:szCs w:val="28"/>
          <w14:textFill>
            <w14:solidFill>
              <w14:schemeClr w14:val="tx1"/>
            </w14:solidFill>
          </w14:textFill>
        </w:rPr>
        <w:t>1.入选供应商应在收到入选通知三个工作日内向我行缴存履约保证金壹拾万元整。履约保证金用于担保入选供应商在本协议项下的全部债务，包括但不限于供应商应向我行支付的违约金、赔偿金及其他款项而发生的费用。对于供应商应向我行支付的违约金、赔偿金等款项，我行可直接扣减应付服务费用或从供应商支付的履约保证金中直接扣收相应款项。保证金被扣收后，供应商应限期在5个工作日内补齐差额。</w:t>
      </w:r>
    </w:p>
    <w:p>
      <w:pPr>
        <w:adjustRightInd w:val="0"/>
        <w:snapToGrid w:val="0"/>
        <w:spacing w:line="360" w:lineRule="auto"/>
        <w:ind w:firstLine="560"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r>
        <w:rPr>
          <w:rFonts w:hint="eastAsia" w:ascii="彩虹粗仿宋" w:hAnsi="宋体" w:eastAsia="彩虹粗仿宋"/>
          <w:snapToGrid w:val="0"/>
          <w:color w:val="000000" w:themeColor="text1"/>
          <w:kern w:val="0"/>
          <w:sz w:val="28"/>
          <w:szCs w:val="28"/>
          <w14:textFill>
            <w14:solidFill>
              <w14:schemeClr w14:val="tx1"/>
            </w14:solidFill>
          </w14:textFill>
        </w:rPr>
        <w:t>2.履约保证金在合同期满且供应商无违约行为下，最后一笔订单服务验收合格付款后无息退还入选供应商。</w:t>
      </w: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p>
    <w:p>
      <w:pPr>
        <w:adjustRightInd w:val="0"/>
        <w:snapToGrid w:val="0"/>
        <w:spacing w:line="360" w:lineRule="auto"/>
        <w:ind w:firstLine="562" w:firstLineChars="200"/>
        <w:rPr>
          <w:rFonts w:ascii="彩虹粗仿宋" w:hAnsi="宋体" w:eastAsia="彩虹粗仿宋" w:cs="Times New Roman"/>
          <w:b/>
          <w:snapToGrid w:val="0"/>
          <w:color w:val="000000" w:themeColor="text1"/>
          <w:kern w:val="0"/>
          <w:sz w:val="28"/>
          <w:szCs w:val="28"/>
          <w14:textFill>
            <w14:solidFill>
              <w14:schemeClr w14:val="tx1"/>
            </w14:solidFill>
          </w14:textFill>
        </w:rPr>
      </w:pPr>
      <w:r>
        <w:rPr>
          <w:rFonts w:hint="eastAsia" w:ascii="彩虹粗仿宋" w:hAnsi="宋体" w:eastAsia="彩虹粗仿宋" w:cs="Times New Roman"/>
          <w:b/>
          <w:snapToGrid w:val="0"/>
          <w:color w:val="000000" w:themeColor="text1"/>
          <w:kern w:val="0"/>
          <w:sz w:val="28"/>
          <w:szCs w:val="28"/>
          <w14:textFill>
            <w14:solidFill>
              <w14:schemeClr w14:val="tx1"/>
            </w14:solidFill>
          </w14:textFill>
        </w:rPr>
        <w:t>（十）其他要求</w:t>
      </w:r>
    </w:p>
    <w:p>
      <w:pPr>
        <w:adjustRightInd w:val="0"/>
        <w:snapToGrid w:val="0"/>
        <w:spacing w:line="360" w:lineRule="auto"/>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1.廉洁条款：供应商确认并承诺，在本合同洽谈、履行、验收、结算、售后等全过程中，供应商（含其他工作人员及具有利益关系的第三方）不得以任何形式直接或间接对我行工作人员或者他们的近亲属以及指定的其他人员进行商业贿赂，严禁配合套取费用、提供合同约定外的商品、虚假供货、违规换货等。否则，一经查实，我行有权解除合同并要求供应商退还已支付的全部款项/扣除供应商全部履约保证金，必要时移交司法机关处理。</w:t>
      </w:r>
    </w:p>
    <w:p>
      <w:pPr>
        <w:adjustRightInd w:val="0"/>
        <w:snapToGrid w:val="0"/>
        <w:spacing w:line="360" w:lineRule="auto"/>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2.供应商应定期报送人员情况表，人员如有变动，应及时报送我行相关管理部门；我行有权对供应商的劳动合同签订和人员配备情况进行检查。</w:t>
      </w:r>
    </w:p>
    <w:p>
      <w:pPr>
        <w:adjustRightInd w:val="0"/>
        <w:snapToGrid w:val="0"/>
        <w:spacing w:line="360" w:lineRule="auto"/>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3.供应商应定期向我行相关管理部门报送所有后勤服务人员的健康情况报告。供应商应无条件接受我行更换服务人员的要求。</w:t>
      </w:r>
    </w:p>
    <w:p>
      <w:pPr>
        <w:adjustRightInd w:val="0"/>
        <w:snapToGrid w:val="0"/>
        <w:spacing w:line="360" w:lineRule="auto"/>
        <w:ind w:firstLine="560" w:firstLineChars="200"/>
        <w:rPr>
          <w:rFonts w:hint="eastAsia" w:ascii="彩虹粗仿宋" w:hAnsi="宋体" w:eastAsia="彩虹粗仿宋"/>
          <w:snapToGrid w:val="0"/>
          <w:kern w:val="0"/>
          <w:sz w:val="28"/>
          <w:szCs w:val="28"/>
        </w:rPr>
      </w:pPr>
      <w:r>
        <w:rPr>
          <w:rFonts w:hint="eastAsia" w:ascii="彩虹粗仿宋" w:hAnsi="宋体" w:eastAsia="彩虹粗仿宋"/>
          <w:snapToGrid w:val="0"/>
          <w:kern w:val="0"/>
          <w:sz w:val="28"/>
          <w:szCs w:val="28"/>
        </w:rPr>
        <w:t>4.自服务期终止日至服务交接工作按我行要求完成之日止，供应商应按我行要求履行服务交接等过渡期义务，以保证我行相关经营、后勤管理服务平稳过渡。</w:t>
      </w:r>
    </w:p>
    <w:p>
      <w:pPr>
        <w:adjustRightInd w:val="0"/>
        <w:snapToGrid w:val="0"/>
        <w:spacing w:line="360" w:lineRule="auto"/>
        <w:ind w:firstLine="560" w:firstLineChars="200"/>
        <w:rPr>
          <w:rFonts w:ascii="彩虹粗仿宋" w:hAnsi="宋体" w:eastAsia="彩虹粗仿宋"/>
          <w:snapToGrid w:val="0"/>
          <w:kern w:val="0"/>
          <w:sz w:val="28"/>
          <w:szCs w:val="28"/>
        </w:rPr>
      </w:pPr>
      <w:r>
        <w:rPr>
          <w:rFonts w:hint="eastAsia" w:ascii="彩虹粗仿宋" w:hAnsi="宋体" w:eastAsia="彩虹粗仿宋"/>
          <w:snapToGrid w:val="0"/>
          <w:kern w:val="0"/>
          <w:sz w:val="28"/>
          <w:szCs w:val="28"/>
        </w:rPr>
        <w:t>5.双方约定的服务期限内，我行因政策或环境变化因素、业务需求变化等原因有权变更或提前解除服务合同，但应提前1个月通知供应商，合同解除后，我行将根据供应商已完成的工作量支付相应费用。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7989930"/>
    </w:sdtPr>
    <w:sdtContent>
      <w:p>
        <w:pPr>
          <w:pStyle w:val="4"/>
          <w:jc w:val="center"/>
        </w:pPr>
        <w:r>
          <w:fldChar w:fldCharType="begin"/>
        </w:r>
        <w:r>
          <w:instrText xml:space="preserve">PAGE   \* MERGEFORMAT</w:instrText>
        </w:r>
        <w:r>
          <w:fldChar w:fldCharType="separate"/>
        </w:r>
        <w:r>
          <w:rPr>
            <w:lang w:val="zh-CN"/>
          </w:rPr>
          <w:t>16</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001847"/>
    <w:rsid w:val="00022326"/>
    <w:rsid w:val="0003689B"/>
    <w:rsid w:val="00046364"/>
    <w:rsid w:val="0007144F"/>
    <w:rsid w:val="000737B8"/>
    <w:rsid w:val="000774BD"/>
    <w:rsid w:val="000879A6"/>
    <w:rsid w:val="000A39BA"/>
    <w:rsid w:val="000A7E43"/>
    <w:rsid w:val="000B0AFB"/>
    <w:rsid w:val="00121AD0"/>
    <w:rsid w:val="001658E6"/>
    <w:rsid w:val="001A64BE"/>
    <w:rsid w:val="001B5701"/>
    <w:rsid w:val="001C0E23"/>
    <w:rsid w:val="001F297F"/>
    <w:rsid w:val="00263B52"/>
    <w:rsid w:val="002665DF"/>
    <w:rsid w:val="002802DA"/>
    <w:rsid w:val="002970B0"/>
    <w:rsid w:val="002A22EE"/>
    <w:rsid w:val="002D7D15"/>
    <w:rsid w:val="002F0BE2"/>
    <w:rsid w:val="002F44BA"/>
    <w:rsid w:val="002F61B2"/>
    <w:rsid w:val="00315901"/>
    <w:rsid w:val="00330BD5"/>
    <w:rsid w:val="00356FC2"/>
    <w:rsid w:val="00371EE5"/>
    <w:rsid w:val="00380AC4"/>
    <w:rsid w:val="00384430"/>
    <w:rsid w:val="00393F86"/>
    <w:rsid w:val="003B6CDA"/>
    <w:rsid w:val="003D451B"/>
    <w:rsid w:val="003D53C2"/>
    <w:rsid w:val="003D639F"/>
    <w:rsid w:val="003E17A5"/>
    <w:rsid w:val="003F216B"/>
    <w:rsid w:val="00406214"/>
    <w:rsid w:val="004318BD"/>
    <w:rsid w:val="00451429"/>
    <w:rsid w:val="00463409"/>
    <w:rsid w:val="00481236"/>
    <w:rsid w:val="00490906"/>
    <w:rsid w:val="004A4D2C"/>
    <w:rsid w:val="004E0156"/>
    <w:rsid w:val="004E1729"/>
    <w:rsid w:val="004E2725"/>
    <w:rsid w:val="004F4DDD"/>
    <w:rsid w:val="004F7F9E"/>
    <w:rsid w:val="0050281F"/>
    <w:rsid w:val="0050456A"/>
    <w:rsid w:val="00514E57"/>
    <w:rsid w:val="005379FF"/>
    <w:rsid w:val="00567D6B"/>
    <w:rsid w:val="00587E2D"/>
    <w:rsid w:val="00591211"/>
    <w:rsid w:val="005932BD"/>
    <w:rsid w:val="005D4073"/>
    <w:rsid w:val="005D5C85"/>
    <w:rsid w:val="005E0295"/>
    <w:rsid w:val="005F12EC"/>
    <w:rsid w:val="005F18BF"/>
    <w:rsid w:val="00613A48"/>
    <w:rsid w:val="006615BB"/>
    <w:rsid w:val="006752DD"/>
    <w:rsid w:val="00693D7B"/>
    <w:rsid w:val="006B427C"/>
    <w:rsid w:val="006B4999"/>
    <w:rsid w:val="006B6705"/>
    <w:rsid w:val="006D5558"/>
    <w:rsid w:val="006F0474"/>
    <w:rsid w:val="006F2455"/>
    <w:rsid w:val="00714EC3"/>
    <w:rsid w:val="00721B4B"/>
    <w:rsid w:val="00745D7F"/>
    <w:rsid w:val="007468FE"/>
    <w:rsid w:val="00747E06"/>
    <w:rsid w:val="00757148"/>
    <w:rsid w:val="00784435"/>
    <w:rsid w:val="0079258F"/>
    <w:rsid w:val="00795C64"/>
    <w:rsid w:val="007A30D2"/>
    <w:rsid w:val="007A3D50"/>
    <w:rsid w:val="007B2AEC"/>
    <w:rsid w:val="007B7FDE"/>
    <w:rsid w:val="007F77AA"/>
    <w:rsid w:val="008143CC"/>
    <w:rsid w:val="008179D4"/>
    <w:rsid w:val="008337DF"/>
    <w:rsid w:val="008433BC"/>
    <w:rsid w:val="00891CCD"/>
    <w:rsid w:val="008C3DC1"/>
    <w:rsid w:val="008D2D36"/>
    <w:rsid w:val="008D491D"/>
    <w:rsid w:val="00916027"/>
    <w:rsid w:val="0094734B"/>
    <w:rsid w:val="0098217F"/>
    <w:rsid w:val="00987030"/>
    <w:rsid w:val="00987E3F"/>
    <w:rsid w:val="009A4CEE"/>
    <w:rsid w:val="009E5AF3"/>
    <w:rsid w:val="009F2F17"/>
    <w:rsid w:val="009F6747"/>
    <w:rsid w:val="00A20BA1"/>
    <w:rsid w:val="00A2494A"/>
    <w:rsid w:val="00A31BA7"/>
    <w:rsid w:val="00A41D60"/>
    <w:rsid w:val="00A429F8"/>
    <w:rsid w:val="00A54528"/>
    <w:rsid w:val="00A60BE9"/>
    <w:rsid w:val="00A61365"/>
    <w:rsid w:val="00A85110"/>
    <w:rsid w:val="00A940F3"/>
    <w:rsid w:val="00AC5EB2"/>
    <w:rsid w:val="00AC6024"/>
    <w:rsid w:val="00AC7714"/>
    <w:rsid w:val="00AD5915"/>
    <w:rsid w:val="00B20767"/>
    <w:rsid w:val="00B3589A"/>
    <w:rsid w:val="00B60045"/>
    <w:rsid w:val="00B65241"/>
    <w:rsid w:val="00B90E60"/>
    <w:rsid w:val="00B949E4"/>
    <w:rsid w:val="00BC785F"/>
    <w:rsid w:val="00BD1280"/>
    <w:rsid w:val="00C128BD"/>
    <w:rsid w:val="00C32A24"/>
    <w:rsid w:val="00C332A7"/>
    <w:rsid w:val="00C57C11"/>
    <w:rsid w:val="00CA0F3C"/>
    <w:rsid w:val="00CA7C4B"/>
    <w:rsid w:val="00CB2648"/>
    <w:rsid w:val="00CD3776"/>
    <w:rsid w:val="00CE456B"/>
    <w:rsid w:val="00CF0E37"/>
    <w:rsid w:val="00CF4C98"/>
    <w:rsid w:val="00D163F9"/>
    <w:rsid w:val="00D371EB"/>
    <w:rsid w:val="00D556D7"/>
    <w:rsid w:val="00D66EEF"/>
    <w:rsid w:val="00D759E2"/>
    <w:rsid w:val="00D82982"/>
    <w:rsid w:val="00D94007"/>
    <w:rsid w:val="00DA7043"/>
    <w:rsid w:val="00DD3A8C"/>
    <w:rsid w:val="00DE3727"/>
    <w:rsid w:val="00DE4E83"/>
    <w:rsid w:val="00DF6BFA"/>
    <w:rsid w:val="00E1519D"/>
    <w:rsid w:val="00E21123"/>
    <w:rsid w:val="00E239D0"/>
    <w:rsid w:val="00E24CA5"/>
    <w:rsid w:val="00E27648"/>
    <w:rsid w:val="00E378DE"/>
    <w:rsid w:val="00E37CC1"/>
    <w:rsid w:val="00E41515"/>
    <w:rsid w:val="00E456AF"/>
    <w:rsid w:val="00E54C17"/>
    <w:rsid w:val="00E71437"/>
    <w:rsid w:val="00EA3044"/>
    <w:rsid w:val="00EA3D1D"/>
    <w:rsid w:val="00EA5C95"/>
    <w:rsid w:val="00EB5DDF"/>
    <w:rsid w:val="00ED54C8"/>
    <w:rsid w:val="00ED6ED5"/>
    <w:rsid w:val="00ED71FC"/>
    <w:rsid w:val="00EF0DB7"/>
    <w:rsid w:val="00EF1A20"/>
    <w:rsid w:val="00F120DB"/>
    <w:rsid w:val="00F20D57"/>
    <w:rsid w:val="00F35516"/>
    <w:rsid w:val="00F47F46"/>
    <w:rsid w:val="00F5383A"/>
    <w:rsid w:val="00F576E3"/>
    <w:rsid w:val="00F76D96"/>
    <w:rsid w:val="00F8029D"/>
    <w:rsid w:val="00F85454"/>
    <w:rsid w:val="00F86148"/>
    <w:rsid w:val="00FD2453"/>
    <w:rsid w:val="00FD5947"/>
    <w:rsid w:val="00FE56CA"/>
    <w:rsid w:val="00FF3750"/>
    <w:rsid w:val="00FF7504"/>
    <w:rsid w:val="025929C3"/>
    <w:rsid w:val="4B3E28A0"/>
    <w:rsid w:val="4FA366B4"/>
    <w:rsid w:val="56F86A5E"/>
    <w:rsid w:val="5AB26D7B"/>
    <w:rsid w:val="5C372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semiHidden/>
    <w:unhideWhenUsed/>
    <w:uiPriority w:val="99"/>
    <w:pPr>
      <w:jc w:val="left"/>
    </w:pPr>
  </w:style>
  <w:style w:type="paragraph" w:styleId="3">
    <w:name w:val="Balloon Text"/>
    <w:basedOn w:val="1"/>
    <w:link w:val="15"/>
    <w:semiHidden/>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semiHidden/>
    <w:unhideWhenUsed/>
    <w:uiPriority w:val="99"/>
    <w:rPr>
      <w:b/>
      <w:bCs/>
    </w:rPr>
  </w:style>
  <w:style w:type="character" w:styleId="9">
    <w:name w:val="annotation reference"/>
    <w:basedOn w:val="8"/>
    <w:semiHidden/>
    <w:unhideWhenUsed/>
    <w:uiPriority w:val="99"/>
    <w:rPr>
      <w:sz w:val="21"/>
      <w:szCs w:val="21"/>
    </w:rPr>
  </w:style>
  <w:style w:type="character" w:customStyle="1" w:styleId="10">
    <w:name w:val="页眉 Char"/>
    <w:basedOn w:val="8"/>
    <w:link w:val="5"/>
    <w:uiPriority w:val="99"/>
    <w:rPr>
      <w:sz w:val="18"/>
      <w:szCs w:val="18"/>
    </w:rPr>
  </w:style>
  <w:style w:type="character" w:customStyle="1" w:styleId="11">
    <w:name w:val="页脚 Char"/>
    <w:basedOn w:val="8"/>
    <w:link w:val="4"/>
    <w:uiPriority w:val="99"/>
    <w:rPr>
      <w:sz w:val="18"/>
      <w:szCs w:val="18"/>
    </w:rPr>
  </w:style>
  <w:style w:type="character" w:customStyle="1" w:styleId="12">
    <w:name w:val="im-content1"/>
    <w:basedOn w:val="8"/>
    <w:uiPriority w:val="0"/>
    <w:rPr>
      <w:color w:val="333333"/>
    </w:rPr>
  </w:style>
  <w:style w:type="character" w:customStyle="1" w:styleId="13">
    <w:name w:val="批注文字 Char"/>
    <w:basedOn w:val="8"/>
    <w:link w:val="2"/>
    <w:semiHidden/>
    <w:uiPriority w:val="99"/>
  </w:style>
  <w:style w:type="character" w:customStyle="1" w:styleId="14">
    <w:name w:val="批注主题 Char"/>
    <w:basedOn w:val="13"/>
    <w:link w:val="6"/>
    <w:semiHidden/>
    <w:qFormat/>
    <w:uiPriority w:val="99"/>
    <w:rPr>
      <w:b/>
      <w:bCs/>
    </w:rPr>
  </w:style>
  <w:style w:type="character" w:customStyle="1" w:styleId="15">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17</Pages>
  <Words>1486</Words>
  <Characters>8476</Characters>
  <Lines>70</Lines>
  <Paragraphs>19</Paragraphs>
  <TotalTime>0</TotalTime>
  <ScaleCrop>false</ScaleCrop>
  <LinksUpToDate>false</LinksUpToDate>
  <CharactersWithSpaces>9943</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2025-12-29T03:02:00Z</dcterms:created>
  <dc:creator>Apache POI</dc:creator>
  <cp:lastModifiedBy>潘文静</cp:lastModifiedBy>
  <dcterms:modified xsi:type="dcterms:W3CDTF">2025-12-29T03:24:42Z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6C7A10605B30411C8461827D7F2F8667_12</vt:lpwstr>
  </property>
</Properties>
</file>