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60" w:lineRule="exact"/>
        <w:jc w:val="center"/>
        <w:rPr>
          <w:rFonts w:ascii="彩虹小标宋" w:hAnsi="宋体" w:eastAsia="彩虹小标宋" w:cs="Times New Roman"/>
          <w:bCs/>
          <w:snapToGrid w:val="0"/>
          <w:kern w:val="0"/>
          <w:sz w:val="36"/>
          <w:szCs w:val="36"/>
        </w:rPr>
      </w:pPr>
      <w:bookmarkStart w:id="1" w:name="_GoBack"/>
      <w:bookmarkEnd w:id="1"/>
      <w:bookmarkStart w:id="0" w:name="PO_PURCHASE_REQUISITION_NAME"/>
      <w:r>
        <w:rPr>
          <w:rFonts w:hint="eastAsia" w:ascii="彩虹小标宋" w:hAnsi="宋体" w:eastAsia="彩虹小标宋" w:cs="Times New Roman"/>
          <w:bCs/>
          <w:snapToGrid w:val="0"/>
          <w:kern w:val="0"/>
          <w:sz w:val="36"/>
          <w:szCs w:val="36"/>
        </w:rPr>
        <w:t>郑州直属支行关于渠东路支行营业用房续租的采购申请</w:t>
      </w:r>
      <w:bookmarkEnd w:id="0"/>
      <w:r>
        <w:rPr>
          <w:rFonts w:hint="eastAsia" w:ascii="彩虹小标宋" w:hAnsi="宋体" w:eastAsia="彩虹小标宋" w:cs="Times New Roman"/>
          <w:bCs/>
          <w:snapToGrid w:val="0"/>
          <w:kern w:val="0"/>
          <w:sz w:val="36"/>
          <w:szCs w:val="36"/>
        </w:rPr>
        <w:t>的采购需求</w:t>
      </w:r>
    </w:p>
    <w:p>
      <w:pPr>
        <w:numPr>
          <w:ilvl w:val="0"/>
          <w:numId w:val="1"/>
        </w:num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对候选供应商的要求</w:t>
      </w:r>
    </w:p>
    <w:p>
      <w:pPr>
        <w:numPr>
          <w:ilvl w:val="0"/>
          <w:numId w:val="2"/>
        </w:numPr>
        <w:spacing w:line="520" w:lineRule="exact"/>
        <w:ind w:left="420" w:leftChars="200"/>
        <w:rPr>
          <w:rFonts w:ascii="彩虹粗仿宋" w:eastAsia="彩虹粗仿宋"/>
          <w:sz w:val="32"/>
          <w:szCs w:val="32"/>
        </w:rPr>
      </w:pPr>
      <w:r>
        <w:rPr>
          <w:rFonts w:hint="eastAsia" w:ascii="彩虹粗仿宋" w:eastAsia="彩虹粗仿宋"/>
          <w:sz w:val="32"/>
          <w:szCs w:val="32"/>
        </w:rPr>
        <w:t>具备订立并履行合同的民事行为能力，并能够独立承担民事责任。</w:t>
      </w:r>
    </w:p>
    <w:p>
      <w:pPr>
        <w:numPr>
          <w:ilvl w:val="0"/>
          <w:numId w:val="2"/>
        </w:numPr>
        <w:spacing w:line="520" w:lineRule="exact"/>
        <w:ind w:left="420" w:leftChars="200"/>
        <w:rPr>
          <w:rFonts w:ascii="彩虹粗仿宋" w:eastAsia="彩虹粗仿宋"/>
          <w:sz w:val="32"/>
          <w:szCs w:val="32"/>
        </w:rPr>
      </w:pPr>
      <w:r>
        <w:rPr>
          <w:rFonts w:hint="eastAsia" w:ascii="彩虹粗仿宋" w:eastAsia="彩虹粗仿宋"/>
          <w:sz w:val="32"/>
          <w:szCs w:val="32"/>
        </w:rPr>
        <w:t>租赁产权清晰，没有任何查封、抵押。</w:t>
      </w:r>
    </w:p>
    <w:p>
      <w:pPr>
        <w:numPr>
          <w:ilvl w:val="0"/>
          <w:numId w:val="2"/>
        </w:numPr>
        <w:spacing w:line="520" w:lineRule="exact"/>
        <w:ind w:left="420" w:leftChars="200"/>
        <w:rPr>
          <w:rFonts w:ascii="彩虹粗仿宋" w:eastAsia="彩虹粗仿宋"/>
          <w:sz w:val="32"/>
          <w:szCs w:val="32"/>
        </w:rPr>
      </w:pPr>
      <w:r>
        <w:rPr>
          <w:rFonts w:hint="eastAsia" w:ascii="彩虹粗仿宋" w:eastAsia="彩虹粗仿宋"/>
          <w:sz w:val="32"/>
          <w:szCs w:val="32"/>
        </w:rPr>
        <w:t>具有对外租赁房屋的权利。</w:t>
      </w:r>
    </w:p>
    <w:p>
      <w:pPr>
        <w:numPr>
          <w:ilvl w:val="0"/>
          <w:numId w:val="2"/>
        </w:numPr>
        <w:spacing w:line="520" w:lineRule="exact"/>
        <w:ind w:left="420" w:leftChars="200"/>
        <w:rPr>
          <w:rFonts w:ascii="彩虹粗仿宋" w:eastAsia="彩虹粗仿宋"/>
          <w:sz w:val="32"/>
          <w:szCs w:val="32"/>
        </w:rPr>
      </w:pPr>
      <w:r>
        <w:rPr>
          <w:rFonts w:hint="eastAsia" w:ascii="彩虹粗仿宋" w:eastAsia="彩虹粗仿宋"/>
          <w:sz w:val="32"/>
          <w:szCs w:val="32"/>
        </w:rPr>
        <w:t>供应商非我行员工、与我行分支机构及员工无关系。</w:t>
      </w:r>
    </w:p>
    <w:p>
      <w:pPr>
        <w:numPr>
          <w:ilvl w:val="0"/>
          <w:numId w:val="1"/>
        </w:numPr>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拟租赁房屋基本情况</w:t>
      </w:r>
    </w:p>
    <w:p>
      <w:pPr>
        <w:spacing w:line="600" w:lineRule="exact"/>
        <w:ind w:firstLine="640" w:firstLineChars="200"/>
        <w:rPr>
          <w:rFonts w:ascii="彩虹粗仿宋" w:hAnsi="彩虹粗仿宋" w:eastAsia="彩虹粗仿宋" w:cs="彩虹粗仿宋"/>
          <w:sz w:val="32"/>
          <w:szCs w:val="32"/>
        </w:rPr>
      </w:pPr>
      <w:r>
        <w:rPr>
          <w:rFonts w:hint="eastAsia" w:ascii="彩虹粗仿宋" w:hAnsi="彩虹粗仿宋" w:eastAsia="彩虹粗仿宋" w:cs="彩虹粗仿宋"/>
          <w:sz w:val="32"/>
          <w:szCs w:val="32"/>
        </w:rPr>
        <w:t>拟租赁房产位于郑州市渠东路与三全路交叉口东南角东岸尚景小区1层门面房，建筑面积691平方米。本次拟续租1年，自2024年5月24日至2025年5月23日，年租金128万元（每平方米约5.08元/天,含税），总租金</w:t>
      </w:r>
      <w:r>
        <w:rPr>
          <w:rFonts w:hint="eastAsia" w:ascii="彩虹粗仿宋" w:hAnsi="宋体" w:eastAsia="彩虹粗仿宋"/>
          <w:color w:val="000000"/>
          <w:sz w:val="32"/>
          <w:szCs w:val="32"/>
        </w:rPr>
        <w:t>128万</w:t>
      </w:r>
      <w:r>
        <w:rPr>
          <w:rFonts w:hint="eastAsia" w:ascii="彩虹粗仿宋" w:hAnsi="彩虹粗仿宋" w:eastAsia="彩虹粗仿宋" w:cs="彩虹粗仿宋"/>
          <w:sz w:val="32"/>
          <w:szCs w:val="32"/>
        </w:rPr>
        <w:t>元。</w:t>
      </w:r>
    </w:p>
    <w:p>
      <w:pPr>
        <w:adjustRightInd w:val="0"/>
        <w:snapToGrid w:val="0"/>
        <w:spacing w:line="560" w:lineRule="exact"/>
        <w:ind w:firstLine="640" w:firstLineChars="200"/>
        <w:rPr>
          <w:rFonts w:ascii="彩虹粗仿宋" w:eastAsia="彩虹粗仿宋"/>
          <w:kern w:val="0"/>
          <w:sz w:val="30"/>
          <w:szCs w:val="30"/>
        </w:rPr>
      </w:pPr>
      <w:r>
        <w:rPr>
          <w:rFonts w:hint="eastAsia" w:ascii="彩虹粗仿宋" w:hAnsi="宋体" w:eastAsia="彩虹粗仿宋"/>
          <w:color w:val="000000"/>
          <w:sz w:val="32"/>
          <w:szCs w:val="32"/>
        </w:rPr>
        <w:t>出租方为郑州宝之成企业管理咨询有限公司，注册资本3万元,法人为张润清</w:t>
      </w:r>
      <w:r>
        <w:rPr>
          <w:rFonts w:hint="eastAsia" w:ascii="彩虹粗仿宋" w:eastAsia="彩虹粗仿宋"/>
          <w:kern w:val="0"/>
          <w:sz w:val="30"/>
          <w:szCs w:val="30"/>
        </w:rPr>
        <w:t>，非我行员工，未发现出租方与我行员工存在亲属或财务往来关系。供应商财务状态正常。</w:t>
      </w:r>
    </w:p>
    <w:p>
      <w:pPr>
        <w:adjustRightInd w:val="0"/>
        <w:snapToGrid w:val="0"/>
        <w:spacing w:line="560" w:lineRule="exact"/>
        <w:ind w:firstLine="640" w:firstLineChars="200"/>
        <w:rPr>
          <w:rFonts w:ascii="彩虹粗仿宋" w:hAnsi="彩虹粗仿宋" w:eastAsia="彩虹粗仿宋" w:cs="彩虹粗仿宋"/>
          <w:sz w:val="32"/>
          <w:szCs w:val="32"/>
        </w:rPr>
      </w:pPr>
      <w:r>
        <w:rPr>
          <w:rFonts w:hint="eastAsia" w:ascii="彩虹粗仿宋" w:hAnsi="宋体" w:eastAsia="彩虹粗仿宋"/>
          <w:color w:val="000000"/>
          <w:sz w:val="32"/>
          <w:szCs w:val="32"/>
        </w:rPr>
        <w:t>房屋为转租，房屋产权属</w:t>
      </w:r>
      <w:r>
        <w:rPr>
          <w:rFonts w:hint="eastAsia" w:ascii="彩虹粗仿宋" w:hAnsi="彩虹粗仿宋" w:eastAsia="彩虹粗仿宋" w:cs="彩虹粗仿宋"/>
          <w:sz w:val="32"/>
          <w:szCs w:val="32"/>
        </w:rPr>
        <w:t>郑州市张家村第一村民组，张家村第一村民组</w:t>
      </w:r>
      <w:r>
        <w:rPr>
          <w:rFonts w:hint="eastAsia" w:ascii="彩虹粗仿宋" w:hAnsi="宋体" w:eastAsia="彩虹粗仿宋"/>
          <w:sz w:val="32"/>
          <w:szCs w:val="32"/>
        </w:rPr>
        <w:t>对所出租房产具有完整产权并同意转租，产权无纠纷及抵押。</w:t>
      </w:r>
      <w:r>
        <w:rPr>
          <w:rFonts w:hint="eastAsia" w:ascii="彩虹粗仿宋" w:hAnsi="彩虹粗仿宋" w:eastAsia="彩虹粗仿宋" w:cs="彩虹粗仿宋"/>
          <w:sz w:val="32"/>
          <w:szCs w:val="32"/>
        </w:rPr>
        <w:t>2012年6月29日，张家村第一村民组与郑州宝之成企业管理咨询有限公司签订房产租赁合同，将包含网点营业用房在内的共4600平方米商业用房统一租赁予郑州宝之成企业管理咨询有限公司（租赁期2012年11月1日至2032年10月31日）。</w:t>
      </w:r>
    </w:p>
    <w:p>
      <w:pPr>
        <w:spacing w:line="600" w:lineRule="exact"/>
        <w:ind w:firstLine="640" w:firstLineChars="200"/>
        <w:rPr>
          <w:rFonts w:ascii="彩虹粗仿宋" w:hAnsi="彩虹粗仿宋" w:eastAsia="彩虹粗仿宋" w:cs="彩虹粗仿宋"/>
          <w:sz w:val="32"/>
          <w:szCs w:val="32"/>
        </w:rPr>
      </w:pPr>
      <w:r>
        <w:rPr>
          <w:rFonts w:hint="eastAsia" w:ascii="彩虹粗仿宋" w:hAnsi="宋体" w:eastAsia="彩虹粗仿宋"/>
          <w:sz w:val="32"/>
          <w:szCs w:val="32"/>
        </w:rPr>
        <w:t>因房屋房产证处于协商办理中</w:t>
      </w:r>
      <w:r>
        <w:rPr>
          <w:rFonts w:hint="eastAsia" w:ascii="彩虹粗仿宋" w:hAnsi="彩虹粗仿宋" w:eastAsia="彩虹粗仿宋" w:cs="彩虹粗仿宋"/>
          <w:sz w:val="32"/>
          <w:szCs w:val="32"/>
        </w:rPr>
        <w:t>，无法出具房产管理部门的查询证明材料，但房屋开发商郑州顺时达房地产开发有限公</w:t>
      </w:r>
      <w:r>
        <w:rPr>
          <w:rFonts w:hint="eastAsia" w:ascii="彩虹粗仿宋" w:hAnsi="宋体" w:eastAsia="彩虹粗仿宋"/>
          <w:sz w:val="32"/>
          <w:szCs w:val="32"/>
        </w:rPr>
        <w:t>司提供有房屋产权属张家村第一村民组产权的相关证明。</w:t>
      </w:r>
      <w:r>
        <w:rPr>
          <w:rFonts w:hint="eastAsia" w:ascii="彩虹粗仿宋" w:hAnsi="彩虹粗仿宋" w:eastAsia="彩虹粗仿宋" w:cs="彩虹粗仿宋"/>
          <w:sz w:val="32"/>
          <w:szCs w:val="32"/>
        </w:rPr>
        <w:t>出租方郑州宝之成企业管理咨询有限公司提供有其与</w:t>
      </w:r>
      <w:r>
        <w:rPr>
          <w:rFonts w:hint="eastAsia" w:ascii="彩虹粗仿宋" w:hAnsi="宋体" w:eastAsia="彩虹粗仿宋"/>
          <w:sz w:val="32"/>
          <w:szCs w:val="32"/>
        </w:rPr>
        <w:t>张家村第一村民组签订的房产租赁合同，合同由郑州市金水区丰庆路街道办事处张家村村民委员会代盖印鉴，合同真实有效。</w:t>
      </w:r>
    </w:p>
    <w:p>
      <w:pPr>
        <w:adjustRightInd w:val="0"/>
        <w:snapToGrid w:val="0"/>
        <w:spacing w:line="560" w:lineRule="exact"/>
        <w:ind w:firstLine="640" w:firstLineChars="200"/>
        <w:rPr>
          <w:rFonts w:ascii="彩虹粗仿宋" w:hAnsi="宋体" w:eastAsia="彩虹粗仿宋"/>
          <w:color w:val="000000"/>
          <w:sz w:val="32"/>
          <w:szCs w:val="32"/>
        </w:rPr>
      </w:pPr>
      <w:r>
        <w:rPr>
          <w:rFonts w:hint="eastAsia" w:ascii="彩虹粗仿宋" w:hAnsi="宋体" w:eastAsia="彩虹粗仿宋"/>
          <w:color w:val="000000"/>
          <w:sz w:val="32"/>
          <w:szCs w:val="32"/>
        </w:rPr>
        <w:t>房产首次租赁时间为2013年，租期5年，面积691平方米，年租金133万；2018年第一次续租，租期3年，面积691平方米，年租金145万，较前次上涨9%；2021年第二次续租，续租2年，面积691平方米，年租金145万，较前期持平；2023年第三次续租，续租1年，面积691平方米，年租金138万，较前次下降4.83%。前期同房东沟通良好，无纠纷发生。</w:t>
      </w:r>
    </w:p>
    <w:p>
      <w:pPr>
        <w:widowControl/>
        <w:spacing w:after="156" w:afterLines="50" w:line="560" w:lineRule="exact"/>
        <w:ind w:firstLine="640" w:firstLineChars="200"/>
        <w:jc w:val="left"/>
        <w:rPr>
          <w:rFonts w:ascii="彩虹粗仿宋" w:hAnsi="彩虹粗仿宋" w:eastAsia="彩虹粗仿宋" w:cs="彩虹粗仿宋"/>
          <w:kern w:val="0"/>
          <w:sz w:val="32"/>
          <w:szCs w:val="32"/>
          <w:lang w:bidi="ar"/>
        </w:rPr>
      </w:pPr>
      <w:r>
        <w:rPr>
          <w:rFonts w:hint="eastAsia" w:ascii="彩虹粗仿宋" w:hAnsi="宋体" w:eastAsia="彩虹粗仿宋"/>
          <w:color w:val="000000"/>
          <w:sz w:val="32"/>
          <w:szCs w:val="32"/>
        </w:rPr>
        <w:t>我行调查了方圆100米内其他三家商铺租赁价格，具体询价情况如下。</w:t>
      </w:r>
    </w:p>
    <w:tbl>
      <w:tblPr>
        <w:tblStyle w:val="3"/>
        <w:tblW w:w="87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5"/>
        <w:gridCol w:w="1940"/>
        <w:gridCol w:w="1695"/>
        <w:gridCol w:w="1830"/>
        <w:gridCol w:w="18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1515" w:type="dxa"/>
            <w:vAlign w:val="center"/>
          </w:tcPr>
          <w:p>
            <w:pPr>
              <w:adjustRightInd w:val="0"/>
              <w:snapToGrid w:val="0"/>
              <w:spacing w:line="280" w:lineRule="exact"/>
              <w:jc w:val="center"/>
              <w:rPr>
                <w:rFonts w:ascii="宋体" w:hAnsi="宋体" w:eastAsia="宋体" w:cs="宋体"/>
                <w:b/>
                <w:bCs/>
                <w:sz w:val="24"/>
                <w:szCs w:val="24"/>
              </w:rPr>
            </w:pPr>
            <w:r>
              <w:rPr>
                <w:rFonts w:hint="eastAsia" w:ascii="宋体" w:hAnsi="宋体" w:eastAsia="宋体" w:cs="宋体"/>
                <w:b/>
                <w:bCs/>
                <w:sz w:val="24"/>
                <w:szCs w:val="24"/>
              </w:rPr>
              <w:t>房产名称</w:t>
            </w:r>
          </w:p>
        </w:tc>
        <w:tc>
          <w:tcPr>
            <w:tcW w:w="1940" w:type="dxa"/>
            <w:vAlign w:val="center"/>
          </w:tcPr>
          <w:p>
            <w:pPr>
              <w:adjustRightInd w:val="0"/>
              <w:snapToGrid w:val="0"/>
              <w:spacing w:line="280" w:lineRule="exact"/>
              <w:jc w:val="center"/>
              <w:rPr>
                <w:rFonts w:ascii="宋体" w:hAnsi="宋体" w:eastAsia="宋体" w:cs="宋体"/>
                <w:b/>
                <w:bCs/>
                <w:sz w:val="24"/>
                <w:szCs w:val="24"/>
              </w:rPr>
            </w:pPr>
            <w:r>
              <w:rPr>
                <w:rFonts w:hint="eastAsia" w:ascii="宋体" w:hAnsi="宋体" w:eastAsia="宋体" w:cs="宋体"/>
                <w:b/>
                <w:bCs/>
                <w:sz w:val="24"/>
                <w:szCs w:val="24"/>
              </w:rPr>
              <w:t>我行拟租赁房产</w:t>
            </w:r>
          </w:p>
        </w:tc>
        <w:tc>
          <w:tcPr>
            <w:tcW w:w="1695" w:type="dxa"/>
            <w:vAlign w:val="center"/>
          </w:tcPr>
          <w:p>
            <w:pPr>
              <w:adjustRightInd w:val="0"/>
              <w:snapToGrid w:val="0"/>
              <w:spacing w:line="280" w:lineRule="exact"/>
              <w:jc w:val="center"/>
              <w:rPr>
                <w:rFonts w:ascii="宋体" w:hAnsi="宋体" w:eastAsia="宋体" w:cs="宋体"/>
                <w:b/>
                <w:bCs/>
                <w:sz w:val="24"/>
                <w:szCs w:val="24"/>
              </w:rPr>
            </w:pPr>
            <w:r>
              <w:rPr>
                <w:rFonts w:hint="eastAsia" w:ascii="宋体" w:hAnsi="宋体" w:eastAsia="宋体" w:cs="宋体"/>
                <w:b/>
                <w:bCs/>
                <w:sz w:val="24"/>
                <w:szCs w:val="24"/>
              </w:rPr>
              <w:t>被调查房产1</w:t>
            </w:r>
          </w:p>
        </w:tc>
        <w:tc>
          <w:tcPr>
            <w:tcW w:w="1830" w:type="dxa"/>
            <w:vAlign w:val="center"/>
          </w:tcPr>
          <w:p>
            <w:pPr>
              <w:adjustRightInd w:val="0"/>
              <w:snapToGrid w:val="0"/>
              <w:spacing w:line="280" w:lineRule="exact"/>
              <w:jc w:val="center"/>
              <w:rPr>
                <w:rFonts w:ascii="宋体" w:hAnsi="宋体" w:eastAsia="宋体" w:cs="宋体"/>
                <w:b/>
                <w:bCs/>
                <w:sz w:val="24"/>
                <w:szCs w:val="24"/>
              </w:rPr>
            </w:pPr>
            <w:r>
              <w:rPr>
                <w:rFonts w:hint="eastAsia" w:ascii="宋体" w:hAnsi="宋体" w:eastAsia="宋体" w:cs="宋体"/>
                <w:b/>
                <w:bCs/>
                <w:sz w:val="24"/>
                <w:szCs w:val="24"/>
              </w:rPr>
              <w:t>被调查房产2</w:t>
            </w:r>
          </w:p>
        </w:tc>
        <w:tc>
          <w:tcPr>
            <w:tcW w:w="1814" w:type="dxa"/>
            <w:vAlign w:val="center"/>
          </w:tcPr>
          <w:p>
            <w:pPr>
              <w:adjustRightInd w:val="0"/>
              <w:snapToGrid w:val="0"/>
              <w:spacing w:line="280" w:lineRule="exact"/>
              <w:jc w:val="center"/>
              <w:rPr>
                <w:rFonts w:ascii="宋体" w:hAnsi="宋体" w:eastAsia="宋体" w:cs="宋体"/>
                <w:b/>
                <w:bCs/>
                <w:sz w:val="24"/>
                <w:szCs w:val="24"/>
              </w:rPr>
            </w:pPr>
            <w:r>
              <w:rPr>
                <w:rFonts w:hint="eastAsia" w:ascii="宋体" w:hAnsi="宋体" w:eastAsia="宋体" w:cs="宋体"/>
                <w:b/>
                <w:bCs/>
                <w:sz w:val="24"/>
                <w:szCs w:val="24"/>
              </w:rPr>
              <w:t>被调查房产3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515"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现在用途</w:t>
            </w:r>
          </w:p>
        </w:tc>
        <w:tc>
          <w:tcPr>
            <w:tcW w:w="1940"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我行使用</w:t>
            </w:r>
          </w:p>
        </w:tc>
        <w:tc>
          <w:tcPr>
            <w:tcW w:w="1695"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广义猪肚鸡</w:t>
            </w:r>
          </w:p>
        </w:tc>
        <w:tc>
          <w:tcPr>
            <w:tcW w:w="1830"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农业银行</w:t>
            </w:r>
          </w:p>
        </w:tc>
        <w:tc>
          <w:tcPr>
            <w:tcW w:w="1814"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宴渠老烩面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15"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结构</w:t>
            </w:r>
          </w:p>
        </w:tc>
        <w:tc>
          <w:tcPr>
            <w:tcW w:w="1940"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钢混</w:t>
            </w:r>
          </w:p>
        </w:tc>
        <w:tc>
          <w:tcPr>
            <w:tcW w:w="1695"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钢混</w:t>
            </w:r>
          </w:p>
        </w:tc>
        <w:tc>
          <w:tcPr>
            <w:tcW w:w="1830"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钢混</w:t>
            </w:r>
          </w:p>
        </w:tc>
        <w:tc>
          <w:tcPr>
            <w:tcW w:w="1814"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钢混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515"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面积</w:t>
            </w:r>
          </w:p>
        </w:tc>
        <w:tc>
          <w:tcPr>
            <w:tcW w:w="1940"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691平方米</w:t>
            </w:r>
          </w:p>
        </w:tc>
        <w:tc>
          <w:tcPr>
            <w:tcW w:w="1695"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280平方米</w:t>
            </w:r>
          </w:p>
        </w:tc>
        <w:tc>
          <w:tcPr>
            <w:tcW w:w="1830"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620平方米</w:t>
            </w:r>
          </w:p>
        </w:tc>
        <w:tc>
          <w:tcPr>
            <w:tcW w:w="1814"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300平方米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515"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楼层</w:t>
            </w:r>
          </w:p>
        </w:tc>
        <w:tc>
          <w:tcPr>
            <w:tcW w:w="1940"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1</w:t>
            </w:r>
          </w:p>
        </w:tc>
        <w:tc>
          <w:tcPr>
            <w:tcW w:w="1695"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1、2</w:t>
            </w:r>
          </w:p>
        </w:tc>
        <w:tc>
          <w:tcPr>
            <w:tcW w:w="1830"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1</w:t>
            </w:r>
          </w:p>
        </w:tc>
        <w:tc>
          <w:tcPr>
            <w:tcW w:w="1814"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515"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租期</w:t>
            </w:r>
          </w:p>
        </w:tc>
        <w:tc>
          <w:tcPr>
            <w:tcW w:w="1940"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1年</w:t>
            </w:r>
          </w:p>
        </w:tc>
        <w:tc>
          <w:tcPr>
            <w:tcW w:w="1695"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8年</w:t>
            </w:r>
          </w:p>
        </w:tc>
        <w:tc>
          <w:tcPr>
            <w:tcW w:w="1830"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7年</w:t>
            </w:r>
          </w:p>
        </w:tc>
        <w:tc>
          <w:tcPr>
            <w:tcW w:w="1814"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5年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515"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年租金</w:t>
            </w:r>
          </w:p>
        </w:tc>
        <w:tc>
          <w:tcPr>
            <w:tcW w:w="1940"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128万元（含税）</w:t>
            </w:r>
          </w:p>
        </w:tc>
        <w:tc>
          <w:tcPr>
            <w:tcW w:w="1695"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30万元（含税）</w:t>
            </w:r>
          </w:p>
        </w:tc>
        <w:tc>
          <w:tcPr>
            <w:tcW w:w="1830"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136万元（含税）</w:t>
            </w:r>
          </w:p>
        </w:tc>
        <w:tc>
          <w:tcPr>
            <w:tcW w:w="1814"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36万元（含税）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515"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位置关系</w:t>
            </w:r>
          </w:p>
        </w:tc>
        <w:tc>
          <w:tcPr>
            <w:tcW w:w="1940"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w:t>
            </w:r>
          </w:p>
        </w:tc>
        <w:tc>
          <w:tcPr>
            <w:tcW w:w="1695"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东侧同一裙楼</w:t>
            </w:r>
          </w:p>
        </w:tc>
        <w:tc>
          <w:tcPr>
            <w:tcW w:w="1830"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西300米路北</w:t>
            </w:r>
          </w:p>
        </w:tc>
        <w:tc>
          <w:tcPr>
            <w:tcW w:w="1814"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南侧70米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515"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距离</w:t>
            </w:r>
          </w:p>
        </w:tc>
        <w:tc>
          <w:tcPr>
            <w:tcW w:w="1940"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w:t>
            </w:r>
          </w:p>
        </w:tc>
        <w:tc>
          <w:tcPr>
            <w:tcW w:w="1695"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50米</w:t>
            </w:r>
          </w:p>
        </w:tc>
        <w:tc>
          <w:tcPr>
            <w:tcW w:w="1830"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300米</w:t>
            </w:r>
          </w:p>
        </w:tc>
        <w:tc>
          <w:tcPr>
            <w:tcW w:w="1814" w:type="dxa"/>
            <w:vAlign w:val="center"/>
          </w:tcPr>
          <w:p>
            <w:pPr>
              <w:adjustRightInd w:val="0"/>
              <w:snapToGrid w:val="0"/>
              <w:spacing w:line="280" w:lineRule="exact"/>
              <w:jc w:val="center"/>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70米</w:t>
            </w:r>
          </w:p>
        </w:tc>
      </w:tr>
    </w:tbl>
    <w:p>
      <w:pPr>
        <w:adjustRightInd w:val="0"/>
        <w:snapToGrid w:val="0"/>
        <w:spacing w:line="560" w:lineRule="exact"/>
        <w:ind w:firstLine="640" w:firstLineChars="200"/>
        <w:rPr>
          <w:rFonts w:ascii="彩虹粗仿宋" w:hAnsi="宋体" w:eastAsia="彩虹粗仿宋"/>
          <w:color w:val="000000"/>
          <w:sz w:val="32"/>
          <w:szCs w:val="32"/>
        </w:rPr>
      </w:pPr>
      <w:r>
        <w:rPr>
          <w:rFonts w:hint="eastAsia" w:ascii="彩虹粗仿宋" w:hAnsi="宋体" w:eastAsia="彩虹粗仿宋"/>
          <w:color w:val="000000"/>
          <w:sz w:val="32"/>
          <w:szCs w:val="32"/>
        </w:rPr>
        <w:t>2024年2月，经建豫郑直签〔2024〕70号《郑州直属支行关于拟续租网点营业用房及拟迁址营业用房新址潜在场所申请》签批，第三方评估结果（2024年2月27日）房屋年租金122.0085万元（每平方米147.14元/月，含税）。拟租赁价格较评估价上浮4.91%，上浮比例符合房屋续租相关要求。</w:t>
      </w: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粗仿宋" w:hAnsi="彩虹粗仿宋" w:eastAsia="彩虹粗仿宋" w:cs="彩虹粗仿宋"/>
          <w:sz w:val="32"/>
          <w:szCs w:val="32"/>
        </w:rPr>
        <w:t>周边商圈分布上，2公里范围内有</w:t>
      </w:r>
      <w:r>
        <w:rPr>
          <w:rFonts w:hint="eastAsia" w:ascii="彩虹粗仿宋" w:eastAsia="彩虹粗仿宋" w:cs="Times New Roman"/>
          <w:sz w:val="32"/>
          <w:szCs w:val="32"/>
        </w:rPr>
        <w:t>香山市集、瀚海北金、海亮时代广场</w:t>
      </w:r>
      <w:r>
        <w:rPr>
          <w:rFonts w:hint="eastAsia" w:ascii="彩虹粗仿宋" w:hAnsi="彩虹粗仿宋" w:eastAsia="彩虹粗仿宋" w:cs="彩虹粗仿宋"/>
          <w:sz w:val="32"/>
          <w:szCs w:val="32"/>
        </w:rPr>
        <w:t>。所在地郑州近3个月房价及商铺价格走势平稳。</w:t>
      </w:r>
    </w:p>
    <w:p>
      <w:pPr>
        <w:numPr>
          <w:ilvl w:val="0"/>
          <w:numId w:val="1"/>
        </w:numPr>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房屋质量要求</w:t>
      </w:r>
    </w:p>
    <w:p>
      <w:pPr>
        <w:pStyle w:val="2"/>
        <w:ind w:firstLine="660"/>
        <w:jc w:val="left"/>
        <w:rPr>
          <w:rFonts w:ascii="彩虹粗仿宋" w:eastAsia="彩虹粗仿宋"/>
          <w:b w:val="0"/>
          <w:sz w:val="32"/>
          <w:szCs w:val="32"/>
        </w:rPr>
      </w:pPr>
      <w:r>
        <w:rPr>
          <w:rFonts w:hint="eastAsia" w:ascii="彩虹粗仿宋" w:eastAsia="彩虹粗仿宋"/>
          <w:b w:val="0"/>
          <w:sz w:val="32"/>
          <w:szCs w:val="32"/>
        </w:rPr>
        <w:t>1.出租方承诺所出租房屋结构及外墙完好，房屋结构与产权证备案信息一致。</w:t>
      </w:r>
    </w:p>
    <w:p>
      <w:pPr>
        <w:pStyle w:val="2"/>
        <w:ind w:firstLine="660"/>
        <w:jc w:val="left"/>
        <w:rPr>
          <w:rFonts w:ascii="彩虹粗仿宋" w:eastAsia="彩虹粗仿宋"/>
          <w:b w:val="0"/>
          <w:sz w:val="32"/>
          <w:szCs w:val="32"/>
        </w:rPr>
      </w:pPr>
      <w:r>
        <w:rPr>
          <w:rFonts w:hint="eastAsia" w:ascii="彩虹粗仿宋" w:eastAsia="彩虹粗仿宋"/>
          <w:b w:val="0"/>
          <w:sz w:val="32"/>
          <w:szCs w:val="32"/>
        </w:rPr>
        <w:t>2.出租方承诺所出租房屋四周共用道路，承租方车辆、人员及顾客具有全天无障碍通行权。出租方承诺不在合同约定之外向承租方及其顾客收取其他使用费用。</w:t>
      </w:r>
    </w:p>
    <w:p>
      <w:pPr>
        <w:pStyle w:val="2"/>
        <w:ind w:firstLine="660"/>
        <w:jc w:val="left"/>
        <w:rPr>
          <w:rFonts w:ascii="彩虹粗仿宋" w:eastAsia="彩虹粗仿宋"/>
          <w:b w:val="0"/>
          <w:sz w:val="32"/>
          <w:szCs w:val="32"/>
        </w:rPr>
      </w:pPr>
      <w:r>
        <w:rPr>
          <w:rFonts w:hint="eastAsia" w:ascii="彩虹粗仿宋" w:eastAsia="彩虹粗仿宋"/>
          <w:b w:val="0"/>
          <w:sz w:val="32"/>
          <w:szCs w:val="32"/>
        </w:rPr>
        <w:t>3.合同约定的租赁期内，房屋因自然造成的损坏的维修义务由出租方承担。承租方在正常、合理使用房屋及附属设施过程中，发现有需要维修的，应立即向出租方报修。出租方应当在收到承租方报修通知后两天内修缮房屋及附属设施并承担维修费用。</w:t>
      </w:r>
    </w:p>
    <w:p>
      <w:pPr>
        <w:pStyle w:val="2"/>
        <w:ind w:firstLine="660"/>
        <w:jc w:val="left"/>
        <w:rPr>
          <w:rFonts w:ascii="彩虹黑体" w:hAnsi="宋体" w:eastAsia="彩虹黑体" w:cs="Times New Roman"/>
          <w:snapToGrid w:val="0"/>
          <w:sz w:val="32"/>
          <w:szCs w:val="32"/>
        </w:rPr>
      </w:pPr>
      <w:r>
        <w:rPr>
          <w:rFonts w:hint="eastAsia" w:ascii="彩虹粗仿宋" w:eastAsia="彩虹粗仿宋"/>
          <w:b w:val="0"/>
          <w:sz w:val="32"/>
          <w:szCs w:val="32"/>
        </w:rPr>
        <w:t>4.出租方应定期对房屋和相关设施进行保养（每年10月进行1次），相应费用由出租方承担。</w:t>
      </w:r>
    </w:p>
    <w:p>
      <w:pPr>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四、房屋供应安排</w:t>
      </w:r>
    </w:p>
    <w:p>
      <w:pPr>
        <w:adjustRightInd w:val="0"/>
        <w:snapToGrid w:val="0"/>
        <w:spacing w:line="560" w:lineRule="exact"/>
        <w:ind w:firstLine="640" w:firstLineChars="200"/>
        <w:rPr>
          <w:rFonts w:ascii="彩虹粗仿宋" w:hAnsi="宋体" w:eastAsia="彩虹粗仿宋"/>
          <w:snapToGrid w:val="0"/>
          <w:kern w:val="0"/>
          <w:sz w:val="32"/>
          <w:szCs w:val="32"/>
        </w:rPr>
      </w:pPr>
      <w:r>
        <w:rPr>
          <w:rFonts w:hint="eastAsia" w:ascii="彩虹粗仿宋" w:hAnsi="宋体" w:eastAsia="彩虹粗仿宋"/>
          <w:snapToGrid w:val="0"/>
          <w:kern w:val="0"/>
          <w:sz w:val="32"/>
          <w:szCs w:val="32"/>
        </w:rPr>
        <w:t>1.出租方应当保证租赁房屋本身及附属设施、设备处于正常的可使用和安全状态，保证承租方经营所需的水、电的正常供应，减少对承租方使用该租赁房屋的影响。</w:t>
      </w:r>
    </w:p>
    <w:p>
      <w:pPr>
        <w:adjustRightInd w:val="0"/>
        <w:snapToGrid w:val="0"/>
        <w:spacing w:line="560" w:lineRule="exact"/>
        <w:ind w:firstLine="640" w:firstLineChars="200"/>
        <w:rPr>
          <w:rFonts w:ascii="彩虹粗仿宋" w:hAnsi="宋体" w:eastAsia="彩虹粗仿宋"/>
          <w:snapToGrid w:val="0"/>
          <w:kern w:val="0"/>
          <w:sz w:val="32"/>
          <w:szCs w:val="32"/>
        </w:rPr>
      </w:pPr>
      <w:r>
        <w:rPr>
          <w:rFonts w:hint="eastAsia" w:ascii="彩虹粗仿宋" w:hAnsi="宋体" w:eastAsia="彩虹粗仿宋"/>
          <w:snapToGrid w:val="0"/>
          <w:kern w:val="0"/>
          <w:sz w:val="32"/>
          <w:szCs w:val="32"/>
        </w:rPr>
        <w:t>2.出租方应保证出租房屋的使用安全，并负责对出租房屋主体结构、外墙及楼板、屋面防水、上下水管道和公共区域消防设施等公用设施设备的维修和维护（除承租方使用不当外），以保障承租方正常安全使用。</w:t>
      </w:r>
    </w:p>
    <w:p>
      <w:pPr>
        <w:adjustRightInd w:val="0"/>
        <w:snapToGrid w:val="0"/>
        <w:spacing w:line="560" w:lineRule="exact"/>
        <w:ind w:firstLine="640" w:firstLineChars="200"/>
        <w:rPr>
          <w:rFonts w:ascii="彩虹粗仿宋" w:hAnsi="宋体" w:eastAsia="彩虹粗仿宋"/>
          <w:snapToGrid w:val="0"/>
          <w:kern w:val="0"/>
          <w:sz w:val="32"/>
          <w:szCs w:val="32"/>
        </w:rPr>
      </w:pPr>
      <w:r>
        <w:rPr>
          <w:rFonts w:hint="eastAsia" w:ascii="彩虹粗仿宋" w:hAnsi="宋体" w:eastAsia="彩虹粗仿宋"/>
          <w:snapToGrid w:val="0"/>
          <w:kern w:val="0"/>
          <w:sz w:val="32"/>
          <w:szCs w:val="32"/>
        </w:rPr>
        <w:t>3.非因承租方使用不当发生的房屋及设施损坏，承租方向出租方提出维修需求后，出租方应立即负责修复，出租方拒不维修的，承租方可代为维修，费用由出租方承担。</w:t>
      </w:r>
    </w:p>
    <w:p>
      <w:pPr>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五、款项支付要求</w:t>
      </w:r>
    </w:p>
    <w:p>
      <w:pPr>
        <w:spacing w:line="520" w:lineRule="exact"/>
        <w:ind w:firstLine="640" w:firstLineChars="200"/>
        <w:rPr>
          <w:rFonts w:ascii="彩虹粗仿宋" w:eastAsia="彩虹粗仿宋"/>
          <w:sz w:val="32"/>
          <w:szCs w:val="32"/>
        </w:rPr>
      </w:pPr>
      <w:r>
        <w:rPr>
          <w:rFonts w:hint="eastAsia" w:ascii="彩虹粗仿宋" w:eastAsia="彩虹粗仿宋"/>
          <w:sz w:val="32"/>
          <w:szCs w:val="32"/>
        </w:rPr>
        <w:t>按季支付，先用后付。承租方自合同生效后收到出租方出具的符合国家规定的增值税专用发票，承租方审核无误后于25个工作日内支付房屋租金。</w:t>
      </w:r>
    </w:p>
    <w:p>
      <w:pPr>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六、报价要求</w:t>
      </w:r>
    </w:p>
    <w:p>
      <w:pPr>
        <w:spacing w:line="520" w:lineRule="exact"/>
        <w:ind w:firstLine="640" w:firstLineChars="200"/>
        <w:rPr>
          <w:rFonts w:ascii="彩虹粗仿宋" w:eastAsia="彩虹粗仿宋"/>
          <w:sz w:val="32"/>
          <w:szCs w:val="32"/>
        </w:rPr>
      </w:pPr>
      <w:r>
        <w:rPr>
          <w:rFonts w:hint="eastAsia" w:ascii="彩虹粗仿宋" w:eastAsia="彩虹粗仿宋"/>
          <w:sz w:val="32"/>
          <w:szCs w:val="32"/>
        </w:rPr>
        <w:t>拟采购服务价格为128万元/年，房租内不包含物业管理费、个人所得税代扣代缴等事项。</w:t>
      </w:r>
    </w:p>
    <w:p>
      <w:pPr>
        <w:adjustRightInd w:val="0"/>
        <w:snapToGrid w:val="0"/>
        <w:spacing w:line="560" w:lineRule="exact"/>
        <w:ind w:firstLine="640" w:firstLineChars="200"/>
        <w:rPr>
          <w:rFonts w:ascii="彩虹粗仿宋" w:hAnsi="宋体" w:eastAsia="彩虹粗仿宋" w:cs="Times New Roman"/>
          <w:snapToGrid w:val="0"/>
          <w:color w:val="FF0000"/>
          <w:kern w:val="0"/>
          <w:sz w:val="32"/>
          <w:szCs w:val="32"/>
        </w:rPr>
      </w:pPr>
    </w:p>
    <w:tbl>
      <w:tblPr>
        <w:tblStyle w:val="3"/>
        <w:tblW w:w="9330" w:type="dxa"/>
        <w:jc w:val="center"/>
        <w:tblLayout w:type="fixed"/>
        <w:tblCellMar>
          <w:top w:w="0" w:type="dxa"/>
          <w:left w:w="108" w:type="dxa"/>
          <w:bottom w:w="0" w:type="dxa"/>
          <w:right w:w="108" w:type="dxa"/>
        </w:tblCellMar>
      </w:tblPr>
      <w:tblGrid>
        <w:gridCol w:w="1788"/>
        <w:gridCol w:w="2670"/>
        <w:gridCol w:w="1443"/>
        <w:gridCol w:w="1703"/>
        <w:gridCol w:w="1726"/>
      </w:tblGrid>
      <w:tr>
        <w:tblPrEx>
          <w:tblCellMar>
            <w:top w:w="0" w:type="dxa"/>
            <w:left w:w="108" w:type="dxa"/>
            <w:bottom w:w="0" w:type="dxa"/>
            <w:right w:w="108" w:type="dxa"/>
          </w:tblCellMar>
        </w:tblPrEx>
        <w:trPr>
          <w:trHeight w:val="1050" w:hRule="atLeast"/>
          <w:jc w:val="center"/>
        </w:trPr>
        <w:tc>
          <w:tcPr>
            <w:tcW w:w="1788" w:type="dxa"/>
            <w:tcBorders>
              <w:top w:val="single" w:color="auto" w:sz="4" w:space="0"/>
              <w:left w:val="single" w:color="auto" w:sz="4" w:space="0"/>
              <w:bottom w:val="single" w:color="auto" w:sz="4" w:space="0"/>
              <w:right w:val="single" w:color="auto" w:sz="4" w:space="0"/>
            </w:tcBorders>
            <w:vAlign w:val="center"/>
          </w:tcPr>
          <w:p>
            <w:pPr>
              <w:widowControl/>
              <w:spacing w:line="560" w:lineRule="exact"/>
              <w:jc w:val="center"/>
              <w:rPr>
                <w:rFonts w:ascii="彩虹粗仿宋" w:hAnsi="彩虹粗仿宋" w:eastAsia="彩虹粗仿宋" w:cs="彩虹粗仿宋"/>
                <w:kern w:val="0"/>
                <w:sz w:val="24"/>
                <w:szCs w:val="24"/>
              </w:rPr>
            </w:pPr>
            <w:r>
              <w:rPr>
                <w:rFonts w:hint="eastAsia" w:ascii="彩虹粗仿宋" w:hAnsi="彩虹粗仿宋" w:eastAsia="彩虹粗仿宋" w:cs="彩虹粗仿宋"/>
                <w:kern w:val="0"/>
                <w:sz w:val="24"/>
                <w:szCs w:val="24"/>
              </w:rPr>
              <w:t>租赁项目</w:t>
            </w:r>
          </w:p>
        </w:tc>
        <w:tc>
          <w:tcPr>
            <w:tcW w:w="2670" w:type="dxa"/>
            <w:tcBorders>
              <w:top w:val="single" w:color="auto" w:sz="4" w:space="0"/>
              <w:left w:val="nil"/>
              <w:bottom w:val="single" w:color="auto" w:sz="4" w:space="0"/>
              <w:right w:val="single" w:color="auto" w:sz="4" w:space="0"/>
            </w:tcBorders>
            <w:vAlign w:val="center"/>
          </w:tcPr>
          <w:p>
            <w:pPr>
              <w:widowControl/>
              <w:spacing w:line="560" w:lineRule="exact"/>
              <w:jc w:val="center"/>
              <w:rPr>
                <w:rFonts w:ascii="彩虹粗仿宋" w:hAnsi="彩虹粗仿宋" w:eastAsia="彩虹粗仿宋" w:cs="彩虹粗仿宋"/>
                <w:color w:val="FF0000"/>
                <w:kern w:val="0"/>
                <w:sz w:val="24"/>
                <w:szCs w:val="24"/>
              </w:rPr>
            </w:pPr>
            <w:r>
              <w:rPr>
                <w:rFonts w:hint="eastAsia" w:ascii="彩虹粗仿宋" w:hAnsi="彩虹粗仿宋" w:eastAsia="彩虹粗仿宋" w:cs="彩虹粗仿宋"/>
                <w:kern w:val="0"/>
                <w:sz w:val="24"/>
                <w:szCs w:val="24"/>
              </w:rPr>
              <w:t>租赁时间</w:t>
            </w:r>
          </w:p>
        </w:tc>
        <w:tc>
          <w:tcPr>
            <w:tcW w:w="1443" w:type="dxa"/>
            <w:tcBorders>
              <w:top w:val="single" w:color="auto" w:sz="4" w:space="0"/>
              <w:left w:val="nil"/>
              <w:bottom w:val="single" w:color="auto" w:sz="4" w:space="0"/>
              <w:right w:val="single" w:color="auto" w:sz="4" w:space="0"/>
            </w:tcBorders>
            <w:vAlign w:val="center"/>
          </w:tcPr>
          <w:p>
            <w:pPr>
              <w:widowControl/>
              <w:spacing w:line="560" w:lineRule="exact"/>
              <w:jc w:val="center"/>
              <w:rPr>
                <w:rFonts w:ascii="彩虹粗仿宋" w:hAnsi="彩虹粗仿宋" w:eastAsia="彩虹粗仿宋" w:cs="彩虹粗仿宋"/>
                <w:kern w:val="0"/>
                <w:sz w:val="24"/>
                <w:szCs w:val="24"/>
              </w:rPr>
            </w:pPr>
            <w:r>
              <w:rPr>
                <w:rFonts w:hint="eastAsia" w:ascii="彩虹粗仿宋" w:hAnsi="彩虹粗仿宋" w:eastAsia="彩虹粗仿宋" w:cs="彩虹粗仿宋"/>
                <w:kern w:val="0"/>
                <w:sz w:val="24"/>
                <w:szCs w:val="24"/>
              </w:rPr>
              <w:t>面积（㎡）</w:t>
            </w:r>
          </w:p>
        </w:tc>
        <w:tc>
          <w:tcPr>
            <w:tcW w:w="1703" w:type="dxa"/>
            <w:tcBorders>
              <w:top w:val="single" w:color="auto" w:sz="4" w:space="0"/>
              <w:left w:val="nil"/>
              <w:bottom w:val="single" w:color="auto" w:sz="4" w:space="0"/>
              <w:right w:val="single" w:color="auto" w:sz="4" w:space="0"/>
            </w:tcBorders>
            <w:vAlign w:val="center"/>
          </w:tcPr>
          <w:p>
            <w:pPr>
              <w:widowControl/>
              <w:spacing w:line="560" w:lineRule="exact"/>
              <w:jc w:val="center"/>
              <w:rPr>
                <w:rFonts w:ascii="彩虹粗仿宋" w:hAnsi="彩虹粗仿宋" w:eastAsia="彩虹粗仿宋" w:cs="彩虹粗仿宋"/>
                <w:kern w:val="0"/>
                <w:sz w:val="24"/>
                <w:szCs w:val="24"/>
              </w:rPr>
            </w:pPr>
            <w:r>
              <w:rPr>
                <w:rFonts w:hint="eastAsia" w:ascii="彩虹粗仿宋" w:hAnsi="彩虹粗仿宋" w:eastAsia="彩虹粗仿宋" w:cs="彩虹粗仿宋"/>
                <w:kern w:val="0"/>
                <w:sz w:val="24"/>
                <w:szCs w:val="24"/>
              </w:rPr>
              <w:t>含税单价（元/㎡•月）</w:t>
            </w:r>
          </w:p>
        </w:tc>
        <w:tc>
          <w:tcPr>
            <w:tcW w:w="1726" w:type="dxa"/>
            <w:tcBorders>
              <w:top w:val="single" w:color="auto" w:sz="4" w:space="0"/>
              <w:left w:val="nil"/>
              <w:bottom w:val="single" w:color="auto" w:sz="4" w:space="0"/>
              <w:right w:val="single" w:color="auto" w:sz="4" w:space="0"/>
            </w:tcBorders>
            <w:vAlign w:val="center"/>
          </w:tcPr>
          <w:p>
            <w:pPr>
              <w:widowControl/>
              <w:spacing w:line="560" w:lineRule="exact"/>
              <w:jc w:val="center"/>
              <w:rPr>
                <w:rFonts w:ascii="彩虹粗仿宋" w:hAnsi="彩虹粗仿宋" w:eastAsia="彩虹粗仿宋" w:cs="彩虹粗仿宋"/>
                <w:kern w:val="0"/>
                <w:sz w:val="24"/>
                <w:szCs w:val="24"/>
              </w:rPr>
            </w:pPr>
            <w:r>
              <w:rPr>
                <w:rFonts w:hint="eastAsia" w:ascii="彩虹粗仿宋" w:hAnsi="彩虹粗仿宋" w:eastAsia="彩虹粗仿宋" w:cs="彩虹粗仿宋"/>
                <w:kern w:val="0"/>
                <w:sz w:val="24"/>
                <w:szCs w:val="24"/>
              </w:rPr>
              <w:t>含税总价（元）</w:t>
            </w:r>
          </w:p>
        </w:tc>
      </w:tr>
      <w:tr>
        <w:tblPrEx>
          <w:tblCellMar>
            <w:top w:w="0" w:type="dxa"/>
            <w:left w:w="108" w:type="dxa"/>
            <w:bottom w:w="0" w:type="dxa"/>
            <w:right w:w="108" w:type="dxa"/>
          </w:tblCellMar>
        </w:tblPrEx>
        <w:trPr>
          <w:trHeight w:val="390" w:hRule="atLeast"/>
          <w:jc w:val="center"/>
        </w:trPr>
        <w:tc>
          <w:tcPr>
            <w:tcW w:w="1788" w:type="dxa"/>
            <w:tcBorders>
              <w:top w:val="single" w:color="auto" w:sz="4" w:space="0"/>
              <w:left w:val="single" w:color="auto" w:sz="4" w:space="0"/>
              <w:bottom w:val="single" w:color="auto" w:sz="4" w:space="0"/>
              <w:right w:val="single" w:color="auto" w:sz="4" w:space="0"/>
            </w:tcBorders>
            <w:vAlign w:val="center"/>
          </w:tcPr>
          <w:p>
            <w:pPr>
              <w:widowControl/>
              <w:spacing w:line="560" w:lineRule="exact"/>
              <w:jc w:val="center"/>
              <w:rPr>
                <w:rFonts w:ascii="彩虹粗仿宋" w:hAnsi="彩虹粗仿宋" w:eastAsia="彩虹粗仿宋" w:cs="彩虹粗仿宋"/>
                <w:kern w:val="0"/>
                <w:sz w:val="24"/>
                <w:szCs w:val="24"/>
              </w:rPr>
            </w:pPr>
            <w:r>
              <w:rPr>
                <w:rFonts w:hint="eastAsia" w:ascii="彩虹粗仿宋" w:hAnsi="彩虹粗仿宋" w:eastAsia="彩虹粗仿宋" w:cs="彩虹粗仿宋"/>
                <w:kern w:val="0"/>
                <w:sz w:val="24"/>
                <w:szCs w:val="24"/>
              </w:rPr>
              <w:t>渠东路支行营业用房续租</w:t>
            </w:r>
          </w:p>
        </w:tc>
        <w:tc>
          <w:tcPr>
            <w:tcW w:w="2670" w:type="dxa"/>
            <w:tcBorders>
              <w:top w:val="single" w:color="auto" w:sz="4" w:space="0"/>
              <w:left w:val="nil"/>
              <w:bottom w:val="single" w:color="auto" w:sz="4" w:space="0"/>
              <w:right w:val="single" w:color="auto" w:sz="4" w:space="0"/>
            </w:tcBorders>
            <w:vAlign w:val="center"/>
          </w:tcPr>
          <w:p>
            <w:pPr>
              <w:widowControl/>
              <w:spacing w:line="560" w:lineRule="exact"/>
              <w:jc w:val="center"/>
              <w:rPr>
                <w:rFonts w:ascii="彩虹粗仿宋" w:hAnsi="彩虹粗仿宋" w:eastAsia="彩虹粗仿宋" w:cs="彩虹粗仿宋"/>
                <w:kern w:val="0"/>
                <w:sz w:val="24"/>
                <w:szCs w:val="24"/>
              </w:rPr>
            </w:pPr>
            <w:r>
              <w:rPr>
                <w:rFonts w:hint="eastAsia" w:ascii="彩虹粗仿宋" w:hAnsi="彩虹粗仿宋" w:eastAsia="彩虹粗仿宋" w:cs="彩虹粗仿宋"/>
                <w:kern w:val="0"/>
                <w:sz w:val="24"/>
                <w:szCs w:val="24"/>
              </w:rPr>
              <w:t>2024/5/24-2025/5/23</w:t>
            </w:r>
          </w:p>
        </w:tc>
        <w:tc>
          <w:tcPr>
            <w:tcW w:w="1443" w:type="dxa"/>
            <w:tcBorders>
              <w:top w:val="single" w:color="auto" w:sz="4" w:space="0"/>
              <w:left w:val="nil"/>
              <w:bottom w:val="single" w:color="auto" w:sz="4" w:space="0"/>
              <w:right w:val="single" w:color="auto" w:sz="4" w:space="0"/>
            </w:tcBorders>
            <w:vAlign w:val="center"/>
          </w:tcPr>
          <w:p>
            <w:pPr>
              <w:spacing w:line="560" w:lineRule="exact"/>
              <w:ind w:firstLine="480" w:firstLineChars="200"/>
              <w:rPr>
                <w:rFonts w:ascii="彩虹粗仿宋" w:hAnsi="彩虹粗仿宋" w:eastAsia="彩虹粗仿宋" w:cs="彩虹粗仿宋"/>
                <w:kern w:val="0"/>
                <w:sz w:val="24"/>
                <w:szCs w:val="24"/>
              </w:rPr>
            </w:pPr>
            <w:r>
              <w:rPr>
                <w:rFonts w:hint="eastAsia" w:ascii="彩虹粗仿宋" w:hAnsi="彩虹粗仿宋" w:eastAsia="彩虹粗仿宋" w:cs="彩虹粗仿宋"/>
                <w:kern w:val="0"/>
                <w:sz w:val="24"/>
                <w:szCs w:val="24"/>
              </w:rPr>
              <w:t>691</w:t>
            </w:r>
          </w:p>
        </w:tc>
        <w:tc>
          <w:tcPr>
            <w:tcW w:w="1703" w:type="dxa"/>
            <w:tcBorders>
              <w:top w:val="single" w:color="auto" w:sz="4" w:space="0"/>
              <w:left w:val="nil"/>
              <w:bottom w:val="single" w:color="auto" w:sz="4" w:space="0"/>
              <w:right w:val="single" w:color="auto" w:sz="4" w:space="0"/>
            </w:tcBorders>
            <w:vAlign w:val="center"/>
          </w:tcPr>
          <w:p>
            <w:pPr>
              <w:spacing w:line="560" w:lineRule="exact"/>
              <w:ind w:firstLine="480" w:firstLineChars="200"/>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154.37</w:t>
            </w:r>
          </w:p>
        </w:tc>
        <w:tc>
          <w:tcPr>
            <w:tcW w:w="1726" w:type="dxa"/>
            <w:tcBorders>
              <w:top w:val="single" w:color="auto" w:sz="4" w:space="0"/>
              <w:left w:val="nil"/>
              <w:bottom w:val="single" w:color="auto" w:sz="4" w:space="0"/>
              <w:right w:val="single" w:color="auto" w:sz="4" w:space="0"/>
            </w:tcBorders>
            <w:vAlign w:val="center"/>
          </w:tcPr>
          <w:p>
            <w:pPr>
              <w:spacing w:line="560" w:lineRule="exact"/>
              <w:ind w:firstLine="480" w:firstLineChars="200"/>
              <w:rPr>
                <w:rFonts w:ascii="彩虹粗仿宋" w:hAnsi="彩虹粗仿宋" w:eastAsia="彩虹粗仿宋" w:cs="彩虹粗仿宋"/>
                <w:sz w:val="24"/>
                <w:szCs w:val="24"/>
              </w:rPr>
            </w:pPr>
            <w:r>
              <w:rPr>
                <w:rFonts w:hint="eastAsia" w:ascii="彩虹粗仿宋" w:hAnsi="彩虹粗仿宋" w:eastAsia="彩虹粗仿宋" w:cs="彩虹粗仿宋"/>
                <w:sz w:val="24"/>
                <w:szCs w:val="24"/>
              </w:rPr>
              <w:t>1280000</w:t>
            </w:r>
          </w:p>
        </w:tc>
      </w:tr>
    </w:tbl>
    <w:p>
      <w:pPr>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七、其他约定</w:t>
      </w:r>
    </w:p>
    <w:p>
      <w:pPr>
        <w:adjustRightInd w:val="0"/>
        <w:snapToGrid w:val="0"/>
        <w:spacing w:line="560" w:lineRule="exac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1.租赁期内，出租方免费提供门前专用停车位</w:t>
      </w:r>
      <w:r>
        <w:rPr>
          <w:rFonts w:hint="eastAsia" w:ascii="彩虹粗仿宋" w:hAnsi="宋体" w:eastAsia="彩虹粗仿宋" w:cs="Times New Roman"/>
          <w:snapToGrid w:val="0"/>
          <w:kern w:val="0"/>
          <w:sz w:val="32"/>
          <w:szCs w:val="32"/>
          <w:u w:val="single"/>
        </w:rPr>
        <w:t>15</w:t>
      </w:r>
      <w:r>
        <w:rPr>
          <w:rFonts w:hint="eastAsia" w:ascii="彩虹粗仿宋" w:hAnsi="宋体" w:eastAsia="彩虹粗仿宋" w:cs="Times New Roman"/>
          <w:snapToGrid w:val="0"/>
          <w:kern w:val="0"/>
          <w:sz w:val="32"/>
          <w:szCs w:val="32"/>
        </w:rPr>
        <w:t>个。</w:t>
      </w:r>
    </w:p>
    <w:p>
      <w:pPr>
        <w:adjustRightInd w:val="0"/>
        <w:snapToGrid w:val="0"/>
        <w:spacing w:line="560" w:lineRule="exac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2.所有有关房屋出租而引起的税项负担、国家及地方政府针对出租的房屋征收的管理费用及其他费用，均由出租方承担。</w:t>
      </w:r>
    </w:p>
    <w:p>
      <w:pPr>
        <w:adjustRightInd w:val="0"/>
        <w:snapToGrid w:val="0"/>
        <w:spacing w:line="600" w:lineRule="exac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3.租期内出租方不得设立抵押条款。</w:t>
      </w:r>
    </w:p>
    <w:p>
      <w:pPr>
        <w:adjustRightInd w:val="0"/>
        <w:snapToGrid w:val="0"/>
        <w:spacing w:line="560" w:lineRule="exac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4.租赁期满后，承租方仍需继续租赁房屋，提前</w:t>
      </w:r>
      <w:r>
        <w:rPr>
          <w:rFonts w:hint="eastAsia" w:ascii="彩虹粗仿宋" w:hAnsi="宋体" w:eastAsia="彩虹粗仿宋" w:cs="Times New Roman"/>
          <w:snapToGrid w:val="0"/>
          <w:kern w:val="0"/>
          <w:sz w:val="32"/>
          <w:szCs w:val="32"/>
          <w:u w:val="single"/>
        </w:rPr>
        <w:t>3</w:t>
      </w:r>
      <w:r>
        <w:rPr>
          <w:rFonts w:hint="eastAsia" w:ascii="彩虹粗仿宋" w:hAnsi="宋体" w:eastAsia="彩虹粗仿宋" w:cs="Times New Roman"/>
          <w:snapToGrid w:val="0"/>
          <w:kern w:val="0"/>
          <w:sz w:val="32"/>
          <w:szCs w:val="32"/>
        </w:rPr>
        <w:t>个月告知出租方，在同等条件下，承租方享有优先权。</w:t>
      </w:r>
    </w:p>
    <w:p>
      <w:pPr>
        <w:adjustRightInd w:val="0"/>
        <w:snapToGrid w:val="0"/>
        <w:spacing w:line="560" w:lineRule="exac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5.租赁期内，如出租方将房屋进行出售，在3个月前书面通知承租方，在同等条件下，承租方有优先购买权，且房屋买卖不得影响本租赁事项执行。</w:t>
      </w:r>
    </w:p>
    <w:p>
      <w:pPr>
        <w:adjustRightInd w:val="0"/>
        <w:snapToGrid w:val="0"/>
        <w:spacing w:line="560" w:lineRule="exac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6.租赁期内，承租方因经营决策、网点规划迁址或其他原因造成难以继续履行该合同的，承租方有权书面通知出租方解除本合同，并不承担任何责任，但应提前</w:t>
      </w:r>
      <w:r>
        <w:rPr>
          <w:rFonts w:hint="eastAsia" w:ascii="彩虹粗仿宋" w:hAnsi="宋体" w:eastAsia="彩虹粗仿宋" w:cs="Times New Roman"/>
          <w:snapToGrid w:val="0"/>
          <w:kern w:val="0"/>
          <w:sz w:val="32"/>
          <w:szCs w:val="32"/>
          <w:u w:val="single"/>
        </w:rPr>
        <w:t>60</w:t>
      </w:r>
      <w:r>
        <w:rPr>
          <w:rFonts w:hint="eastAsia" w:ascii="彩虹粗仿宋" w:hAnsi="宋体" w:eastAsia="彩虹粗仿宋" w:cs="Times New Roman"/>
          <w:snapToGrid w:val="0"/>
          <w:kern w:val="0"/>
          <w:sz w:val="32"/>
          <w:szCs w:val="32"/>
        </w:rPr>
        <w:t>日通知出租方。租金按承租方实际使用天数计算。</w:t>
      </w:r>
    </w:p>
    <w:p>
      <w:pPr>
        <w:adjustRightInd w:val="0"/>
        <w:snapToGrid w:val="0"/>
        <w:spacing w:line="560" w:lineRule="exac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7.租赁期内，因出租方原因无法继续履约需解除合同的，应给予承租方6个月的重新选址搬迁时间，此选址、搬迁时间内免除租金，并赔偿我行剩余装修期限应分摊的装修费用损失。</w:t>
      </w:r>
    </w:p>
    <w:p>
      <w:pPr>
        <w:spacing w:line="560" w:lineRule="exact"/>
      </w:pPr>
    </w:p>
    <w:p/>
    <w:p>
      <w:pPr>
        <w:adjustRightInd w:val="0"/>
        <w:snapToGrid w:val="0"/>
        <w:spacing w:line="560" w:lineRule="exact"/>
        <w:rPr>
          <w:rFonts w:ascii="彩虹粗仿宋" w:hAnsi="宋体" w:eastAsia="彩虹粗仿宋" w:cs="Times New Roman"/>
          <w:snapToGrid w:val="0"/>
          <w:color w:val="FF0000"/>
          <w:kern w:val="0"/>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彩虹小标宋">
    <w:panose1 w:val="03000509000000000000"/>
    <w:charset w:val="86"/>
    <w:family w:val="script"/>
    <w:pitch w:val="default"/>
    <w:sig w:usb0="00000001" w:usb1="080E0000" w:usb2="00000000" w:usb3="00000000" w:csb0="00040000" w:csb1="00000000"/>
  </w:font>
  <w:font w:name="彩虹黑体">
    <w:panose1 w:val="03000509000000000000"/>
    <w:charset w:val="86"/>
    <w:family w:val="script"/>
    <w:pitch w:val="default"/>
    <w:sig w:usb0="00000001" w:usb1="080E0000" w:usb2="00000000" w:usb3="00000000" w:csb0="00040000" w:csb1="00000000"/>
  </w:font>
  <w:font w:name="彩虹粗仿宋">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261CAC"/>
    <w:multiLevelType w:val="singleLevel"/>
    <w:tmpl w:val="0C261CAC"/>
    <w:lvl w:ilvl="0" w:tentative="0">
      <w:start w:val="1"/>
      <w:numFmt w:val="chineseCounting"/>
      <w:suff w:val="nothing"/>
      <w:lvlText w:val="%1、"/>
      <w:lvlJc w:val="left"/>
      <w:rPr>
        <w:rFonts w:hint="eastAsia"/>
      </w:rPr>
    </w:lvl>
  </w:abstractNum>
  <w:abstractNum w:abstractNumId="1">
    <w:nsid w:val="0C74DFA5"/>
    <w:multiLevelType w:val="singleLevel"/>
    <w:tmpl w:val="0C74DFA5"/>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revisionView w:markup="0"/>
  <w:documentProtection w:edit="readOnly" w:enforcement="0"/>
  <w:defaultTabStop w:val="420"/>
  <w:characterSpacingControl w:val="doNotCompress"/>
  <w:compat>
    <w:useFELayout/>
    <w:compatSetting w:name="compatibilityMode" w:uri="http://schemas.microsoft.com/office/word" w:val="12"/>
  </w:compat>
  <w:rsids>
    <w:rsidRoot w:val="007164B7"/>
    <w:rsid w:val="003033AD"/>
    <w:rsid w:val="004A1B1D"/>
    <w:rsid w:val="0062603B"/>
    <w:rsid w:val="007164B7"/>
    <w:rsid w:val="00722FC8"/>
    <w:rsid w:val="00C93FC8"/>
    <w:rsid w:val="02B50176"/>
    <w:rsid w:val="046D0CA0"/>
    <w:rsid w:val="0DA7060E"/>
    <w:rsid w:val="13F571A1"/>
    <w:rsid w:val="249C0D5D"/>
    <w:rsid w:val="334F048D"/>
    <w:rsid w:val="39C73AA8"/>
    <w:rsid w:val="452B5899"/>
    <w:rsid w:val="5CA82249"/>
    <w:rsid w:val="5E9C2252"/>
    <w:rsid w:val="5F34467C"/>
    <w:rsid w:val="69C17E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Body Text"/>
    <w:basedOn w:val="1"/>
    <w:qFormat/>
    <w:uiPriority w:val="0"/>
    <w:pPr>
      <w:adjustRightInd w:val="0"/>
      <w:spacing w:line="300" w:lineRule="auto"/>
      <w:textAlignment w:val="baseline"/>
    </w:pPr>
    <w:rPr>
      <w:rFonts w:ascii="仿宋_GB2312" w:hAnsi="Times New Roman" w:eastAsia="仿宋_GB2312"/>
      <w:b/>
      <w:kern w:val="0"/>
      <w:sz w:val="28"/>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ccb</Company>
  <Pages>5</Pages>
  <Words>2165</Words>
  <Characters>2350</Characters>
  <Lines>165</Lines>
  <Paragraphs>91</Paragraphs>
  <TotalTime>6</TotalTime>
  <ScaleCrop>false</ScaleCrop>
  <LinksUpToDate>false</LinksUpToDate>
  <CharactersWithSpaces>2350</CharactersWithSpaces>
  <Application>WPS Office_12.8.2.15209_F1E327BC-269C-435d-A152-05C5408002CA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2023-01-29T07:22:00Z</dcterms:created>
  <dc:creator>Apache POI</dc:creator>
  <cp:lastModifiedBy>haccb</cp:lastModifiedBy>
  <dcterms:modified xsi:type="dcterms:W3CDTF">2024-05-21T00:48:02Z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2052-12.8.2.15209</vt:lpwstr>
  </property>
  <property fmtid="{D5CDD505-2E9C-101B-9397-08002B2CF9AE}" pid="3" name="ICV">
    <vt:lpwstr>B0E060CC1FD84CCF942440C985DAB4D8_12</vt:lpwstr>
  </property>
</Properties>
</file>