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line="560" w:lineRule="exact"/>
        <w:jc w:val="center"/>
        <w:rPr>
          <w:rFonts w:hint="eastAsia" w:ascii="彩虹小标宋" w:hAnsi="宋体" w:eastAsia="彩虹小标宋" w:cs="Times New Roman"/>
          <w:bCs/>
          <w:snapToGrid w:val="0"/>
          <w:kern w:val="0"/>
          <w:sz w:val="44"/>
          <w:szCs w:val="44"/>
        </w:rPr>
      </w:pPr>
      <w:bookmarkStart w:id="1" w:name="_GoBack"/>
      <w:bookmarkEnd w:id="1"/>
      <w:r>
        <w:rPr>
          <w:rFonts w:hint="eastAsia" w:ascii="彩虹小标宋" w:hAnsi="宋体" w:eastAsia="彩虹小标宋" w:cs="Times New Roman"/>
          <w:bCs/>
          <w:snapToGrid w:val="0"/>
          <w:kern w:val="0"/>
          <w:sz w:val="44"/>
          <w:szCs w:val="44"/>
        </w:rPr>
        <w:t>关于“商机直拨通”电信运营商</w:t>
      </w:r>
    </w:p>
    <w:p>
      <w:pPr>
        <w:adjustRightInd w:val="0"/>
        <w:snapToGrid w:val="0"/>
        <w:spacing w:line="560" w:lineRule="exact"/>
        <w:jc w:val="center"/>
        <w:rPr>
          <w:rFonts w:ascii="彩虹小标宋" w:hAnsi="宋体" w:eastAsia="彩虹小标宋" w:cs="Times New Roman"/>
          <w:bCs/>
          <w:snapToGrid w:val="0"/>
          <w:kern w:val="0"/>
          <w:sz w:val="44"/>
          <w:szCs w:val="44"/>
        </w:rPr>
      </w:pPr>
      <w:r>
        <w:rPr>
          <w:rFonts w:hint="eastAsia" w:ascii="彩虹小标宋" w:hAnsi="宋体" w:eastAsia="彩虹小标宋" w:cs="Times New Roman"/>
          <w:bCs/>
          <w:snapToGrid w:val="0"/>
          <w:kern w:val="0"/>
          <w:sz w:val="44"/>
          <w:szCs w:val="44"/>
        </w:rPr>
        <w:t>服务资源的采购需求</w:t>
      </w:r>
    </w:p>
    <w:p>
      <w:pPr>
        <w:adjustRightInd w:val="0"/>
        <w:snapToGrid w:val="0"/>
        <w:spacing w:line="560" w:lineRule="exact"/>
        <w:jc w:val="center"/>
        <w:rPr>
          <w:rFonts w:ascii="彩虹小标宋" w:hAnsi="宋体" w:eastAsia="彩虹小标宋" w:cs="Times New Roman"/>
          <w:bCs/>
          <w:snapToGrid w:val="0"/>
          <w:kern w:val="0"/>
          <w:sz w:val="36"/>
          <w:szCs w:val="36"/>
        </w:rPr>
      </w:pPr>
      <w:r>
        <w:rPr>
          <w:rFonts w:hint="eastAsia" w:ascii="彩虹小标宋" w:hAnsi="宋体" w:eastAsia="彩虹小标宋" w:cs="Times New Roman"/>
          <w:bCs/>
          <w:snapToGrid w:val="0"/>
          <w:kern w:val="0"/>
          <w:sz w:val="36"/>
          <w:szCs w:val="36"/>
        </w:rPr>
        <w:t>（主要包括以下内容）</w:t>
      </w:r>
    </w:p>
    <w:p>
      <w:pPr>
        <w:adjustRightInd w:val="0"/>
        <w:snapToGrid w:val="0"/>
        <w:spacing w:line="560" w:lineRule="exact"/>
        <w:jc w:val="center"/>
        <w:rPr>
          <w:rFonts w:ascii="彩虹小标宋" w:hAnsi="宋体" w:eastAsia="彩虹小标宋" w:cs="Times New Roman"/>
          <w:bCs/>
          <w:snapToGrid w:val="0"/>
          <w:kern w:val="0"/>
          <w:sz w:val="36"/>
          <w:szCs w:val="36"/>
        </w:rPr>
      </w:pPr>
    </w:p>
    <w:p>
      <w:pPr>
        <w:adjustRightInd w:val="0"/>
        <w:snapToGrid w:val="0"/>
        <w:spacing w:line="560" w:lineRule="exact"/>
        <w:ind w:firstLine="640" w:firstLineChars="200"/>
        <w:rPr>
          <w:rFonts w:hint="eastAsia" w:ascii="彩虹粗仿宋" w:hAnsi="宋体" w:eastAsia="彩虹粗仿宋" w:cs="Times New Roman"/>
          <w:snapToGrid w:val="0"/>
          <w:kern w:val="0"/>
          <w:sz w:val="32"/>
          <w:szCs w:val="32"/>
          <w:lang w:eastAsia="zh-CN"/>
        </w:rPr>
      </w:pPr>
      <w:r>
        <w:rPr>
          <w:rFonts w:hint="eastAsia" w:ascii="彩虹粗仿宋" w:hAnsi="宋体" w:eastAsia="彩虹粗仿宋" w:cs="Times New Roman"/>
          <w:snapToGrid w:val="0"/>
          <w:kern w:val="0"/>
          <w:sz w:val="32"/>
          <w:szCs w:val="32"/>
        </w:rPr>
        <w:t>需求部门：</w:t>
      </w:r>
      <w:bookmarkStart w:id="0" w:name="PO_NEED_DEPT"/>
      <w:r>
        <w:rPr>
          <w:rFonts w:hint="eastAsia" w:ascii="彩虹粗仿宋" w:hAnsi="宋体" w:eastAsia="彩虹粗仿宋" w:cs="Times New Roman"/>
          <w:snapToGrid w:val="0"/>
          <w:kern w:val="0"/>
          <w:sz w:val="32"/>
          <w:szCs w:val="32"/>
          <w:lang w:eastAsia="zh-CN"/>
        </w:rPr>
        <w:t>建行河南省分行渠道与运营管理部</w:t>
      </w:r>
      <w:bookmarkEnd w:id="0"/>
      <w:r>
        <w:rPr>
          <w:rFonts w:hint="eastAsia" w:ascii="彩虹粗仿宋" w:hAnsi="宋体" w:eastAsia="彩虹粗仿宋" w:cs="Times New Roman"/>
          <w:snapToGrid w:val="0"/>
          <w:kern w:val="0"/>
          <w:sz w:val="32"/>
          <w:szCs w:val="32"/>
        </w:rPr>
        <w:t>信用卡业务部</w:t>
      </w:r>
      <w:r>
        <w:rPr>
          <w:rFonts w:hint="eastAsia" w:ascii="彩虹粗仿宋" w:hAnsi="宋体" w:eastAsia="彩虹粗仿宋" w:cs="Times New Roman"/>
          <w:snapToGrid w:val="0"/>
          <w:kern w:val="0"/>
          <w:sz w:val="32"/>
          <w:szCs w:val="32"/>
          <w:lang w:eastAsia="zh-CN"/>
        </w:rPr>
        <w:t>、个人金融部、渠道与运营管理部</w:t>
      </w:r>
    </w:p>
    <w:p>
      <w:pPr>
        <w:adjustRightInd w:val="0"/>
        <w:snapToGrid w:val="0"/>
        <w:spacing w:line="560" w:lineRule="exact"/>
        <w:ind w:firstLine="640" w:firstLineChars="200"/>
        <w:rPr>
          <w:rFonts w:hint="eastAsia" w:ascii="彩虹粗仿宋" w:hAnsi="宋体" w:eastAsia="彩虹粗仿宋" w:cs="Times New Roman"/>
          <w:snapToGrid w:val="0"/>
          <w:kern w:val="0"/>
          <w:sz w:val="32"/>
          <w:szCs w:val="32"/>
          <w:lang w:eastAsia="zh-CN"/>
        </w:rPr>
      </w:pPr>
      <w:r>
        <w:rPr>
          <w:rFonts w:hint="eastAsia" w:ascii="彩虹粗仿宋" w:hAnsi="宋体" w:eastAsia="彩虹粗仿宋" w:cs="Times New Roman"/>
          <w:snapToGrid w:val="0"/>
          <w:kern w:val="0"/>
          <w:sz w:val="32"/>
          <w:szCs w:val="32"/>
        </w:rPr>
        <w:t>为规范网点机构（含物理网点及直销团队两种模式）商机外呼管理, 提高客户营销服务质效，总行开发了“商机直拨通”产品，即使用非95533号码对客户开展电话外呼服务，在不改变主动营销商机现有执行流程的前提下，实现系统一键外呼，使营销任务的执行形成完整的闭环操作流程。为确保“商机直拨通”产品的稳步推进，总行印发了《关于做好“商机直拨通”功能全行推广工作的通知》（建渠道〔2021〕19号）、《中国建设银行网点机构主动商机执行外呼管理办法（2021年版）》（建总发〔2021〕110号）、《关于规范信用卡直销团队应用商机直拨通开展外呼业务的通知》（建卡〔2021〕59号）等。我行于2021年12月6日与中国移动通信集团河南有限公司签署商机直拨通相关电信资源服务采购合同，</w:t>
      </w:r>
      <w:r>
        <w:rPr>
          <w:rFonts w:hint="eastAsia" w:ascii="彩虹粗仿宋" w:hAnsi="宋体" w:eastAsia="彩虹粗仿宋" w:cs="Times New Roman"/>
          <w:snapToGrid w:val="0"/>
          <w:kern w:val="0"/>
          <w:sz w:val="32"/>
          <w:szCs w:val="32"/>
          <w:lang w:eastAsia="zh-CN"/>
        </w:rPr>
        <w:t>信用卡业务</w:t>
      </w:r>
      <w:r>
        <w:rPr>
          <w:rFonts w:hint="eastAsia" w:ascii="彩虹粗仿宋" w:hAnsi="宋体" w:eastAsia="彩虹粗仿宋" w:cs="Times New Roman"/>
          <w:snapToGrid w:val="0"/>
          <w:kern w:val="0"/>
          <w:sz w:val="32"/>
          <w:szCs w:val="32"/>
        </w:rPr>
        <w:t>部于2021年12月底遵照总行部署及信用卡业务发展需要在全行推广运用商机直拨通信用卡直销团队模式开展信用卡商机外呼。</w:t>
      </w:r>
      <w:r>
        <w:rPr>
          <w:rFonts w:hint="eastAsia" w:ascii="彩虹粗仿宋" w:hAnsi="宋体" w:eastAsia="彩虹粗仿宋" w:cs="Times New Roman"/>
          <w:snapToGrid w:val="0"/>
          <w:kern w:val="0"/>
          <w:sz w:val="32"/>
          <w:szCs w:val="32"/>
          <w:lang w:eastAsia="zh-CN"/>
        </w:rPr>
        <w:t>网点经营人员根据推送的商机独立开展个人客户主动商机外呼。</w:t>
      </w:r>
    </w:p>
    <w:p>
      <w:pPr>
        <w:adjustRightInd w:val="0"/>
        <w:snapToGrid w:val="0"/>
        <w:spacing w:line="560" w:lineRule="exact"/>
        <w:ind w:firstLine="640" w:firstLineChars="200"/>
        <w:rPr>
          <w:rFonts w:ascii="Times New Roman" w:hAnsi="Times New Roman" w:eastAsia="彩虹粗仿宋" w:cs="Times New Roman"/>
          <w:sz w:val="32"/>
          <w:szCs w:val="32"/>
        </w:rPr>
      </w:pPr>
      <w:r>
        <w:rPr>
          <w:rFonts w:hint="eastAsia" w:ascii="彩虹粗仿宋" w:hAnsi="Times New Roman" w:eastAsia="彩虹粗仿宋" w:cs="Times New Roman"/>
          <w:sz w:val="32"/>
          <w:szCs w:val="32"/>
        </w:rPr>
        <w:t>经过两年系统应用，商机直拨通</w:t>
      </w:r>
      <w:r>
        <w:rPr>
          <w:rFonts w:hint="eastAsia" w:ascii="彩虹粗仿宋" w:hAnsi="Times New Roman" w:eastAsia="彩虹粗仿宋" w:cs="Times New Roman"/>
          <w:sz w:val="32"/>
          <w:szCs w:val="32"/>
          <w:lang w:eastAsia="zh-CN"/>
        </w:rPr>
        <w:t>在触达客户服务客户方面</w:t>
      </w:r>
      <w:r>
        <w:rPr>
          <w:rFonts w:hint="eastAsia" w:ascii="彩虹粗仿宋" w:hAnsi="Times New Roman" w:eastAsia="彩虹粗仿宋" w:cs="Times New Roman"/>
          <w:sz w:val="32"/>
          <w:szCs w:val="32"/>
        </w:rPr>
        <w:t>模式优势明显。一是</w:t>
      </w:r>
      <w:r>
        <w:rPr>
          <w:rFonts w:ascii="Times New Roman" w:hAnsi="Times New Roman" w:eastAsia="彩虹粗仿宋" w:cs="Times New Roman"/>
          <w:sz w:val="32"/>
          <w:szCs w:val="32"/>
        </w:rPr>
        <w:t>数据更安全。</w:t>
      </w:r>
      <w:r>
        <w:rPr>
          <w:rFonts w:hint="eastAsia" w:ascii="Times New Roman" w:hAnsi="Times New Roman" w:eastAsia="彩虹粗仿宋" w:cs="Times New Roman"/>
          <w:sz w:val="32"/>
          <w:szCs w:val="32"/>
        </w:rPr>
        <w:t>系统</w:t>
      </w:r>
      <w:r>
        <w:rPr>
          <w:rFonts w:ascii="Times New Roman" w:hAnsi="Times New Roman" w:eastAsia="彩虹粗仿宋" w:cs="Times New Roman"/>
          <w:sz w:val="32"/>
          <w:szCs w:val="32"/>
        </w:rPr>
        <w:t>实现外呼生命周期闭环营销，数据全程不落地，提升数据安全，满足合规要求</w:t>
      </w:r>
      <w:r>
        <w:rPr>
          <w:rFonts w:hint="eastAsia" w:ascii="Times New Roman" w:hAnsi="Times New Roman" w:eastAsia="彩虹粗仿宋" w:cs="Times New Roman"/>
          <w:sz w:val="32"/>
          <w:szCs w:val="32"/>
        </w:rPr>
        <w:t>；二是</w:t>
      </w:r>
      <w:r>
        <w:rPr>
          <w:rFonts w:ascii="Times New Roman" w:hAnsi="Times New Roman" w:eastAsia="彩虹粗仿宋" w:cs="Times New Roman"/>
          <w:sz w:val="32"/>
          <w:szCs w:val="32"/>
        </w:rPr>
        <w:t>客户更精准。引入营销中心标签筛选，营销商机更精准，提升外呼成功率。系统可筛选已授权“安宁权”客户，减少客户投诉</w:t>
      </w:r>
      <w:r>
        <w:rPr>
          <w:rFonts w:hint="eastAsia" w:ascii="Times New Roman" w:hAnsi="Times New Roman" w:eastAsia="彩虹粗仿宋" w:cs="Times New Roman"/>
          <w:sz w:val="32"/>
          <w:szCs w:val="32"/>
        </w:rPr>
        <w:t>；三是</w:t>
      </w:r>
      <w:r>
        <w:rPr>
          <w:rFonts w:ascii="Times New Roman" w:hAnsi="Times New Roman" w:eastAsia="彩虹粗仿宋" w:cs="Times New Roman"/>
          <w:sz w:val="32"/>
          <w:szCs w:val="32"/>
        </w:rPr>
        <w:t>接通率更高。由省分行主牵头对接通讯运营商，由通讯运营商提供电话号码池服务和企业名片服务，解决以往外呼号码不统一、公信度低、接通率不高等问题</w:t>
      </w:r>
      <w:r>
        <w:rPr>
          <w:rFonts w:hint="eastAsia" w:ascii="Times New Roman" w:hAnsi="Times New Roman" w:eastAsia="彩虹粗仿宋" w:cs="Times New Roman"/>
          <w:sz w:val="32"/>
          <w:szCs w:val="32"/>
        </w:rPr>
        <w:t>；四是</w:t>
      </w:r>
      <w:r>
        <w:rPr>
          <w:rFonts w:ascii="Times New Roman" w:hAnsi="Times New Roman" w:eastAsia="彩虹粗仿宋" w:cs="Times New Roman"/>
          <w:sz w:val="32"/>
          <w:szCs w:val="32"/>
        </w:rPr>
        <w:t>质量管控更到位。主动商机执行后，可查看外呼详细记录，调听外呼录音，添加禁呼名单，有利于解决客户纠纷，提高客户服务质量</w:t>
      </w:r>
      <w:r>
        <w:rPr>
          <w:rFonts w:hint="eastAsia" w:ascii="Times New Roman" w:hAnsi="Times New Roman" w:eastAsia="彩虹粗仿宋" w:cs="Times New Roman"/>
          <w:sz w:val="32"/>
          <w:szCs w:val="32"/>
        </w:rPr>
        <w:t>；五是总行力推项目。总行关注并及时指导分行外呼模式及商机直拨通系统运营情况，通过线上、线下等方式组织外呼平台座谈会及现场讨论会支持各行外呼服务质量与效率提升。</w:t>
      </w:r>
    </w:p>
    <w:p>
      <w:pPr>
        <w:adjustRightInd w:val="0"/>
        <w:snapToGrid w:val="0"/>
        <w:spacing w:line="560" w:lineRule="exact"/>
        <w:ind w:firstLine="640" w:firstLineChars="200"/>
        <w:rPr>
          <w:rFonts w:ascii="彩虹粗仿宋" w:hAnsi="宋体" w:eastAsia="彩虹粗仿宋" w:cs="Times New Roman"/>
          <w:snapToGrid w:val="0"/>
          <w:kern w:val="0"/>
          <w:sz w:val="32"/>
          <w:szCs w:val="32"/>
        </w:rPr>
      </w:pPr>
      <w:r>
        <w:rPr>
          <w:rFonts w:hint="eastAsia" w:ascii="Times New Roman" w:hAnsi="Times New Roman" w:eastAsia="彩虹粗仿宋" w:cs="Times New Roman"/>
          <w:sz w:val="32"/>
          <w:szCs w:val="32"/>
        </w:rPr>
        <w:t>综上，我</w:t>
      </w:r>
      <w:r>
        <w:rPr>
          <w:rFonts w:hint="eastAsia" w:ascii="彩虹粗仿宋" w:hAnsi="Times New Roman" w:eastAsia="彩虹粗仿宋" w:cs="Times New Roman"/>
          <w:sz w:val="32"/>
          <w:szCs w:val="32"/>
        </w:rPr>
        <w:t>行拟在全行继续运用该产品，该产品的运行须采购电信运营商通信线路资源、电话号码及相关电信资源服务。具体需求如下：</w:t>
      </w:r>
    </w:p>
    <w:p>
      <w:pPr>
        <w:numPr>
          <w:ilvl w:val="0"/>
          <w:numId w:val="1"/>
        </w:numPr>
        <w:adjustRightInd w:val="0"/>
        <w:snapToGrid w:val="0"/>
        <w:spacing w:line="560" w:lineRule="exact"/>
        <w:ind w:left="1363" w:hanging="720"/>
        <w:rPr>
          <w:rFonts w:ascii="彩虹粗仿宋" w:hAnsi="宋体" w:eastAsia="彩虹粗仿宋" w:cs="Times New Roman"/>
          <w:b/>
          <w:snapToGrid w:val="0"/>
          <w:kern w:val="0"/>
          <w:sz w:val="32"/>
          <w:szCs w:val="32"/>
        </w:rPr>
      </w:pPr>
      <w:r>
        <w:rPr>
          <w:rFonts w:hint="eastAsia" w:ascii="彩虹粗仿宋" w:hAnsi="宋体" w:eastAsia="彩虹粗仿宋" w:cs="Times New Roman"/>
          <w:b/>
          <w:snapToGrid w:val="0"/>
          <w:kern w:val="0"/>
          <w:sz w:val="32"/>
          <w:szCs w:val="32"/>
        </w:rPr>
        <w:t>对候选供应商的要求</w:t>
      </w:r>
    </w:p>
    <w:p>
      <w:pPr>
        <w:adjustRightInd w:val="0"/>
        <w:snapToGrid w:val="0"/>
        <w:spacing w:line="560" w:lineRule="exact"/>
        <w:ind w:firstLine="707" w:firstLineChars="221"/>
        <w:rPr>
          <w:rFonts w:hint="eastAsia" w:ascii="彩虹粗仿宋" w:hAnsi="宋体" w:eastAsia="彩虹粗仿宋" w:cs="Times New Roman"/>
          <w:snapToGrid w:val="0"/>
          <w:color w:val="000000" w:themeColor="text1"/>
          <w:sz w:val="32"/>
          <w:szCs w:val="32"/>
        </w:rPr>
      </w:pPr>
      <w:r>
        <w:rPr>
          <w:rFonts w:hint="eastAsia" w:ascii="彩虹粗仿宋" w:hAnsi="宋体" w:eastAsia="彩虹粗仿宋" w:cs="Times New Roman"/>
          <w:snapToGrid w:val="0"/>
          <w:color w:val="000000" w:themeColor="text1"/>
          <w:sz w:val="32"/>
          <w:szCs w:val="32"/>
        </w:rPr>
        <w:t>在行业中规模实力较强的通信服务商，具有经营稳定性，能够提供稳定的电信线路资源、语音呼叫等通信服务能力。至少包括下列证明：</w:t>
      </w:r>
    </w:p>
    <w:p>
      <w:pPr>
        <w:adjustRightInd w:val="0"/>
        <w:snapToGrid w:val="0"/>
        <w:spacing w:line="560" w:lineRule="exact"/>
        <w:ind w:firstLine="707" w:firstLineChars="221"/>
        <w:rPr>
          <w:rFonts w:ascii="彩虹粗仿宋" w:hAnsi="宋体" w:eastAsia="彩虹粗仿宋" w:cs="Times New Roman"/>
          <w:snapToGrid w:val="0"/>
          <w:kern w:val="0"/>
          <w:sz w:val="32"/>
          <w:szCs w:val="32"/>
        </w:rPr>
      </w:pPr>
      <w:r>
        <w:rPr>
          <w:rFonts w:hint="eastAsia" w:ascii="彩虹粗仿宋" w:hAnsi="宋体" w:eastAsia="彩虹粗仿宋" w:cs="Times New Roman"/>
          <w:snapToGrid w:val="0"/>
          <w:kern w:val="0"/>
          <w:sz w:val="32"/>
          <w:szCs w:val="32"/>
        </w:rPr>
        <w:t>1.</w:t>
      </w:r>
      <w:r>
        <w:rPr>
          <w:rFonts w:hint="eastAsia" w:ascii="彩虹粗仿宋" w:hAnsi="宋体" w:eastAsia="彩虹粗仿宋" w:cs="Times New Roman"/>
          <w:snapToGrid w:val="0"/>
          <w:color w:val="000000" w:themeColor="text1"/>
          <w:sz w:val="32"/>
          <w:szCs w:val="32"/>
        </w:rPr>
        <w:t>具备独立法人资格，具有有效的营业执照、《基础电信业务经营许可证》、《增值电信业务经营许可证》；</w:t>
      </w:r>
    </w:p>
    <w:p>
      <w:pPr>
        <w:spacing w:line="520" w:lineRule="exact"/>
        <w:ind w:firstLine="640" w:firstLineChars="200"/>
        <w:rPr>
          <w:rFonts w:ascii="彩虹粗仿宋" w:hAnsi="宋体" w:eastAsia="彩虹粗仿宋" w:cs="Times New Roman"/>
          <w:snapToGrid w:val="0"/>
          <w:color w:val="000000" w:themeColor="text1"/>
          <w:sz w:val="32"/>
          <w:szCs w:val="32"/>
        </w:rPr>
      </w:pPr>
      <w:r>
        <w:rPr>
          <w:rFonts w:hint="eastAsia" w:ascii="彩虹粗仿宋" w:hAnsi="宋体" w:eastAsia="彩虹粗仿宋" w:cs="Times New Roman"/>
          <w:snapToGrid w:val="0"/>
          <w:color w:val="000000" w:themeColor="text1"/>
          <w:sz w:val="32"/>
          <w:szCs w:val="32"/>
        </w:rPr>
        <w:t>2.自2021年1月1日以来承接过银行同类项目（以合同签订日期为准，提供合同扫描件）;</w:t>
      </w:r>
    </w:p>
    <w:p>
      <w:pPr>
        <w:spacing w:line="520" w:lineRule="exact"/>
        <w:ind w:firstLine="640" w:firstLineChars="200"/>
        <w:rPr>
          <w:rFonts w:ascii="彩虹粗仿宋" w:hAnsi="等线" w:eastAsia="彩虹粗仿宋" w:cs="Times New Roman"/>
          <w:color w:val="000000"/>
          <w:sz w:val="32"/>
          <w:szCs w:val="32"/>
        </w:rPr>
      </w:pPr>
      <w:r>
        <w:rPr>
          <w:rFonts w:hint="eastAsia" w:ascii="彩虹粗仿宋" w:hAnsi="宋体" w:eastAsia="彩虹粗仿宋" w:cs="Times New Roman"/>
          <w:snapToGrid w:val="0"/>
          <w:color w:val="000000" w:themeColor="text1"/>
          <w:sz w:val="32"/>
          <w:szCs w:val="32"/>
        </w:rPr>
        <w:t>3.财务状况良好，提供2020年-2022年经审计的财务报告（新成立企业从成立日计算）；</w:t>
      </w:r>
    </w:p>
    <w:p>
      <w:pPr>
        <w:spacing w:line="520" w:lineRule="exact"/>
        <w:ind w:firstLine="640" w:firstLineChars="200"/>
        <w:rPr>
          <w:rFonts w:ascii="彩虹粗仿宋" w:hAnsi="宋体" w:eastAsia="彩虹粗仿宋" w:cs="Times New Roman"/>
          <w:snapToGrid w:val="0"/>
          <w:color w:val="000000" w:themeColor="text1"/>
          <w:sz w:val="32"/>
          <w:szCs w:val="32"/>
        </w:rPr>
      </w:pPr>
      <w:r>
        <w:rPr>
          <w:rFonts w:hint="eastAsia" w:ascii="彩虹粗仿宋" w:hAnsi="宋体" w:eastAsia="彩虹粗仿宋" w:cs="Times New Roman"/>
          <w:snapToGrid w:val="0"/>
          <w:color w:val="000000" w:themeColor="text1"/>
          <w:sz w:val="32"/>
          <w:szCs w:val="32"/>
        </w:rPr>
        <w:t>4.信誉要求：投标供应商当前未被“信用中国”网站列入重大税收违法失信主体；未被“中国执行信息公开网”列入失信被执行人名单；未被“中国政府采购网”列入政府采购严重违法失信行为记录名单；未被“国家企业信用信息公示系统”网站列入严重违法失信名单（黑名单）。查询时间须在本项目投标邀请书发布日期之后，投标文件中提供查询截图。以招标人或招标代理机构在开标当日查询为准。</w:t>
      </w:r>
    </w:p>
    <w:p>
      <w:pPr>
        <w:spacing w:line="520" w:lineRule="exact"/>
        <w:ind w:firstLine="640" w:firstLineChars="200"/>
        <w:rPr>
          <w:rFonts w:ascii="彩虹粗仿宋" w:hAnsi="宋体" w:eastAsia="彩虹粗仿宋" w:cs="Times New Roman"/>
          <w:snapToGrid w:val="0"/>
          <w:color w:val="000000" w:themeColor="text1"/>
          <w:sz w:val="32"/>
          <w:szCs w:val="32"/>
        </w:rPr>
      </w:pPr>
      <w:r>
        <w:rPr>
          <w:rFonts w:hint="eastAsia" w:ascii="彩虹粗仿宋" w:hAnsi="宋体" w:eastAsia="彩虹粗仿宋" w:cs="Times New Roman"/>
          <w:snapToGrid w:val="0"/>
          <w:color w:val="000000" w:themeColor="text1"/>
          <w:sz w:val="32"/>
          <w:szCs w:val="32"/>
        </w:rPr>
        <w:t>查询网址：</w:t>
      </w:r>
    </w:p>
    <w:p>
      <w:pPr>
        <w:spacing w:line="520" w:lineRule="exact"/>
        <w:ind w:firstLine="640" w:firstLineChars="200"/>
        <w:rPr>
          <w:rFonts w:ascii="彩虹粗仿宋" w:hAnsi="宋体" w:eastAsia="彩虹粗仿宋" w:cs="Times New Roman"/>
          <w:snapToGrid w:val="0"/>
          <w:color w:val="000000" w:themeColor="text1"/>
          <w:sz w:val="32"/>
          <w:szCs w:val="32"/>
        </w:rPr>
      </w:pPr>
      <w:r>
        <w:rPr>
          <w:rFonts w:hint="eastAsia" w:ascii="彩虹粗仿宋" w:hAnsi="宋体" w:eastAsia="彩虹粗仿宋" w:cs="Times New Roman"/>
          <w:snapToGrid w:val="0"/>
          <w:color w:val="000000" w:themeColor="text1"/>
          <w:sz w:val="32"/>
          <w:szCs w:val="32"/>
        </w:rPr>
        <w:t>（1）重大税收违法失信主体名单查询（https://www.creditchina.gov.cn/xinyongfuwu/zhongdashuishouweifaanjian/）；</w:t>
      </w:r>
    </w:p>
    <w:p>
      <w:pPr>
        <w:spacing w:line="520" w:lineRule="exact"/>
        <w:ind w:firstLine="640" w:firstLineChars="200"/>
        <w:rPr>
          <w:rFonts w:ascii="彩虹粗仿宋" w:hAnsi="宋体" w:eastAsia="彩虹粗仿宋" w:cs="Times New Roman"/>
          <w:snapToGrid w:val="0"/>
          <w:color w:val="000000" w:themeColor="text1"/>
          <w:sz w:val="32"/>
          <w:szCs w:val="32"/>
        </w:rPr>
      </w:pPr>
      <w:r>
        <w:rPr>
          <w:rFonts w:hint="eastAsia" w:ascii="彩虹粗仿宋" w:hAnsi="宋体" w:eastAsia="彩虹粗仿宋" w:cs="Times New Roman"/>
          <w:snapToGrid w:val="0"/>
          <w:color w:val="000000" w:themeColor="text1"/>
          <w:sz w:val="32"/>
          <w:szCs w:val="32"/>
        </w:rPr>
        <w:t>（2）全国法院失信被执行人查询（法人或其他组织）（http://zxgk.court.gov.cn/shixin/）；</w:t>
      </w:r>
    </w:p>
    <w:p>
      <w:pPr>
        <w:spacing w:line="520" w:lineRule="exact"/>
        <w:ind w:firstLine="640" w:firstLineChars="200"/>
        <w:rPr>
          <w:rFonts w:ascii="彩虹粗仿宋" w:hAnsi="宋体" w:eastAsia="彩虹粗仿宋" w:cs="Times New Roman"/>
          <w:snapToGrid w:val="0"/>
          <w:color w:val="000000" w:themeColor="text1"/>
          <w:sz w:val="32"/>
          <w:szCs w:val="32"/>
        </w:rPr>
      </w:pPr>
      <w:r>
        <w:rPr>
          <w:rFonts w:hint="eastAsia" w:ascii="彩虹粗仿宋" w:hAnsi="宋体" w:eastAsia="彩虹粗仿宋" w:cs="Times New Roman"/>
          <w:snapToGrid w:val="0"/>
          <w:color w:val="000000" w:themeColor="text1"/>
          <w:sz w:val="32"/>
          <w:szCs w:val="32"/>
        </w:rPr>
        <w:t>（3）政府采购严重违法失信行为记录名单查询（http://www.ccgp.gov.cn/search/cr/）；</w:t>
      </w:r>
    </w:p>
    <w:p>
      <w:pPr>
        <w:spacing w:line="520" w:lineRule="exact"/>
        <w:ind w:firstLine="640" w:firstLineChars="200"/>
        <w:rPr>
          <w:rFonts w:ascii="彩虹粗仿宋" w:hAnsi="宋体" w:eastAsia="彩虹粗仿宋" w:cs="Times New Roman"/>
          <w:snapToGrid w:val="0"/>
          <w:color w:val="000000" w:themeColor="text1"/>
          <w:sz w:val="32"/>
          <w:szCs w:val="32"/>
        </w:rPr>
      </w:pPr>
      <w:r>
        <w:rPr>
          <w:rFonts w:hint="eastAsia" w:ascii="彩虹粗仿宋" w:hAnsi="宋体" w:eastAsia="彩虹粗仿宋" w:cs="Times New Roman"/>
          <w:snapToGrid w:val="0"/>
          <w:color w:val="000000" w:themeColor="text1"/>
          <w:sz w:val="32"/>
          <w:szCs w:val="32"/>
        </w:rPr>
        <w:t>（4）严重违法失信名单查询（http://www.gsxt.gov.cn/index.html）。</w:t>
      </w:r>
    </w:p>
    <w:p>
      <w:pPr>
        <w:adjustRightInd w:val="0"/>
        <w:snapToGrid w:val="0"/>
        <w:spacing w:line="560" w:lineRule="exact"/>
        <w:ind w:firstLine="707" w:firstLineChars="221"/>
        <w:rPr>
          <w:rFonts w:ascii="彩虹粗仿宋" w:hAnsi="宋体" w:eastAsia="彩虹粗仿宋" w:cs="Times New Roman"/>
          <w:snapToGrid w:val="0"/>
          <w:kern w:val="0"/>
          <w:sz w:val="32"/>
          <w:szCs w:val="32"/>
        </w:rPr>
      </w:pPr>
      <w:r>
        <w:rPr>
          <w:rFonts w:hint="eastAsia" w:ascii="彩虹粗仿宋" w:hAnsi="宋体" w:eastAsia="彩虹粗仿宋" w:cs="Times New Roman"/>
          <w:snapToGrid w:val="0"/>
          <w:color w:val="000000" w:themeColor="text1"/>
          <w:sz w:val="32"/>
          <w:szCs w:val="32"/>
        </w:rPr>
        <w:t>5.本项目不接受联合体投标，不允许转包和分包。</w:t>
      </w:r>
    </w:p>
    <w:p>
      <w:pPr>
        <w:numPr>
          <w:ilvl w:val="0"/>
          <w:numId w:val="1"/>
        </w:numPr>
        <w:adjustRightInd w:val="0"/>
        <w:snapToGrid w:val="0"/>
        <w:spacing w:line="560" w:lineRule="exact"/>
        <w:ind w:left="1363" w:hanging="720"/>
        <w:rPr>
          <w:rFonts w:ascii="彩虹粗仿宋" w:hAnsi="宋体" w:eastAsia="彩虹粗仿宋" w:cs="Times New Roman"/>
          <w:b/>
          <w:snapToGrid w:val="0"/>
          <w:kern w:val="0"/>
          <w:sz w:val="32"/>
          <w:szCs w:val="32"/>
        </w:rPr>
      </w:pPr>
      <w:r>
        <w:rPr>
          <w:rFonts w:hint="eastAsia" w:ascii="彩虹粗仿宋" w:hAnsi="宋体" w:eastAsia="彩虹粗仿宋" w:cs="Times New Roman"/>
          <w:b/>
          <w:snapToGrid w:val="0"/>
          <w:kern w:val="0"/>
          <w:sz w:val="32"/>
          <w:szCs w:val="32"/>
        </w:rPr>
        <w:t>服务基本内容</w:t>
      </w:r>
    </w:p>
    <w:p>
      <w:pPr>
        <w:adjustRightInd w:val="0"/>
        <w:snapToGrid w:val="0"/>
        <w:spacing w:line="560" w:lineRule="exact"/>
        <w:ind w:firstLine="640" w:firstLineChars="200"/>
        <w:rPr>
          <w:rFonts w:ascii="彩虹粗仿宋" w:hAnsi="宋体" w:eastAsia="彩虹粗仿宋" w:cs="Times New Roman"/>
          <w:snapToGrid w:val="0"/>
          <w:kern w:val="0"/>
          <w:sz w:val="32"/>
          <w:szCs w:val="32"/>
        </w:rPr>
      </w:pPr>
      <w:r>
        <w:rPr>
          <w:rFonts w:hint="eastAsia" w:ascii="彩虹粗仿宋" w:hAnsi="宋体" w:eastAsia="彩虹粗仿宋" w:cs="Times New Roman"/>
          <w:snapToGrid w:val="0"/>
          <w:kern w:val="0"/>
          <w:sz w:val="32"/>
          <w:szCs w:val="32"/>
        </w:rPr>
        <w:t>语音通信线路资源、服务电话号码及语音通讯、企业来电名片（或相似的电信服务功能）及配套系统的电信服务。通过服务供应商线路资源对接建总行后台呼叫系统，向建设银行河南省分行各地市分（支）行提供客户服务电话号码、语音呼叫以及企业来电名片等通信功能服务。具体如下：</w:t>
      </w:r>
    </w:p>
    <w:p>
      <w:pPr>
        <w:widowControl w:val="0"/>
        <w:adjustRightInd w:val="0"/>
        <w:snapToGrid w:val="0"/>
        <w:spacing w:line="560" w:lineRule="exact"/>
        <w:ind w:firstLine="707" w:firstLineChars="221"/>
        <w:jc w:val="both"/>
        <w:rPr>
          <w:rFonts w:ascii="彩虹粗仿宋" w:hAnsi="宋体" w:eastAsia="彩虹粗仿宋" w:cs="Times New Roman"/>
          <w:snapToGrid w:val="0"/>
          <w:kern w:val="0"/>
          <w:sz w:val="32"/>
          <w:szCs w:val="32"/>
          <w:lang w:val="en-US" w:eastAsia="zh-CN" w:bidi="ar-SA"/>
        </w:rPr>
      </w:pPr>
      <w:r>
        <w:rPr>
          <w:rFonts w:hint="eastAsia" w:ascii="彩虹粗仿宋" w:hAnsi="宋体" w:eastAsia="彩虹粗仿宋" w:cs="Times New Roman"/>
          <w:snapToGrid w:val="0"/>
          <w:kern w:val="0"/>
          <w:sz w:val="32"/>
          <w:szCs w:val="32"/>
          <w:lang w:val="en-US" w:eastAsia="zh-CN" w:bidi="ar-SA"/>
        </w:rPr>
        <w:t>供应商稳定提供河南省各个地市当地电话号码池，由我行人员在我行系统发出呼叫指令后，通信服务供应商后台通过技术手段呼叫客户电话，接通后建立高质量的语音连接。向客户展示统一的外显服务电话号码（并能提供每个地市备用电话号码）。每个服务电话号码应同时支持至少100人并发拨打和单日拨打1000次以上的呼叫，能在拨打客户电话时通过企业来电名片显示我行信息。企业来电名片显示的具体内容由牵头管理部门审核，需经部门负责人审核同意后，按合同约定的方式和流程，授权服务供应商进行新增、修改和删除。</w:t>
      </w:r>
    </w:p>
    <w:p>
      <w:pPr>
        <w:numPr>
          <w:ilvl w:val="0"/>
          <w:numId w:val="1"/>
        </w:numPr>
        <w:adjustRightInd w:val="0"/>
        <w:snapToGrid w:val="0"/>
        <w:spacing w:line="560" w:lineRule="exact"/>
        <w:ind w:left="1363" w:hanging="720"/>
        <w:rPr>
          <w:rFonts w:ascii="彩虹粗仿宋" w:hAnsi="宋体" w:eastAsia="彩虹粗仿宋" w:cs="Times New Roman"/>
          <w:b/>
          <w:snapToGrid w:val="0"/>
          <w:kern w:val="0"/>
          <w:sz w:val="32"/>
          <w:szCs w:val="32"/>
        </w:rPr>
      </w:pPr>
      <w:r>
        <w:rPr>
          <w:rFonts w:hint="eastAsia" w:ascii="彩虹粗仿宋" w:hAnsi="宋体" w:eastAsia="彩虹粗仿宋" w:cs="Times New Roman"/>
          <w:b/>
          <w:snapToGrid w:val="0"/>
          <w:kern w:val="0"/>
          <w:sz w:val="32"/>
          <w:szCs w:val="32"/>
        </w:rPr>
        <w:t>服务团队要求</w:t>
      </w:r>
    </w:p>
    <w:p>
      <w:pPr>
        <w:adjustRightInd w:val="0"/>
        <w:snapToGrid w:val="0"/>
        <w:spacing w:line="560" w:lineRule="exact"/>
        <w:ind w:firstLine="640" w:firstLineChars="200"/>
        <w:rPr>
          <w:rFonts w:ascii="彩虹粗仿宋" w:hAnsi="宋体" w:eastAsia="彩虹粗仿宋" w:cs="Times New Roman"/>
          <w:b/>
          <w:snapToGrid w:val="0"/>
          <w:kern w:val="0"/>
          <w:sz w:val="32"/>
          <w:szCs w:val="32"/>
          <w:highlight w:val="yellow"/>
        </w:rPr>
      </w:pPr>
      <w:r>
        <w:rPr>
          <w:rFonts w:hint="eastAsia" w:ascii="彩虹粗仿宋" w:hAnsi="宋体" w:eastAsia="彩虹粗仿宋" w:cs="Times New Roman"/>
          <w:snapToGrid w:val="0"/>
          <w:kern w:val="0"/>
          <w:sz w:val="32"/>
          <w:szCs w:val="32"/>
        </w:rPr>
        <w:t>供应商为我行配置专门对口联系人，直接对接我行相关服务需求，至少包括1名客户经理和1名及以上有胜任能力的技术经理或技术专员负责建设银行的线路建设与运维工作。</w:t>
      </w:r>
    </w:p>
    <w:p>
      <w:pPr>
        <w:numPr>
          <w:ilvl w:val="0"/>
          <w:numId w:val="1"/>
        </w:numPr>
        <w:adjustRightInd w:val="0"/>
        <w:snapToGrid w:val="0"/>
        <w:spacing w:line="560" w:lineRule="exact"/>
        <w:ind w:left="1363" w:hanging="720"/>
        <w:rPr>
          <w:rFonts w:ascii="彩虹粗仿宋" w:hAnsi="宋体" w:eastAsia="彩虹粗仿宋" w:cs="Times New Roman"/>
          <w:b/>
          <w:snapToGrid w:val="0"/>
          <w:kern w:val="0"/>
          <w:sz w:val="32"/>
          <w:szCs w:val="32"/>
        </w:rPr>
      </w:pPr>
      <w:r>
        <w:rPr>
          <w:rFonts w:hint="eastAsia" w:ascii="彩虹粗仿宋" w:hAnsi="宋体" w:eastAsia="彩虹粗仿宋" w:cs="Times New Roman"/>
          <w:b/>
          <w:snapToGrid w:val="0"/>
          <w:kern w:val="0"/>
          <w:sz w:val="32"/>
          <w:szCs w:val="32"/>
        </w:rPr>
        <w:t>服务质量要求</w:t>
      </w:r>
    </w:p>
    <w:p>
      <w:pPr>
        <w:widowControl w:val="0"/>
        <w:adjustRightInd w:val="0"/>
        <w:snapToGrid w:val="0"/>
        <w:spacing w:line="560" w:lineRule="exact"/>
        <w:ind w:firstLine="707" w:firstLineChars="221"/>
        <w:jc w:val="both"/>
        <w:rPr>
          <w:rFonts w:ascii="彩虹粗仿宋" w:hAnsi="宋体" w:eastAsia="彩虹粗仿宋" w:cs="Times New Roman"/>
          <w:snapToGrid w:val="0"/>
          <w:kern w:val="0"/>
          <w:sz w:val="32"/>
          <w:szCs w:val="32"/>
          <w:lang w:val="en-US" w:eastAsia="zh-CN" w:bidi="ar-SA"/>
        </w:rPr>
      </w:pPr>
      <w:r>
        <w:rPr>
          <w:rFonts w:hint="eastAsia" w:ascii="彩虹粗仿宋" w:hAnsi="Times New Roman" w:eastAsia="彩虹粗仿宋" w:cs="Times New Roman"/>
          <w:kern w:val="2"/>
          <w:sz w:val="32"/>
          <w:szCs w:val="32"/>
          <w:lang w:val="en-US" w:eastAsia="zh-CN" w:bidi="ar-SA"/>
        </w:rPr>
        <w:t>商机直拨通所需</w:t>
      </w:r>
      <w:r>
        <w:rPr>
          <w:rFonts w:hint="eastAsia" w:ascii="彩虹粗仿宋" w:hAnsi="宋体" w:eastAsia="彩虹粗仿宋" w:cs="Times New Roman"/>
          <w:snapToGrid w:val="0"/>
          <w:kern w:val="0"/>
          <w:sz w:val="32"/>
          <w:szCs w:val="32"/>
          <w:lang w:val="en-US" w:eastAsia="zh-CN" w:bidi="ar-SA"/>
        </w:rPr>
        <w:t>具体的服务标准如下：</w:t>
      </w:r>
    </w:p>
    <w:p>
      <w:pPr>
        <w:adjustRightInd w:val="0"/>
        <w:snapToGrid w:val="0"/>
        <w:spacing w:line="560" w:lineRule="exact"/>
        <w:ind w:firstLine="707" w:firstLineChars="221"/>
        <w:rPr>
          <w:rFonts w:ascii="彩虹粗仿宋" w:hAnsi="宋体" w:eastAsia="彩虹粗仿宋" w:cs="Times New Roman"/>
          <w:snapToGrid w:val="0"/>
          <w:kern w:val="0"/>
          <w:sz w:val="32"/>
          <w:szCs w:val="32"/>
        </w:rPr>
      </w:pPr>
      <w:r>
        <w:rPr>
          <w:rFonts w:hint="eastAsia" w:ascii="彩虹粗仿宋" w:hAnsi="宋体" w:eastAsia="彩虹粗仿宋" w:cs="Times New Roman"/>
          <w:snapToGrid w:val="0"/>
          <w:kern w:val="0"/>
          <w:sz w:val="32"/>
          <w:szCs w:val="32"/>
        </w:rPr>
        <w:t>1.电信运营商提供的号码及线路等资源，保持各地市号码池数量的稳定，若出现号码不可用状态可及时补充。平台服务及线路接入运行稳定、可靠、安全，要求话务清晰、流畅，外呼客户电话触达率达到</w:t>
      </w:r>
      <w:r>
        <w:rPr>
          <w:rFonts w:ascii="彩虹粗仿宋" w:hAnsi="宋体" w:eastAsia="彩虹粗仿宋" w:cs="Times New Roman"/>
          <w:snapToGrid w:val="0"/>
          <w:kern w:val="0"/>
          <w:sz w:val="32"/>
          <w:szCs w:val="32"/>
        </w:rPr>
        <w:t>99%</w:t>
      </w:r>
      <w:r>
        <w:rPr>
          <w:rFonts w:hint="eastAsia" w:ascii="彩虹粗仿宋" w:hAnsi="宋体" w:eastAsia="彩虹粗仿宋" w:cs="Times New Roman"/>
          <w:snapToGrid w:val="0"/>
          <w:kern w:val="0"/>
          <w:sz w:val="32"/>
          <w:szCs w:val="32"/>
        </w:rPr>
        <w:t>以上。</w:t>
      </w:r>
    </w:p>
    <w:p>
      <w:pPr>
        <w:adjustRightInd w:val="0"/>
        <w:snapToGrid w:val="0"/>
        <w:spacing w:line="560" w:lineRule="exact"/>
        <w:ind w:firstLine="707" w:firstLineChars="221"/>
        <w:rPr>
          <w:rFonts w:ascii="彩虹粗仿宋" w:hAnsi="宋体" w:eastAsia="彩虹粗仿宋" w:cs="Times New Roman"/>
          <w:snapToGrid w:val="0"/>
          <w:kern w:val="0"/>
          <w:sz w:val="32"/>
          <w:szCs w:val="32"/>
        </w:rPr>
      </w:pPr>
      <w:r>
        <w:rPr>
          <w:rFonts w:hint="eastAsia" w:ascii="彩虹粗仿宋" w:hAnsi="宋体" w:eastAsia="彩虹粗仿宋" w:cs="Times New Roman"/>
          <w:snapToGrid w:val="0"/>
          <w:kern w:val="0"/>
          <w:sz w:val="32"/>
          <w:szCs w:val="32"/>
        </w:rPr>
        <w:t>2.能遵循国家有关的信息安全管理要求，保证客户的通话信息安全。</w:t>
      </w:r>
    </w:p>
    <w:p>
      <w:pPr>
        <w:adjustRightInd w:val="0"/>
        <w:snapToGrid w:val="0"/>
        <w:spacing w:line="560" w:lineRule="exact"/>
        <w:ind w:firstLine="707" w:firstLineChars="221"/>
        <w:rPr>
          <w:rFonts w:ascii="彩虹粗仿宋" w:hAnsi="宋体" w:eastAsia="彩虹粗仿宋" w:cs="Times New Roman"/>
          <w:snapToGrid w:val="0"/>
          <w:kern w:val="0"/>
          <w:sz w:val="32"/>
          <w:szCs w:val="32"/>
        </w:rPr>
      </w:pPr>
      <w:r>
        <w:rPr>
          <w:rFonts w:hint="eastAsia" w:ascii="彩虹粗仿宋" w:hAnsi="宋体" w:eastAsia="彩虹粗仿宋" w:cs="Times New Roman"/>
          <w:snapToGrid w:val="0"/>
          <w:kern w:val="0"/>
          <w:sz w:val="32"/>
          <w:szCs w:val="32"/>
        </w:rPr>
        <w:t>3.根据我行项目实施计划，保证按规定的日期提供服务。</w:t>
      </w:r>
    </w:p>
    <w:p>
      <w:pPr>
        <w:adjustRightInd w:val="0"/>
        <w:snapToGrid w:val="0"/>
        <w:spacing w:line="560" w:lineRule="exact"/>
        <w:ind w:firstLine="707" w:firstLineChars="221"/>
        <w:rPr>
          <w:rFonts w:ascii="彩虹粗仿宋" w:hAnsi="宋体" w:eastAsia="彩虹粗仿宋" w:cs="Times New Roman"/>
          <w:snapToGrid w:val="0"/>
          <w:kern w:val="0"/>
          <w:sz w:val="32"/>
          <w:szCs w:val="32"/>
        </w:rPr>
      </w:pPr>
      <w:r>
        <w:rPr>
          <w:rFonts w:hint="eastAsia" w:ascii="彩虹粗仿宋" w:hAnsi="宋体" w:eastAsia="彩虹粗仿宋" w:cs="Times New Roman"/>
          <w:snapToGrid w:val="0"/>
          <w:kern w:val="0"/>
          <w:sz w:val="32"/>
          <w:szCs w:val="32"/>
        </w:rPr>
        <w:t>4.供应商应提供属地7*24小时售后响应支持服务，供应商提供的通信线路单次障碍恢复时间不超过2小时，线路的月累计中断时间不超过4小时。对我行服务支持响应时间应在2小时内进行反馈并解决问题；非不可抗力超过2小时无法解决的，应提供说明。</w:t>
      </w:r>
    </w:p>
    <w:p>
      <w:pPr>
        <w:adjustRightInd w:val="0"/>
        <w:snapToGrid w:val="0"/>
        <w:spacing w:line="560" w:lineRule="exact"/>
        <w:ind w:firstLine="707" w:firstLineChars="221"/>
        <w:rPr>
          <w:rFonts w:ascii="彩虹粗仿宋" w:hAnsi="宋体" w:eastAsia="彩虹粗仿宋" w:cs="Times New Roman"/>
          <w:snapToGrid w:val="0"/>
          <w:kern w:val="0"/>
          <w:sz w:val="32"/>
          <w:szCs w:val="32"/>
        </w:rPr>
      </w:pPr>
      <w:r>
        <w:rPr>
          <w:rFonts w:hint="eastAsia" w:ascii="彩虹粗仿宋" w:hAnsi="宋体" w:eastAsia="彩虹粗仿宋" w:cs="Times New Roman"/>
          <w:snapToGrid w:val="0"/>
          <w:kern w:val="0"/>
          <w:sz w:val="32"/>
          <w:szCs w:val="32"/>
        </w:rPr>
        <w:t>5.企业名片（或类似功能）适配率要求支持三网号码，同时支持市场</w:t>
      </w:r>
      <w:r>
        <w:rPr>
          <w:rFonts w:ascii="彩虹粗仿宋" w:hAnsi="宋体" w:eastAsia="彩虹粗仿宋" w:cs="Times New Roman"/>
          <w:snapToGrid w:val="0"/>
          <w:kern w:val="0"/>
          <w:sz w:val="32"/>
          <w:szCs w:val="32"/>
        </w:rPr>
        <w:t>95%</w:t>
      </w:r>
      <w:r>
        <w:rPr>
          <w:rFonts w:hint="eastAsia" w:ascii="彩虹粗仿宋" w:hAnsi="宋体" w:eastAsia="彩虹粗仿宋" w:cs="Times New Roman"/>
          <w:snapToGrid w:val="0"/>
          <w:kern w:val="0"/>
          <w:sz w:val="32"/>
          <w:szCs w:val="32"/>
        </w:rPr>
        <w:t>以上手机机型。</w:t>
      </w:r>
    </w:p>
    <w:p>
      <w:pPr>
        <w:adjustRightInd w:val="0"/>
        <w:snapToGrid w:val="0"/>
        <w:spacing w:line="560" w:lineRule="exact"/>
        <w:ind w:firstLine="707" w:firstLineChars="221"/>
        <w:rPr>
          <w:rFonts w:ascii="彩虹粗仿宋" w:hAnsi="宋体" w:eastAsia="彩虹粗仿宋" w:cs="Times New Roman"/>
          <w:snapToGrid w:val="0"/>
          <w:kern w:val="0"/>
          <w:sz w:val="32"/>
          <w:szCs w:val="32"/>
        </w:rPr>
      </w:pPr>
      <w:r>
        <w:rPr>
          <w:rFonts w:hint="eastAsia" w:ascii="彩虹粗仿宋" w:hAnsi="宋体" w:eastAsia="彩虹粗仿宋" w:cs="Times New Roman"/>
          <w:snapToGrid w:val="0"/>
          <w:kern w:val="0"/>
          <w:sz w:val="32"/>
          <w:szCs w:val="32"/>
        </w:rPr>
        <w:t>6.省内属地号码外显，省内</w:t>
      </w:r>
      <w:r>
        <w:rPr>
          <w:rFonts w:ascii="彩虹粗仿宋" w:hAnsi="宋体" w:eastAsia="彩虹粗仿宋" w:cs="Times New Roman"/>
          <w:snapToGrid w:val="0"/>
          <w:kern w:val="0"/>
          <w:sz w:val="32"/>
          <w:szCs w:val="32"/>
        </w:rPr>
        <w:t>18</w:t>
      </w:r>
      <w:r>
        <w:rPr>
          <w:rFonts w:hint="eastAsia" w:ascii="彩虹粗仿宋" w:hAnsi="宋体" w:eastAsia="彩虹粗仿宋" w:cs="Times New Roman"/>
          <w:snapToGrid w:val="0"/>
          <w:kern w:val="0"/>
          <w:sz w:val="32"/>
          <w:szCs w:val="32"/>
        </w:rPr>
        <w:t>个地市覆盖率</w:t>
      </w:r>
      <w:r>
        <w:rPr>
          <w:rFonts w:ascii="彩虹粗仿宋" w:hAnsi="宋体" w:eastAsia="彩虹粗仿宋" w:cs="Times New Roman"/>
          <w:snapToGrid w:val="0"/>
          <w:kern w:val="0"/>
          <w:sz w:val="32"/>
          <w:szCs w:val="32"/>
        </w:rPr>
        <w:t>100%</w:t>
      </w:r>
      <w:r>
        <w:rPr>
          <w:rFonts w:hint="eastAsia" w:ascii="彩虹粗仿宋" w:hAnsi="宋体" w:eastAsia="彩虹粗仿宋" w:cs="Times New Roman"/>
          <w:snapToGrid w:val="0"/>
          <w:kern w:val="0"/>
          <w:sz w:val="32"/>
          <w:szCs w:val="32"/>
        </w:rPr>
        <w:t>。</w:t>
      </w:r>
    </w:p>
    <w:p>
      <w:pPr>
        <w:adjustRightInd w:val="0"/>
        <w:snapToGrid w:val="0"/>
        <w:spacing w:line="560" w:lineRule="exact"/>
        <w:ind w:firstLine="707" w:firstLineChars="221"/>
        <w:rPr>
          <w:rFonts w:ascii="彩虹粗仿宋" w:hAnsi="宋体" w:eastAsia="彩虹粗仿宋" w:cs="Times New Roman"/>
          <w:snapToGrid w:val="0"/>
          <w:kern w:val="0"/>
          <w:sz w:val="32"/>
          <w:szCs w:val="32"/>
        </w:rPr>
      </w:pPr>
      <w:r>
        <w:rPr>
          <w:rFonts w:hint="eastAsia" w:ascii="彩虹粗仿宋" w:hAnsi="宋体" w:eastAsia="彩虹粗仿宋" w:cs="Times New Roman"/>
          <w:snapToGrid w:val="0"/>
          <w:kern w:val="0"/>
          <w:sz w:val="32"/>
          <w:szCs w:val="32"/>
        </w:rPr>
        <w:t>7.供应商因进行线路检修、设备搬迁、工程割接、网络软件升级等可预见原因,影响采购方使用的,应提前48小时通知采购方,并尽量安排在采购方业务空闲时进行。对不可避免的影响,双方应提前协商, 入选公司需尽量做好线路等服务保障工作。</w:t>
      </w:r>
    </w:p>
    <w:p>
      <w:pPr>
        <w:adjustRightInd w:val="0"/>
        <w:snapToGrid w:val="0"/>
        <w:spacing w:line="560" w:lineRule="exact"/>
        <w:ind w:firstLine="707" w:firstLineChars="221"/>
        <w:rPr>
          <w:rFonts w:ascii="彩虹粗仿宋" w:hAnsi="宋体" w:eastAsia="彩虹粗仿宋" w:cs="Times New Roman"/>
          <w:snapToGrid w:val="0"/>
          <w:kern w:val="0"/>
          <w:sz w:val="32"/>
          <w:szCs w:val="32"/>
        </w:rPr>
      </w:pPr>
      <w:r>
        <w:rPr>
          <w:rFonts w:hint="eastAsia" w:ascii="彩虹粗仿宋" w:hAnsi="宋体" w:eastAsia="彩虹粗仿宋" w:cs="Times New Roman"/>
          <w:snapToGrid w:val="0"/>
          <w:kern w:val="0"/>
          <w:sz w:val="32"/>
          <w:szCs w:val="32"/>
        </w:rPr>
        <w:t>具体技术服务要求见下表。</w:t>
      </w:r>
    </w:p>
    <w:tbl>
      <w:tblPr>
        <w:tblStyle w:val="2"/>
        <w:tblW w:w="8647" w:type="dxa"/>
        <w:tblInd w:w="108" w:type="dxa"/>
        <w:tblLayout w:type="autofit"/>
        <w:tblCellMar>
          <w:top w:w="0" w:type="dxa"/>
          <w:left w:w="108" w:type="dxa"/>
          <w:bottom w:w="0" w:type="dxa"/>
          <w:right w:w="108" w:type="dxa"/>
        </w:tblCellMar>
      </w:tblPr>
      <w:tblGrid>
        <w:gridCol w:w="1985"/>
        <w:gridCol w:w="6662"/>
      </w:tblGrid>
      <w:tr>
        <w:tblPrEx>
          <w:tblCellMar>
            <w:top w:w="0" w:type="dxa"/>
            <w:left w:w="108" w:type="dxa"/>
            <w:bottom w:w="0" w:type="dxa"/>
            <w:right w:w="108" w:type="dxa"/>
          </w:tblCellMar>
        </w:tblPrEx>
        <w:trPr>
          <w:trHeight w:val="841" w:hRule="atLeast"/>
        </w:trPr>
        <w:tc>
          <w:tcPr>
            <w:tcW w:w="198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彩虹粗仿宋" w:hAnsi="宋体" w:eastAsia="彩虹粗仿宋" w:cs="宋体"/>
                <w:b/>
                <w:color w:val="000000"/>
                <w:kern w:val="0"/>
                <w:sz w:val="24"/>
                <w:szCs w:val="24"/>
              </w:rPr>
            </w:pPr>
            <w:r>
              <w:rPr>
                <w:rFonts w:hint="eastAsia" w:ascii="彩虹粗仿宋" w:hAnsi="宋体" w:eastAsia="彩虹粗仿宋" w:cs="宋体"/>
                <w:b/>
                <w:color w:val="000000"/>
                <w:kern w:val="0"/>
                <w:sz w:val="24"/>
                <w:szCs w:val="24"/>
              </w:rPr>
              <w:t>要求名称</w:t>
            </w:r>
          </w:p>
        </w:tc>
        <w:tc>
          <w:tcPr>
            <w:tcW w:w="6662"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彩虹粗仿宋" w:hAnsi="宋体" w:eastAsia="彩虹粗仿宋" w:cs="宋体"/>
                <w:b/>
                <w:color w:val="000000"/>
                <w:kern w:val="0"/>
                <w:sz w:val="24"/>
                <w:szCs w:val="24"/>
              </w:rPr>
            </w:pPr>
            <w:r>
              <w:rPr>
                <w:rFonts w:hint="eastAsia" w:ascii="彩虹粗仿宋" w:hAnsi="宋体" w:eastAsia="彩虹粗仿宋" w:cs="宋体"/>
                <w:b/>
                <w:color w:val="000000"/>
                <w:kern w:val="0"/>
                <w:sz w:val="24"/>
                <w:szCs w:val="24"/>
              </w:rPr>
              <w:t>具体描述</w:t>
            </w:r>
          </w:p>
        </w:tc>
      </w:tr>
      <w:tr>
        <w:tblPrEx>
          <w:tblCellMar>
            <w:top w:w="0" w:type="dxa"/>
            <w:left w:w="108" w:type="dxa"/>
            <w:bottom w:w="0" w:type="dxa"/>
            <w:right w:w="108" w:type="dxa"/>
          </w:tblCellMar>
        </w:tblPrEx>
        <w:trPr>
          <w:trHeight w:val="570" w:hRule="atLeast"/>
        </w:trPr>
        <w:tc>
          <w:tcPr>
            <w:tcW w:w="1985"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专线网络SIP接入</w:t>
            </w:r>
          </w:p>
        </w:tc>
        <w:tc>
          <w:tcPr>
            <w:tcW w:w="6662"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云线路资源商提供网络专线至</w:t>
            </w:r>
            <w:r>
              <w:rPr>
                <w:rFonts w:hint="eastAsia" w:ascii="彩虹粗仿宋" w:hAnsi="宋体" w:eastAsia="彩虹粗仿宋" w:cs="宋体"/>
                <w:b/>
                <w:bCs/>
                <w:color w:val="000000"/>
                <w:kern w:val="0"/>
                <w:sz w:val="24"/>
                <w:szCs w:val="24"/>
              </w:rPr>
              <w:t>建行云（武汉）</w:t>
            </w:r>
            <w:r>
              <w:rPr>
                <w:rFonts w:hint="eastAsia" w:ascii="彩虹粗仿宋" w:hAnsi="宋体" w:eastAsia="彩虹粗仿宋" w:cs="宋体"/>
                <w:color w:val="000000"/>
                <w:kern w:val="0"/>
                <w:sz w:val="24"/>
                <w:szCs w:val="24"/>
              </w:rPr>
              <w:t>入局，以SIP对接的方式提供号码线路资源</w:t>
            </w:r>
          </w:p>
        </w:tc>
      </w:tr>
      <w:tr>
        <w:tblPrEx>
          <w:tblCellMar>
            <w:top w:w="0" w:type="dxa"/>
            <w:left w:w="108" w:type="dxa"/>
            <w:bottom w:w="0" w:type="dxa"/>
            <w:right w:w="108" w:type="dxa"/>
          </w:tblCellMar>
        </w:tblPrEx>
        <w:trPr>
          <w:trHeight w:val="742" w:hRule="atLeast"/>
        </w:trPr>
        <w:tc>
          <w:tcPr>
            <w:tcW w:w="1985"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服务地址</w:t>
            </w:r>
          </w:p>
        </w:tc>
        <w:tc>
          <w:tcPr>
            <w:tcW w:w="6662"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同一家云线路资源供应商提供的线路资源服务地址为一个服务地址（在满足高可用要求的情况下）</w:t>
            </w:r>
          </w:p>
        </w:tc>
      </w:tr>
      <w:tr>
        <w:tblPrEx>
          <w:tblCellMar>
            <w:top w:w="0" w:type="dxa"/>
            <w:left w:w="108" w:type="dxa"/>
            <w:bottom w:w="0" w:type="dxa"/>
            <w:right w:w="108" w:type="dxa"/>
          </w:tblCellMar>
        </w:tblPrEx>
        <w:trPr>
          <w:trHeight w:val="360" w:hRule="atLeast"/>
        </w:trPr>
        <w:tc>
          <w:tcPr>
            <w:tcW w:w="1985"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全国出局号码</w:t>
            </w:r>
          </w:p>
        </w:tc>
        <w:tc>
          <w:tcPr>
            <w:tcW w:w="6662" w:type="dxa"/>
            <w:tcBorders>
              <w:top w:val="nil"/>
              <w:left w:val="nil"/>
              <w:bottom w:val="single" w:color="auto" w:sz="4" w:space="0"/>
              <w:right w:val="single" w:color="auto" w:sz="4" w:space="0"/>
            </w:tcBorders>
            <w:shd w:val="clear" w:color="auto" w:fill="auto"/>
            <w:vAlign w:val="center"/>
          </w:tcPr>
          <w:p>
            <w:pPr>
              <w:widowControl/>
              <w:ind w:right="113" w:rightChars="54"/>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提供的线路资源可提供全国范围任意省市区号的电话号码</w:t>
            </w:r>
          </w:p>
        </w:tc>
      </w:tr>
      <w:tr>
        <w:tblPrEx>
          <w:tblCellMar>
            <w:top w:w="0" w:type="dxa"/>
            <w:left w:w="108" w:type="dxa"/>
            <w:bottom w:w="0" w:type="dxa"/>
            <w:right w:w="108" w:type="dxa"/>
          </w:tblCellMar>
        </w:tblPrEx>
        <w:trPr>
          <w:trHeight w:val="1344" w:hRule="atLeast"/>
        </w:trPr>
        <w:tc>
          <w:tcPr>
            <w:tcW w:w="1985"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需要接受不带SDP的Invite</w:t>
            </w:r>
          </w:p>
        </w:tc>
        <w:tc>
          <w:tcPr>
            <w:tcW w:w="6662" w:type="dxa"/>
            <w:tcBorders>
              <w:top w:val="nil"/>
              <w:left w:val="nil"/>
              <w:bottom w:val="single" w:color="auto" w:sz="4" w:space="0"/>
              <w:right w:val="single" w:color="auto" w:sz="4" w:space="0"/>
            </w:tcBorders>
            <w:shd w:val="clear" w:color="auto" w:fill="auto"/>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呼叫平台发起外呼时不会携带SDP，呼叫平台侧作为主叫CALLER 发起Invite，云线路资源回复200OK以后，呼叫平台会在ACK时携带SDP。此特性需要在联调前云线路资源确认能支持该特性</w:t>
            </w:r>
          </w:p>
        </w:tc>
      </w:tr>
      <w:tr>
        <w:tblPrEx>
          <w:tblCellMar>
            <w:top w:w="0" w:type="dxa"/>
            <w:left w:w="108" w:type="dxa"/>
            <w:bottom w:w="0" w:type="dxa"/>
            <w:right w:w="108" w:type="dxa"/>
          </w:tblCellMar>
        </w:tblPrEx>
        <w:trPr>
          <w:trHeight w:val="600" w:hRule="atLeast"/>
        </w:trPr>
        <w:tc>
          <w:tcPr>
            <w:tcW w:w="1985"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支持宣告音信令和媒体</w:t>
            </w:r>
          </w:p>
        </w:tc>
        <w:tc>
          <w:tcPr>
            <w:tcW w:w="6662"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支持宣告音识别功能，当遇到客户欠费、未接听挂机、超时挂机等情况时应能识别宣告音后以标准信令的方式将最终结果实时反馈平台</w:t>
            </w:r>
          </w:p>
        </w:tc>
      </w:tr>
      <w:tr>
        <w:tblPrEx>
          <w:tblCellMar>
            <w:top w:w="0" w:type="dxa"/>
            <w:left w:w="108" w:type="dxa"/>
            <w:bottom w:w="0" w:type="dxa"/>
            <w:right w:w="108" w:type="dxa"/>
          </w:tblCellMar>
        </w:tblPrEx>
        <w:trPr>
          <w:trHeight w:val="720" w:hRule="atLeast"/>
        </w:trPr>
        <w:tc>
          <w:tcPr>
            <w:tcW w:w="1985"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呼入接入码变换能力</w:t>
            </w:r>
          </w:p>
        </w:tc>
        <w:tc>
          <w:tcPr>
            <w:tcW w:w="6662"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电话呼入时，云线路资源提供模式时需要根据被叫号码匹配对应的接入码，支持动态配置，例如电话呼叫一个云线路资源提供的号码时，该号码应可配置一个固定的接入码，满足平台呼入接入规范</w:t>
            </w:r>
          </w:p>
        </w:tc>
      </w:tr>
      <w:tr>
        <w:tblPrEx>
          <w:tblCellMar>
            <w:top w:w="0" w:type="dxa"/>
            <w:left w:w="108" w:type="dxa"/>
            <w:bottom w:w="0" w:type="dxa"/>
            <w:right w:w="108" w:type="dxa"/>
          </w:tblCellMar>
        </w:tblPrEx>
        <w:trPr>
          <w:trHeight w:val="1380" w:hRule="atLeast"/>
        </w:trPr>
        <w:tc>
          <w:tcPr>
            <w:tcW w:w="1985"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呼出号码头适配能力</w:t>
            </w:r>
          </w:p>
        </w:tc>
        <w:tc>
          <w:tcPr>
            <w:tcW w:w="6662"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电话呼出时，云线路资源要能够根据附加的被叫号头选择合适的外呼号码呼出（每个号头对应一个号码池，号码池中存在多个号码，号头长度为6位），最终呼叫到最终用户时，应能看到合适的来电主叫号码（不同的虚拟中心又称租户，主叫号码不同）。可根据客户号码归属地，选择号码头对应的号码池中对应的客户归属地号码进行呼出</w:t>
            </w:r>
          </w:p>
        </w:tc>
      </w:tr>
      <w:tr>
        <w:tblPrEx>
          <w:tblCellMar>
            <w:top w:w="0" w:type="dxa"/>
            <w:left w:w="108" w:type="dxa"/>
            <w:bottom w:w="0" w:type="dxa"/>
            <w:right w:w="108" w:type="dxa"/>
          </w:tblCellMar>
        </w:tblPrEx>
        <w:trPr>
          <w:trHeight w:val="330" w:hRule="atLeast"/>
        </w:trPr>
        <w:tc>
          <w:tcPr>
            <w:tcW w:w="1985"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支持带内带外收号</w:t>
            </w:r>
          </w:p>
        </w:tc>
        <w:tc>
          <w:tcPr>
            <w:tcW w:w="6662"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云线路资源必须支持带内带外收号</w:t>
            </w:r>
          </w:p>
        </w:tc>
      </w:tr>
      <w:tr>
        <w:tblPrEx>
          <w:tblCellMar>
            <w:top w:w="0" w:type="dxa"/>
            <w:left w:w="108" w:type="dxa"/>
            <w:bottom w:w="0" w:type="dxa"/>
            <w:right w:w="108" w:type="dxa"/>
          </w:tblCellMar>
        </w:tblPrEx>
        <w:trPr>
          <w:trHeight w:val="360" w:hRule="atLeast"/>
        </w:trPr>
        <w:tc>
          <w:tcPr>
            <w:tcW w:w="1985"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语音编码格式</w:t>
            </w:r>
          </w:p>
        </w:tc>
        <w:tc>
          <w:tcPr>
            <w:tcW w:w="6662"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在SIP协商时支持G711和G729等多种语音编码格式</w:t>
            </w:r>
          </w:p>
        </w:tc>
      </w:tr>
      <w:tr>
        <w:tblPrEx>
          <w:tblCellMar>
            <w:top w:w="0" w:type="dxa"/>
            <w:left w:w="108" w:type="dxa"/>
            <w:bottom w:w="0" w:type="dxa"/>
            <w:right w:w="108" w:type="dxa"/>
          </w:tblCellMar>
        </w:tblPrEx>
        <w:trPr>
          <w:trHeight w:val="375" w:hRule="atLeast"/>
        </w:trPr>
        <w:tc>
          <w:tcPr>
            <w:tcW w:w="1985"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录音留存</w:t>
            </w:r>
          </w:p>
        </w:tc>
        <w:tc>
          <w:tcPr>
            <w:tcW w:w="6662"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云线路资源提供电话服务时不可保存录音等数据</w:t>
            </w:r>
          </w:p>
        </w:tc>
      </w:tr>
      <w:tr>
        <w:tblPrEx>
          <w:tblCellMar>
            <w:top w:w="0" w:type="dxa"/>
            <w:left w:w="108" w:type="dxa"/>
            <w:bottom w:w="0" w:type="dxa"/>
            <w:right w:w="108" w:type="dxa"/>
          </w:tblCellMar>
        </w:tblPrEx>
        <w:trPr>
          <w:trHeight w:val="705" w:hRule="atLeast"/>
        </w:trPr>
        <w:tc>
          <w:tcPr>
            <w:tcW w:w="1985"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高可用能力</w:t>
            </w:r>
          </w:p>
        </w:tc>
        <w:tc>
          <w:tcPr>
            <w:tcW w:w="6662"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云线路资源平台提供高可用方案以供审核，主要目的为发生异常时有备用线路，避免造成业务中断</w:t>
            </w:r>
          </w:p>
        </w:tc>
      </w:tr>
      <w:tr>
        <w:tblPrEx>
          <w:tblCellMar>
            <w:top w:w="0" w:type="dxa"/>
            <w:left w:w="108" w:type="dxa"/>
            <w:bottom w:w="0" w:type="dxa"/>
            <w:right w:w="108" w:type="dxa"/>
          </w:tblCellMar>
        </w:tblPrEx>
        <w:trPr>
          <w:trHeight w:val="450" w:hRule="atLeast"/>
        </w:trPr>
        <w:tc>
          <w:tcPr>
            <w:tcW w:w="1985"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动态扩容能力</w:t>
            </w:r>
          </w:p>
        </w:tc>
        <w:tc>
          <w:tcPr>
            <w:tcW w:w="6662"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线路资源扩容时可进行动态扩容，满足快速扩容能力</w:t>
            </w:r>
          </w:p>
        </w:tc>
      </w:tr>
      <w:tr>
        <w:tblPrEx>
          <w:tblCellMar>
            <w:top w:w="0" w:type="dxa"/>
            <w:left w:w="108" w:type="dxa"/>
            <w:bottom w:w="0" w:type="dxa"/>
            <w:right w:w="108" w:type="dxa"/>
          </w:tblCellMar>
        </w:tblPrEx>
        <w:trPr>
          <w:trHeight w:val="240" w:hRule="atLeast"/>
        </w:trPr>
        <w:tc>
          <w:tcPr>
            <w:tcW w:w="1985"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线路监控</w:t>
            </w:r>
          </w:p>
        </w:tc>
        <w:tc>
          <w:tcPr>
            <w:tcW w:w="6662"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提供web服务页面和http联机接口，满足使用方对线路资源占用情况的监控。</w:t>
            </w:r>
          </w:p>
        </w:tc>
      </w:tr>
      <w:tr>
        <w:tblPrEx>
          <w:tblCellMar>
            <w:top w:w="0" w:type="dxa"/>
            <w:left w:w="108" w:type="dxa"/>
            <w:bottom w:w="0" w:type="dxa"/>
            <w:right w:w="108" w:type="dxa"/>
          </w:tblCellMar>
        </w:tblPrEx>
        <w:trPr>
          <w:trHeight w:val="540" w:hRule="atLeast"/>
        </w:trPr>
        <w:tc>
          <w:tcPr>
            <w:tcW w:w="1985"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运维支持</w:t>
            </w:r>
          </w:p>
        </w:tc>
        <w:tc>
          <w:tcPr>
            <w:tcW w:w="6662"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7*24小时运维支持，发生问题时有技术人员在10分钟内跟踪问题原因，半小时内解决问题。</w:t>
            </w:r>
          </w:p>
        </w:tc>
      </w:tr>
      <w:tr>
        <w:tblPrEx>
          <w:tblCellMar>
            <w:top w:w="0" w:type="dxa"/>
            <w:left w:w="108" w:type="dxa"/>
            <w:bottom w:w="0" w:type="dxa"/>
            <w:right w:w="108" w:type="dxa"/>
          </w:tblCellMar>
        </w:tblPrEx>
        <w:trPr>
          <w:trHeight w:val="300" w:hRule="atLeast"/>
        </w:trPr>
        <w:tc>
          <w:tcPr>
            <w:tcW w:w="1985"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测试环境</w:t>
            </w:r>
          </w:p>
        </w:tc>
        <w:tc>
          <w:tcPr>
            <w:tcW w:w="6662"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可在协议服务内提供测试号码、测试线路，用于日常功能更新测试。</w:t>
            </w:r>
          </w:p>
        </w:tc>
      </w:tr>
      <w:tr>
        <w:tblPrEx>
          <w:tblCellMar>
            <w:top w:w="0" w:type="dxa"/>
            <w:left w:w="108" w:type="dxa"/>
            <w:bottom w:w="0" w:type="dxa"/>
            <w:right w:w="108" w:type="dxa"/>
          </w:tblCellMar>
        </w:tblPrEx>
        <w:trPr>
          <w:trHeight w:val="240" w:hRule="atLeast"/>
        </w:trPr>
        <w:tc>
          <w:tcPr>
            <w:tcW w:w="1985"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单个号码呼叫量限制</w:t>
            </w:r>
          </w:p>
        </w:tc>
        <w:tc>
          <w:tcPr>
            <w:tcW w:w="6662"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通过提供号码进行外呼时，单个号码呼出时不受到每日电话拨打量或并发量限制</w:t>
            </w:r>
          </w:p>
        </w:tc>
      </w:tr>
      <w:tr>
        <w:tblPrEx>
          <w:tblCellMar>
            <w:top w:w="0" w:type="dxa"/>
            <w:left w:w="108" w:type="dxa"/>
            <w:bottom w:w="0" w:type="dxa"/>
            <w:right w:w="108" w:type="dxa"/>
          </w:tblCellMar>
        </w:tblPrEx>
        <w:trPr>
          <w:trHeight w:val="660" w:hRule="atLeast"/>
        </w:trPr>
        <w:tc>
          <w:tcPr>
            <w:tcW w:w="1985"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号码名片功能</w:t>
            </w:r>
          </w:p>
        </w:tc>
        <w:tc>
          <w:tcPr>
            <w:tcW w:w="6662"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通过线路的号码进行电话外呼时，客户侧手机收到名片提示该号码为****号码，名片提示内容可配置</w:t>
            </w:r>
          </w:p>
        </w:tc>
      </w:tr>
    </w:tbl>
    <w:p>
      <w:pPr>
        <w:numPr>
          <w:ilvl w:val="0"/>
          <w:numId w:val="1"/>
        </w:numPr>
        <w:adjustRightInd w:val="0"/>
        <w:snapToGrid w:val="0"/>
        <w:spacing w:line="560" w:lineRule="exact"/>
        <w:ind w:left="1363" w:hanging="720"/>
        <w:rPr>
          <w:rFonts w:ascii="彩虹粗仿宋" w:hAnsi="宋体" w:eastAsia="彩虹粗仿宋" w:cs="Times New Roman"/>
          <w:b/>
          <w:snapToGrid w:val="0"/>
          <w:kern w:val="0"/>
          <w:sz w:val="32"/>
          <w:szCs w:val="32"/>
        </w:rPr>
      </w:pPr>
      <w:r>
        <w:rPr>
          <w:rFonts w:hint="eastAsia" w:ascii="彩虹粗仿宋" w:hAnsi="宋体" w:eastAsia="彩虹粗仿宋" w:cs="Times New Roman"/>
          <w:b/>
          <w:snapToGrid w:val="0"/>
          <w:kern w:val="0"/>
          <w:sz w:val="32"/>
          <w:szCs w:val="32"/>
        </w:rPr>
        <w:t>服务供应安排</w:t>
      </w:r>
    </w:p>
    <w:p>
      <w:pPr>
        <w:adjustRightInd w:val="0"/>
        <w:snapToGrid w:val="0"/>
        <w:spacing w:line="560" w:lineRule="exact"/>
        <w:ind w:firstLine="640" w:firstLineChars="200"/>
        <w:rPr>
          <w:rFonts w:ascii="彩虹粗仿宋" w:hAnsi="宋体" w:eastAsia="彩虹粗仿宋" w:cs="Times New Roman"/>
          <w:snapToGrid w:val="0"/>
          <w:kern w:val="0"/>
          <w:sz w:val="32"/>
          <w:szCs w:val="32"/>
        </w:rPr>
      </w:pPr>
      <w:r>
        <w:rPr>
          <w:rFonts w:hint="eastAsia" w:ascii="彩虹粗仿宋" w:hAnsi="宋体" w:eastAsia="彩虹粗仿宋" w:cs="Times New Roman"/>
          <w:snapToGrid w:val="0"/>
          <w:kern w:val="0"/>
          <w:sz w:val="32"/>
          <w:szCs w:val="32"/>
        </w:rPr>
        <w:t>在采购结束后，根据采购结果由我行报总行金科部门与运营商配置协商后，根据业务合同期开始服务日期为具体的服务正式供应时间和服务计费开始时间。</w:t>
      </w:r>
    </w:p>
    <w:p>
      <w:pPr>
        <w:numPr>
          <w:ilvl w:val="0"/>
          <w:numId w:val="1"/>
        </w:numPr>
        <w:adjustRightInd w:val="0"/>
        <w:snapToGrid w:val="0"/>
        <w:spacing w:line="560" w:lineRule="exact"/>
        <w:ind w:left="1363" w:hanging="720"/>
        <w:rPr>
          <w:rFonts w:ascii="彩虹粗仿宋" w:hAnsi="宋体" w:eastAsia="彩虹粗仿宋" w:cs="Times New Roman"/>
          <w:b/>
          <w:snapToGrid w:val="0"/>
          <w:kern w:val="0"/>
          <w:sz w:val="32"/>
          <w:szCs w:val="32"/>
        </w:rPr>
      </w:pPr>
      <w:r>
        <w:rPr>
          <w:rFonts w:hint="eastAsia" w:ascii="彩虹粗仿宋" w:hAnsi="宋体" w:eastAsia="彩虹粗仿宋" w:cs="Times New Roman"/>
          <w:b/>
          <w:snapToGrid w:val="0"/>
          <w:kern w:val="0"/>
          <w:sz w:val="32"/>
          <w:szCs w:val="32"/>
        </w:rPr>
        <w:t>服务数量要求</w:t>
      </w:r>
    </w:p>
    <w:p>
      <w:pPr>
        <w:adjustRightInd w:val="0"/>
        <w:snapToGrid w:val="0"/>
        <w:spacing w:line="560" w:lineRule="exact"/>
        <w:ind w:firstLine="707" w:firstLineChars="221"/>
        <w:jc w:val="left"/>
        <w:rPr>
          <w:rFonts w:hint="default" w:ascii="彩虹粗仿宋" w:hAnsi="宋体" w:eastAsia="彩虹粗仿宋" w:cs="Times New Roman"/>
          <w:snapToGrid w:val="0"/>
          <w:kern w:val="0"/>
          <w:sz w:val="32"/>
          <w:szCs w:val="32"/>
          <w:lang w:val="en-US" w:eastAsia="zh-CN"/>
        </w:rPr>
      </w:pPr>
      <w:r>
        <w:rPr>
          <w:rFonts w:hint="eastAsia" w:ascii="彩虹粗仿宋" w:hAnsi="Times New Roman" w:eastAsia="彩虹粗仿宋" w:cs="Times New Roman"/>
          <w:sz w:val="32"/>
          <w:szCs w:val="32"/>
          <w:lang w:eastAsia="zh-CN"/>
        </w:rPr>
        <w:t>电话号码共计</w:t>
      </w:r>
      <w:r>
        <w:rPr>
          <w:rFonts w:hint="eastAsia" w:ascii="彩虹粗仿宋" w:hAnsi="Times New Roman" w:eastAsia="彩虹粗仿宋" w:cs="Times New Roman"/>
          <w:sz w:val="32"/>
          <w:szCs w:val="32"/>
          <w:lang w:val="en-US" w:eastAsia="zh-CN"/>
        </w:rPr>
        <w:t>680个</w:t>
      </w:r>
      <w:r>
        <w:rPr>
          <w:rFonts w:hint="eastAsia" w:ascii="彩虹粗仿宋" w:hAnsi="Times New Roman" w:eastAsia="彩虹粗仿宋" w:cs="Times New Roman"/>
          <w:sz w:val="32"/>
          <w:szCs w:val="32"/>
          <w:lang w:eastAsia="zh-CN"/>
        </w:rPr>
        <w:t>。一是</w:t>
      </w:r>
      <w:r>
        <w:rPr>
          <w:rFonts w:hint="eastAsia" w:ascii="彩虹粗仿宋" w:hAnsi="Times New Roman" w:eastAsia="彩虹粗仿宋" w:cs="Times New Roman"/>
          <w:sz w:val="32"/>
          <w:szCs w:val="32"/>
        </w:rPr>
        <w:t>商机直拨通直销团队模式（信用卡直销团队）全省</w:t>
      </w:r>
      <w:r>
        <w:rPr>
          <w:rFonts w:hint="eastAsia" w:ascii="彩虹粗仿宋" w:hAnsi="宋体" w:eastAsia="彩虹粗仿宋" w:cs="Times New Roman"/>
          <w:snapToGrid w:val="0"/>
          <w:kern w:val="0"/>
          <w:sz w:val="32"/>
          <w:szCs w:val="32"/>
        </w:rPr>
        <w:t>各地市电话号码557个及配套的企业名片服务等，</w:t>
      </w:r>
      <w:r>
        <w:rPr>
          <w:rFonts w:hint="eastAsia" w:ascii="彩虹粗仿宋" w:hAnsi="宋体" w:eastAsia="彩虹粗仿宋" w:cstheme="minorBidi"/>
          <w:snapToGrid w:val="0"/>
          <w:color w:val="000000" w:themeColor="text1"/>
          <w:sz w:val="32"/>
          <w:szCs w:val="32"/>
        </w:rPr>
        <w:t>服务电话号码数量根据</w:t>
      </w:r>
      <w:r>
        <w:rPr>
          <w:rFonts w:hint="eastAsia" w:ascii="彩虹粗仿宋" w:hAnsi="宋体" w:eastAsia="彩虹粗仿宋" w:cs="Times New Roman"/>
          <w:snapToGrid w:val="0"/>
          <w:color w:val="000000" w:themeColor="text1"/>
          <w:sz w:val="32"/>
          <w:szCs w:val="32"/>
        </w:rPr>
        <w:t>我</w:t>
      </w:r>
      <w:r>
        <w:rPr>
          <w:rFonts w:hint="eastAsia" w:ascii="彩虹粗仿宋" w:hAnsi="宋体" w:eastAsia="彩虹粗仿宋" w:cstheme="minorBidi"/>
          <w:snapToGrid w:val="0"/>
          <w:color w:val="000000" w:themeColor="text1"/>
          <w:sz w:val="32"/>
          <w:szCs w:val="32"/>
        </w:rPr>
        <w:t>方业务需要可增加或减少</w:t>
      </w:r>
      <w:r>
        <w:rPr>
          <w:rFonts w:hint="eastAsia" w:ascii="彩虹粗仿宋" w:hAnsi="宋体" w:eastAsia="彩虹粗仿宋" w:cs="Times New Roman"/>
          <w:snapToGrid w:val="0"/>
          <w:kern w:val="0"/>
          <w:sz w:val="32"/>
          <w:szCs w:val="32"/>
        </w:rPr>
        <w:t>。目前运用商机直拨通</w:t>
      </w:r>
      <w:r>
        <w:rPr>
          <w:rFonts w:hint="eastAsia" w:ascii="彩虹粗仿宋" w:hAnsi="Times New Roman" w:eastAsia="彩虹粗仿宋" w:cs="Times New Roman"/>
          <w:sz w:val="32"/>
          <w:szCs w:val="32"/>
        </w:rPr>
        <w:t>直销团队（信用卡直销团队）模式</w:t>
      </w:r>
      <w:r>
        <w:rPr>
          <w:rFonts w:hint="eastAsia" w:ascii="彩虹粗仿宋" w:hAnsi="宋体" w:eastAsia="彩虹粗仿宋" w:cs="Times New Roman"/>
          <w:snapToGrid w:val="0"/>
          <w:kern w:val="0"/>
          <w:sz w:val="32"/>
          <w:szCs w:val="32"/>
        </w:rPr>
        <w:t>开展的业务主要有：信用卡客户经营（发卡）、分期通、现金分期、装修分期等。电话号码数量后期根据总行部署及业务发展实际需要进行动态调整，最多不超过600个，电话号码数量的调整不改变费用预算。</w:t>
      </w:r>
      <w:r>
        <w:rPr>
          <w:rFonts w:hint="eastAsia" w:ascii="彩虹粗仿宋" w:hAnsi="宋体" w:eastAsia="彩虹粗仿宋" w:cs="Times New Roman"/>
          <w:snapToGrid w:val="0"/>
          <w:kern w:val="0"/>
          <w:sz w:val="32"/>
          <w:szCs w:val="32"/>
          <w:lang w:eastAsia="zh-CN"/>
        </w:rPr>
        <w:t>二是</w:t>
      </w:r>
      <w:r>
        <w:rPr>
          <w:rFonts w:hint="eastAsia" w:ascii="彩虹粗仿宋" w:hAnsi="Times New Roman" w:eastAsia="彩虹粗仿宋" w:cs="Times New Roman"/>
          <w:sz w:val="32"/>
          <w:szCs w:val="32"/>
        </w:rPr>
        <w:t>商机直拨通</w:t>
      </w:r>
      <w:r>
        <w:rPr>
          <w:rFonts w:hint="eastAsia" w:ascii="彩虹粗仿宋" w:hAnsi="Times New Roman" w:eastAsia="彩虹粗仿宋" w:cs="Times New Roman"/>
          <w:sz w:val="32"/>
          <w:szCs w:val="32"/>
          <w:lang w:eastAsia="zh-CN"/>
        </w:rPr>
        <w:t>网点外呼模式（人员独立外呼）全省各地市电话号码</w:t>
      </w:r>
      <w:r>
        <w:rPr>
          <w:rFonts w:hint="eastAsia" w:ascii="彩虹粗仿宋" w:hAnsi="Times New Roman" w:eastAsia="彩虹粗仿宋" w:cs="Times New Roman"/>
          <w:sz w:val="32"/>
          <w:szCs w:val="32"/>
          <w:lang w:val="en-US" w:eastAsia="zh-CN"/>
        </w:rPr>
        <w:t>80</w:t>
      </w:r>
      <w:r>
        <w:rPr>
          <w:rFonts w:hint="eastAsia" w:ascii="彩虹粗仿宋" w:hAnsi="Times New Roman" w:eastAsia="彩虹粗仿宋" w:cs="Times New Roman"/>
          <w:sz w:val="32"/>
          <w:szCs w:val="32"/>
          <w:lang w:eastAsia="zh-CN"/>
        </w:rPr>
        <w:t>个（各二级行号码分配数量详见附表，根据各行客户数、商机数量及网点数量进行分配）及配套的企业名片服务等，</w:t>
      </w:r>
      <w:r>
        <w:rPr>
          <w:rFonts w:hint="eastAsia" w:ascii="彩虹粗仿宋" w:hAnsi="Times New Roman" w:eastAsia="彩虹粗仿宋" w:cs="Times New Roman"/>
          <w:sz w:val="32"/>
          <w:szCs w:val="32"/>
          <w:highlight w:val="none"/>
          <w:lang w:eastAsia="zh-CN"/>
        </w:rPr>
        <w:t>主要业务内容为涉赌涉诈、解管控、EDD业务、网点营销商机外呼、长尾客户直营外呼等</w:t>
      </w:r>
      <w:r>
        <w:rPr>
          <w:rFonts w:hint="eastAsia" w:ascii="彩虹粗仿宋" w:hAnsi="Times New Roman" w:eastAsia="彩虹粗仿宋" w:cs="Times New Roman"/>
          <w:sz w:val="32"/>
          <w:szCs w:val="32"/>
          <w:lang w:eastAsia="zh-CN"/>
        </w:rPr>
        <w:t>。电话号码可根据需要动态调整。</w:t>
      </w:r>
    </w:p>
    <w:p>
      <w:pPr>
        <w:adjustRightInd w:val="0"/>
        <w:snapToGrid w:val="0"/>
        <w:spacing w:line="560" w:lineRule="exact"/>
        <w:ind w:firstLine="707" w:firstLineChars="221"/>
        <w:jc w:val="left"/>
        <w:rPr>
          <w:rFonts w:hint="eastAsia" w:ascii="彩虹粗仿宋" w:hAnsi="宋体" w:eastAsia="彩虹粗仿宋" w:cs="Times New Roman"/>
          <w:snapToGrid w:val="0"/>
          <w:kern w:val="0"/>
          <w:sz w:val="32"/>
          <w:szCs w:val="32"/>
        </w:rPr>
      </w:pPr>
      <w:r>
        <w:rPr>
          <w:rFonts w:hint="eastAsia" w:ascii="彩虹粗仿宋" w:hAnsi="宋体" w:eastAsia="彩虹粗仿宋" w:cs="Times New Roman"/>
          <w:snapToGrid w:val="0"/>
          <w:kern w:val="0"/>
          <w:sz w:val="32"/>
          <w:szCs w:val="32"/>
        </w:rPr>
        <w:t>100M带宽的语音通信线路1条</w:t>
      </w:r>
      <w:r>
        <w:rPr>
          <w:rFonts w:hint="eastAsia" w:ascii="彩虹粗仿宋" w:hAnsi="宋体" w:eastAsia="彩虹粗仿宋" w:cs="Times New Roman"/>
          <w:snapToGrid w:val="0"/>
          <w:kern w:val="0"/>
          <w:sz w:val="32"/>
          <w:szCs w:val="32"/>
          <w:lang w:eastAsia="zh-CN"/>
        </w:rPr>
        <w:t>。</w:t>
      </w:r>
    </w:p>
    <w:p>
      <w:pPr>
        <w:numPr>
          <w:ilvl w:val="0"/>
          <w:numId w:val="1"/>
        </w:numPr>
        <w:adjustRightInd w:val="0"/>
        <w:snapToGrid w:val="0"/>
        <w:spacing w:line="560" w:lineRule="exact"/>
        <w:ind w:left="1363" w:hanging="720"/>
        <w:rPr>
          <w:rFonts w:ascii="彩虹粗仿宋" w:hAnsi="宋体" w:eastAsia="彩虹粗仿宋" w:cs="Times New Roman"/>
          <w:b/>
          <w:snapToGrid w:val="0"/>
          <w:kern w:val="0"/>
          <w:sz w:val="32"/>
          <w:szCs w:val="32"/>
        </w:rPr>
      </w:pPr>
      <w:r>
        <w:rPr>
          <w:rFonts w:hint="eastAsia" w:ascii="彩虹粗仿宋" w:hAnsi="宋体" w:eastAsia="彩虹粗仿宋" w:cs="Times New Roman"/>
          <w:b/>
          <w:snapToGrid w:val="0"/>
          <w:kern w:val="0"/>
          <w:sz w:val="32"/>
          <w:szCs w:val="32"/>
        </w:rPr>
        <w:t>款项支付要求</w:t>
      </w:r>
    </w:p>
    <w:p>
      <w:pPr>
        <w:adjustRightInd w:val="0"/>
        <w:snapToGrid w:val="0"/>
        <w:spacing w:line="560" w:lineRule="exact"/>
        <w:ind w:firstLine="640" w:firstLineChars="200"/>
        <w:rPr>
          <w:rFonts w:ascii="彩虹粗仿宋" w:hAnsi="宋体" w:eastAsia="彩虹粗仿宋" w:cs="Times New Roman"/>
          <w:snapToGrid w:val="0"/>
          <w:kern w:val="0"/>
          <w:sz w:val="32"/>
          <w:szCs w:val="32"/>
        </w:rPr>
      </w:pPr>
      <w:r>
        <w:rPr>
          <w:rFonts w:hint="eastAsia" w:ascii="彩虹粗仿宋" w:hAnsi="宋体" w:eastAsia="彩虹粗仿宋" w:cs="Times New Roman"/>
          <w:snapToGrid w:val="0"/>
          <w:kern w:val="0"/>
          <w:sz w:val="32"/>
          <w:szCs w:val="32"/>
        </w:rPr>
        <w:t>本项目采用先使用后付费方式，按季度进行结算，费用由省分行集中统一付款，各二级地市分摊。供应商应提供包含基础电信业务服务、增值电信业务服务的账单明细和发票。</w:t>
      </w:r>
    </w:p>
    <w:p>
      <w:pPr>
        <w:numPr>
          <w:ilvl w:val="0"/>
          <w:numId w:val="1"/>
        </w:numPr>
        <w:adjustRightInd w:val="0"/>
        <w:snapToGrid w:val="0"/>
        <w:spacing w:line="560" w:lineRule="exact"/>
        <w:ind w:left="1363" w:hanging="720"/>
        <w:rPr>
          <w:rFonts w:ascii="彩虹粗仿宋" w:hAnsi="宋体" w:eastAsia="彩虹粗仿宋" w:cs="Times New Roman"/>
          <w:b/>
          <w:snapToGrid w:val="0"/>
          <w:kern w:val="0"/>
          <w:sz w:val="32"/>
          <w:szCs w:val="32"/>
        </w:rPr>
      </w:pPr>
      <w:r>
        <w:rPr>
          <w:rFonts w:hint="eastAsia" w:ascii="彩虹粗仿宋" w:hAnsi="宋体" w:eastAsia="彩虹粗仿宋" w:cs="Times New Roman"/>
          <w:b/>
          <w:snapToGrid w:val="0"/>
          <w:kern w:val="0"/>
          <w:sz w:val="32"/>
          <w:szCs w:val="32"/>
        </w:rPr>
        <w:t>报价要求</w:t>
      </w:r>
    </w:p>
    <w:p>
      <w:pPr>
        <w:widowControl w:val="0"/>
        <w:adjustRightInd w:val="0"/>
        <w:snapToGrid w:val="0"/>
        <w:spacing w:line="560" w:lineRule="exact"/>
        <w:ind w:firstLine="707" w:firstLineChars="221"/>
        <w:jc w:val="both"/>
        <w:rPr>
          <w:rFonts w:ascii="彩虹粗仿宋" w:hAnsi="宋体" w:eastAsia="彩虹粗仿宋" w:cs="Times New Roman"/>
          <w:snapToGrid w:val="0"/>
          <w:kern w:val="0"/>
          <w:sz w:val="32"/>
          <w:szCs w:val="32"/>
          <w:lang w:val="en-US" w:eastAsia="zh-CN" w:bidi="ar-SA"/>
        </w:rPr>
      </w:pPr>
      <w:r>
        <w:rPr>
          <w:rFonts w:hint="eastAsia" w:ascii="彩虹粗仿宋" w:hAnsi="宋体" w:eastAsia="彩虹粗仿宋" w:cs="Times New Roman"/>
          <w:snapToGrid w:val="0"/>
          <w:kern w:val="0"/>
          <w:sz w:val="32"/>
          <w:szCs w:val="32"/>
          <w:lang w:val="en-US" w:eastAsia="zh-CN" w:bidi="ar-SA"/>
        </w:rPr>
        <w:t>供应商报价应按通信线路带宽整体报价（月单价）、服务电话号码基础费用（单个号码月单价）、语音通信服务时长单价（每分钟单价）、企业来电名片单价（每次单价），开具符合要求的增值税发票，要求报价为含税价。</w:t>
      </w:r>
    </w:p>
    <w:p>
      <w:pPr>
        <w:numPr>
          <w:ilvl w:val="0"/>
          <w:numId w:val="1"/>
        </w:numPr>
        <w:adjustRightInd w:val="0"/>
        <w:snapToGrid w:val="0"/>
        <w:spacing w:line="560" w:lineRule="exact"/>
        <w:ind w:left="1363" w:hanging="720"/>
        <w:rPr>
          <w:rFonts w:ascii="彩虹粗仿宋" w:hAnsi="宋体" w:eastAsia="彩虹粗仿宋" w:cs="Times New Roman"/>
          <w:b/>
          <w:snapToGrid w:val="0"/>
          <w:kern w:val="0"/>
          <w:sz w:val="32"/>
          <w:szCs w:val="32"/>
        </w:rPr>
      </w:pPr>
      <w:r>
        <w:rPr>
          <w:rFonts w:hint="eastAsia" w:ascii="彩虹粗仿宋" w:hAnsi="宋体" w:eastAsia="彩虹粗仿宋" w:cs="Times New Roman"/>
          <w:b/>
          <w:snapToGrid w:val="0"/>
          <w:kern w:val="0"/>
          <w:sz w:val="32"/>
          <w:szCs w:val="32"/>
        </w:rPr>
        <w:t>其他要求</w:t>
      </w:r>
    </w:p>
    <w:p>
      <w:pPr>
        <w:adjustRightInd w:val="0"/>
        <w:snapToGrid w:val="0"/>
        <w:spacing w:line="560" w:lineRule="exact"/>
        <w:ind w:firstLine="640" w:firstLineChars="200"/>
        <w:rPr>
          <w:rFonts w:ascii="彩虹粗仿宋" w:hAnsi="宋体" w:eastAsia="彩虹粗仿宋" w:cs="Times New Roman"/>
          <w:snapToGrid w:val="0"/>
          <w:kern w:val="0"/>
          <w:sz w:val="32"/>
          <w:szCs w:val="32"/>
        </w:rPr>
      </w:pPr>
      <w:r>
        <w:rPr>
          <w:rFonts w:hint="eastAsia" w:ascii="彩虹粗仿宋" w:hAnsi="宋体" w:eastAsia="彩虹粗仿宋" w:cs="Times New Roman"/>
          <w:snapToGrid w:val="0"/>
          <w:kern w:val="0"/>
          <w:sz w:val="32"/>
          <w:szCs w:val="32"/>
        </w:rPr>
        <w:t>无。</w:t>
      </w:r>
    </w:p>
    <w:p>
      <w:pPr>
        <w:adjustRightInd w:val="0"/>
        <w:snapToGrid w:val="0"/>
        <w:spacing w:line="560" w:lineRule="exact"/>
        <w:ind w:firstLine="640" w:firstLineChars="200"/>
        <w:rPr>
          <w:rFonts w:ascii="彩虹粗仿宋" w:hAnsi="宋体" w:eastAsia="彩虹粗仿宋" w:cs="Times New Roman"/>
          <w:snapToGrid w:val="0"/>
          <w:kern w:val="0"/>
          <w:sz w:val="32"/>
          <w:szCs w:val="32"/>
        </w:rPr>
      </w:pPr>
    </w:p>
    <w:p>
      <w:pPr>
        <w:adjustRightInd w:val="0"/>
        <w:snapToGrid w:val="0"/>
        <w:spacing w:line="560" w:lineRule="exact"/>
        <w:ind w:firstLine="640" w:firstLineChars="200"/>
        <w:rPr>
          <w:rFonts w:ascii="彩虹粗仿宋" w:hAnsi="宋体" w:eastAsia="彩虹粗仿宋" w:cs="Times New Roman"/>
          <w:snapToGrid w:val="0"/>
          <w:kern w:val="0"/>
          <w:sz w:val="32"/>
          <w:szCs w:val="32"/>
        </w:rPr>
      </w:pPr>
    </w:p>
    <w:p>
      <w:pPr>
        <w:adjustRightInd w:val="0"/>
        <w:snapToGrid w:val="0"/>
        <w:spacing w:line="560" w:lineRule="exact"/>
        <w:ind w:firstLine="640" w:firstLineChars="200"/>
        <w:rPr>
          <w:rFonts w:ascii="彩虹粗仿宋" w:hAnsi="宋体" w:eastAsia="彩虹粗仿宋" w:cs="Times New Roman"/>
          <w:snapToGrid w:val="0"/>
          <w:kern w:val="0"/>
          <w:sz w:val="32"/>
          <w:szCs w:val="32"/>
        </w:rPr>
      </w:pPr>
      <w:r>
        <w:rPr>
          <w:rFonts w:hint="eastAsia" w:ascii="彩虹粗仿宋" w:hAnsi="宋体" w:eastAsia="彩虹粗仿宋" w:cs="Times New Roman"/>
          <w:snapToGrid w:val="0"/>
          <w:kern w:val="0"/>
          <w:sz w:val="32"/>
          <w:szCs w:val="32"/>
        </w:rPr>
        <w:t xml:space="preserve">                                </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彩虹小标宋">
    <w:panose1 w:val="03000509000000000000"/>
    <w:charset w:val="86"/>
    <w:family w:val="script"/>
    <w:pitch w:val="default"/>
    <w:sig w:usb0="00000001" w:usb1="080E0000" w:usb2="00000000" w:usb3="00000000" w:csb0="00040000" w:csb1="00000000"/>
  </w:font>
  <w:font w:name="彩虹粗仿宋">
    <w:panose1 w:val="03000509000000000000"/>
    <w:charset w:val="86"/>
    <w:family w:val="script"/>
    <w:pitch w:val="default"/>
    <w:sig w:usb0="00000001" w:usb1="080E0000" w:usb2="00000000" w:usb3="00000000" w:csb0="00040000"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695219D"/>
    <w:multiLevelType w:val="multilevel"/>
    <w:tmpl w:val="0695219D"/>
    <w:lvl w:ilvl="0" w:tentative="0">
      <w:start w:val="1"/>
      <w:numFmt w:val="japaneseCounting"/>
      <w:lvlText w:val="%1、"/>
      <w:lvlJc w:val="left"/>
      <w:pPr>
        <w:ind w:left="1363" w:hanging="720"/>
      </w:pPr>
      <w:rPr>
        <w:rFonts w:hint="default"/>
      </w:rPr>
    </w:lvl>
    <w:lvl w:ilvl="1" w:tentative="0">
      <w:start w:val="1"/>
      <w:numFmt w:val="lowerLetter"/>
      <w:lvlText w:val="%2)"/>
      <w:lvlJc w:val="left"/>
      <w:pPr>
        <w:ind w:left="1483" w:hanging="420"/>
      </w:pPr>
    </w:lvl>
    <w:lvl w:ilvl="2" w:tentative="0">
      <w:start w:val="1"/>
      <w:numFmt w:val="lowerRoman"/>
      <w:lvlText w:val="%3."/>
      <w:lvlJc w:val="right"/>
      <w:pPr>
        <w:ind w:left="1903" w:hanging="420"/>
      </w:pPr>
    </w:lvl>
    <w:lvl w:ilvl="3" w:tentative="0">
      <w:start w:val="1"/>
      <w:numFmt w:val="decimal"/>
      <w:lvlText w:val="%4."/>
      <w:lvlJc w:val="left"/>
      <w:pPr>
        <w:ind w:left="2323" w:hanging="420"/>
      </w:pPr>
    </w:lvl>
    <w:lvl w:ilvl="4" w:tentative="0">
      <w:start w:val="1"/>
      <w:numFmt w:val="lowerLetter"/>
      <w:lvlText w:val="%5)"/>
      <w:lvlJc w:val="left"/>
      <w:pPr>
        <w:ind w:left="2743" w:hanging="420"/>
      </w:pPr>
    </w:lvl>
    <w:lvl w:ilvl="5" w:tentative="0">
      <w:start w:val="1"/>
      <w:numFmt w:val="lowerRoman"/>
      <w:lvlText w:val="%6."/>
      <w:lvlJc w:val="right"/>
      <w:pPr>
        <w:ind w:left="3163" w:hanging="420"/>
      </w:pPr>
    </w:lvl>
    <w:lvl w:ilvl="6" w:tentative="0">
      <w:start w:val="1"/>
      <w:numFmt w:val="decimal"/>
      <w:lvlText w:val="%7."/>
      <w:lvlJc w:val="left"/>
      <w:pPr>
        <w:ind w:left="3583" w:hanging="420"/>
      </w:pPr>
    </w:lvl>
    <w:lvl w:ilvl="7" w:tentative="0">
      <w:start w:val="1"/>
      <w:numFmt w:val="lowerLetter"/>
      <w:lvlText w:val="%8)"/>
      <w:lvlJc w:val="left"/>
      <w:pPr>
        <w:ind w:left="4003" w:hanging="420"/>
      </w:pPr>
    </w:lvl>
    <w:lvl w:ilvl="8" w:tentative="0">
      <w:start w:val="1"/>
      <w:numFmt w:val="lowerRoman"/>
      <w:lvlText w:val="%9."/>
      <w:lvlJc w:val="right"/>
      <w:pPr>
        <w:ind w:left="4423"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revisionView w:markup="0"/>
  <w:documentProtection w:edit="readOnly" w:enforcement="0"/>
  <w:defaultTabStop w:val="420"/>
  <w:characterSpacingControl w:val="doNotCompress"/>
  <w:compat>
    <w:useFELayout/>
    <w:compatSetting w:name="compatibilityMode" w:uri="http://schemas.microsoft.com/office/word" w:val="12"/>
  </w:compat>
  <w:rsids>
    <w:rsidRoot w:val="00D54A80"/>
    <w:rsid w:val="00006767"/>
    <w:rsid w:val="00641F5A"/>
    <w:rsid w:val="00B536BF"/>
    <w:rsid w:val="00C91C59"/>
    <w:rsid w:val="00D54A80"/>
    <w:rsid w:val="00DE19F1"/>
    <w:rsid w:val="17751D5E"/>
    <w:rsid w:val="2AA70184"/>
    <w:rsid w:val="66382525"/>
    <w:rsid w:val="66C725EE"/>
    <w:rsid w:val="7BAE07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3">
    <w:name w:val="Default Paragraph Font"/>
    <w:semiHidden/>
    <w:unhideWhenUsed/>
    <w:uiPriority w:val="1"/>
  </w:style>
  <w:style w:type="table" w:default="1" w:styleId="2">
    <w:name w:val="Normal Table"/>
    <w:semiHidden/>
    <w:unhideWhenUsed/>
    <w:qFormat/>
    <w:uiPriority w:val="99"/>
    <w:tblPr>
      <w:tblCellMar>
        <w:top w:w="0" w:type="dxa"/>
        <w:left w:w="108" w:type="dxa"/>
        <w:bottom w:w="0" w:type="dxa"/>
        <w:right w:w="108" w:type="dxa"/>
      </w:tblCellMar>
    </w:tblPr>
  </w:style>
  <w:style w:type="paragraph" w:styleId="4">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中国建设银行股份有限公司河南省分行</Company>
  <Pages>8</Pages>
  <Words>3776</Words>
  <Characters>4088</Characters>
  <Lines>23</Lines>
  <Paragraphs>38</Paragraphs>
  <TotalTime>0</TotalTime>
  <ScaleCrop>false</ScaleCrop>
  <LinksUpToDate>false</LinksUpToDate>
  <CharactersWithSpaces>4123</CharactersWithSpaces>
  <Application>WPS Office_12.8.2.15209_F1E327BC-269C-435d-A152-05C5408002CA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2019-08-30T07:17:00Z</dcterms:created>
  <dc:creator>Apache POI</dc:creator>
  <cp:lastModifiedBy>haccb</cp:lastModifiedBy>
  <dcterms:modified xsi:type="dcterms:W3CDTF">2024-06-17T02:08:05Z</dcterms:modified>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2052-12.8.2.15209</vt:lpwstr>
  </property>
  <property fmtid="{D5CDD505-2E9C-101B-9397-08002B2CF9AE}" pid="3" name="ICV">
    <vt:lpwstr>4B565E68DB734721BE16825F15E49AF9_12</vt:lpwstr>
  </property>
</Properties>
</file>