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b/>
          <w:sz w:val="36"/>
          <w:szCs w:val="36"/>
        </w:rPr>
      </w:pPr>
    </w:p>
    <w:p>
      <w:pPr>
        <w:spacing w:line="400" w:lineRule="exact"/>
        <w:jc w:val="center"/>
        <w:rPr>
          <w:b/>
          <w:sz w:val="36"/>
          <w:szCs w:val="36"/>
        </w:rPr>
      </w:pPr>
      <w:r>
        <w:rPr>
          <w:rFonts w:hint="eastAsia"/>
          <w:b/>
          <w:sz w:val="36"/>
          <w:szCs w:val="36"/>
        </w:rPr>
        <w:t>20</w:t>
      </w:r>
      <w:r>
        <w:rPr>
          <w:rFonts w:hint="eastAsia"/>
          <w:b/>
          <w:sz w:val="36"/>
          <w:szCs w:val="36"/>
          <w:lang w:val="en-US" w:eastAsia="zh-CN"/>
        </w:rPr>
        <w:t>26</w:t>
      </w:r>
      <w:r>
        <w:rPr>
          <w:rFonts w:hint="eastAsia"/>
          <w:b/>
          <w:sz w:val="36"/>
          <w:szCs w:val="36"/>
        </w:rPr>
        <w:t>年常年法律顾问聘用合同</w:t>
      </w:r>
    </w:p>
    <w:p>
      <w:pPr>
        <w:adjustRightInd w:val="0"/>
        <w:snapToGrid w:val="0"/>
        <w:spacing w:line="400" w:lineRule="exact"/>
        <w:rPr>
          <w:rFonts w:ascii="仿宋_GB2312" w:hAnsi="宋体" w:eastAsia="仿宋_GB2312"/>
          <w:sz w:val="24"/>
        </w:rPr>
      </w:pPr>
    </w:p>
    <w:p>
      <w:pPr>
        <w:spacing w:line="400" w:lineRule="exact"/>
        <w:rPr>
          <w:rFonts w:ascii="仿宋_GB2312" w:hAnsi="宋体" w:eastAsia="仿宋_GB2312"/>
          <w:color w:val="000000"/>
          <w:sz w:val="24"/>
        </w:rPr>
      </w:pPr>
      <w:r>
        <w:rPr>
          <w:rFonts w:hint="eastAsia" w:ascii="仿宋_GB2312" w:hAnsi="宋体" w:eastAsia="仿宋_GB2312"/>
          <w:color w:val="000000"/>
          <w:sz w:val="24"/>
        </w:rPr>
        <w:t>甲方：中国太平洋人寿保险股份有限公司大连分公司</w:t>
      </w:r>
    </w:p>
    <w:p>
      <w:pPr>
        <w:spacing w:line="400" w:lineRule="exact"/>
        <w:rPr>
          <w:rFonts w:ascii="仿宋_GB2312" w:hAnsi="宋体" w:eastAsia="仿宋_GB2312"/>
          <w:color w:val="000000"/>
          <w:sz w:val="24"/>
          <w:u w:val="single"/>
        </w:rPr>
      </w:pPr>
      <w:r>
        <w:rPr>
          <w:rFonts w:hint="eastAsia" w:ascii="仿宋_GB2312" w:hAnsi="宋体" w:eastAsia="仿宋_GB2312"/>
          <w:color w:val="000000"/>
          <w:sz w:val="24"/>
        </w:rPr>
        <w:t>乙方：</w:t>
      </w:r>
    </w:p>
    <w:p>
      <w:pPr>
        <w:spacing w:line="400" w:lineRule="exact"/>
        <w:rPr>
          <w:rFonts w:ascii="仿宋_GB2312" w:hAnsi="宋体" w:eastAsia="仿宋_GB2312"/>
          <w:color w:val="000000"/>
          <w:sz w:val="24"/>
        </w:rPr>
      </w:pPr>
    </w:p>
    <w:p>
      <w:pPr>
        <w:pStyle w:val="3"/>
        <w:snapToGrid w:val="0"/>
        <w:spacing w:line="400" w:lineRule="exact"/>
        <w:rPr>
          <w:rFonts w:ascii="仿宋_GB2312" w:eastAsia="仿宋_GB2312"/>
          <w:sz w:val="24"/>
        </w:rPr>
      </w:pPr>
      <w:r>
        <w:rPr>
          <w:rFonts w:hint="eastAsia" w:ascii="仿宋_GB2312" w:eastAsia="仿宋_GB2312"/>
          <w:sz w:val="24"/>
        </w:rPr>
        <w:t xml:space="preserve"> 甲、乙双方基于平等、自愿、诚实信用的原则，经友好协商、一致同意后</w:t>
      </w:r>
    </w:p>
    <w:p>
      <w:pPr>
        <w:pStyle w:val="3"/>
        <w:snapToGrid w:val="0"/>
        <w:spacing w:line="400" w:lineRule="exact"/>
        <w:ind w:left="0" w:leftChars="0"/>
        <w:rPr>
          <w:rFonts w:ascii="仿宋_GB2312" w:eastAsia="仿宋_GB2312"/>
          <w:sz w:val="24"/>
        </w:rPr>
      </w:pPr>
      <w:r>
        <w:rPr>
          <w:rFonts w:hint="eastAsia" w:ascii="仿宋_GB2312" w:eastAsia="仿宋_GB2312"/>
          <w:sz w:val="24"/>
        </w:rPr>
        <w:t>就甲方聘请乙方律师担任常年法律顾问事宜签订本合同。</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第一条</w:t>
      </w:r>
      <w:r>
        <w:rPr>
          <w:rFonts w:hint="eastAsia" w:ascii="仿宋_GB2312" w:eastAsia="仿宋_GB2312"/>
          <w:sz w:val="24"/>
        </w:rPr>
        <w:t xml:space="preserve">  甲方自愿聘请乙方担任其常年法律顾问，乙方应当协助甲方开展日常业务工作。</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第二条</w:t>
      </w:r>
      <w:r>
        <w:rPr>
          <w:rFonts w:hint="eastAsia" w:ascii="仿宋_GB2312" w:eastAsia="仿宋_GB2312"/>
          <w:sz w:val="24"/>
        </w:rPr>
        <w:t xml:space="preserve">  乙方就如下范围为甲方提供法律服务：</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1、应甲方要求审核并修改合同、协议及其他法律文书，出具一般性法律意见；</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2、应甲方要求提供与甲方业务相关的法律、法规文件；</w:t>
      </w:r>
      <w:r>
        <w:rPr>
          <w:rFonts w:ascii="仿宋_GB2312" w:eastAsia="仿宋_GB2312"/>
          <w:sz w:val="24"/>
        </w:rPr>
        <w:t xml:space="preserve"> </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3、应甲方要求就日常业务运营及管理中所提出的问题或疑问进行法律研究；就甲方日常业务中遇到的法律问题提供口头或书面的答复、建议或咨询意见；受甲方委托，参与有关商务谈判。</w:t>
      </w:r>
    </w:p>
    <w:p>
      <w:pPr>
        <w:autoSpaceDE w:val="0"/>
        <w:autoSpaceDN w:val="0"/>
        <w:adjustRightInd w:val="0"/>
        <w:snapToGrid w:val="0"/>
        <w:spacing w:line="400" w:lineRule="exact"/>
        <w:rPr>
          <w:rFonts w:ascii="仿宋_GB2312" w:eastAsia="仿宋_GB2312"/>
          <w:sz w:val="24"/>
        </w:rPr>
      </w:pPr>
      <w:r>
        <w:rPr>
          <w:rFonts w:hint="eastAsia" w:ascii="仿宋_GB2312" w:eastAsia="仿宋_GB2312"/>
          <w:sz w:val="24"/>
        </w:rPr>
        <w:t xml:space="preserve">    4、应甲方要求就日常业务运营中的债权债务纠纷等有关事项，与第三方交涉，出具律师函，维护甲方的合法权益；应甲方要求以甲方的名义在公共媒体公布法律公告。</w:t>
      </w:r>
    </w:p>
    <w:p>
      <w:pPr>
        <w:autoSpaceDE w:val="0"/>
        <w:autoSpaceDN w:val="0"/>
        <w:adjustRightInd w:val="0"/>
        <w:snapToGrid w:val="0"/>
        <w:spacing w:line="400" w:lineRule="exact"/>
        <w:ind w:firstLine="480" w:firstLineChars="200"/>
        <w:rPr>
          <w:rFonts w:ascii="仿宋_GB2312" w:eastAsia="仿宋_GB2312"/>
          <w:sz w:val="24"/>
          <w:highlight w:val="none"/>
        </w:rPr>
      </w:pPr>
      <w:r>
        <w:rPr>
          <w:rFonts w:hint="eastAsia" w:ascii="仿宋_GB2312" w:eastAsia="仿宋_GB2312"/>
          <w:sz w:val="24"/>
          <w:highlight w:val="none"/>
        </w:rPr>
        <w:t>5、应甲方要求办理有关诉讼或非诉讼法律事务。一个合同年度内，诉讼案件10个（含10个）以内、标的额在30万（含30万）以下的出庭应诉工作在本合同的服务范围内，诉讼标的额度超过30万或者案件数超过该标准甲方另行委托另行计费。</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6、应甲方要求审核内部规章制度，劳动合同文本及与之相关的培训协议、保密协议；</w:t>
      </w:r>
      <w:r>
        <w:rPr>
          <w:rFonts w:hint="eastAsia" w:ascii="仿宋_GB2312" w:eastAsia="仿宋_GB2312"/>
          <w:spacing w:val="-4"/>
          <w:sz w:val="24"/>
        </w:rPr>
        <w:t>应邀列席甲方召集的经营管理和对外活动中的有关会议；</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7、负责对公司业务、理赔等有关人员进行法律知识的培训与指导；</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8、应甲方要求对甲方涉及内部员工和遭受外来的舞弊、欺诈、敲诈及其他犯罪行为提供法律服务和支持，进行检举和控告。</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hAnsi="Verdana" w:eastAsia="仿宋_GB2312"/>
          <w:sz w:val="24"/>
        </w:rPr>
        <w:t>9、在处置不良资产、化解风险案件过程中，开展相关调查、协商、沟通，提供法律咨询，出具书面法律意见。</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第三条</w:t>
      </w:r>
      <w:r>
        <w:rPr>
          <w:rFonts w:hint="eastAsia" w:ascii="仿宋_GB2312" w:eastAsia="仿宋_GB2312"/>
          <w:sz w:val="24"/>
        </w:rPr>
        <w:t>　乙方指派</w:t>
      </w:r>
      <w:r>
        <w:rPr>
          <w:rFonts w:hint="eastAsia" w:ascii="仿宋_GB2312" w:eastAsia="仿宋_GB2312"/>
          <w:sz w:val="24"/>
          <w:lang w:val="en-US" w:eastAsia="zh-CN"/>
        </w:rPr>
        <w:t xml:space="preserve">   </w:t>
      </w:r>
      <w:r>
        <w:rPr>
          <w:rFonts w:hint="eastAsia" w:ascii="仿宋_GB2312" w:eastAsia="仿宋_GB2312"/>
          <w:sz w:val="24"/>
        </w:rPr>
        <w:t>律师（和</w:t>
      </w:r>
      <w:r>
        <w:rPr>
          <w:rFonts w:hint="eastAsia" w:ascii="仿宋_GB2312" w:eastAsia="仿宋_GB2312"/>
          <w:sz w:val="24"/>
          <w:lang w:val="en-US" w:eastAsia="zh-CN"/>
        </w:rPr>
        <w:t xml:space="preserve">    </w:t>
      </w:r>
      <w:r>
        <w:rPr>
          <w:rFonts w:hint="eastAsia" w:ascii="仿宋_GB2312" w:eastAsia="仿宋_GB2312"/>
          <w:sz w:val="24"/>
        </w:rPr>
        <w:t>师）为特派律师，负责向甲方提供乙方根据本合同应提供的服务；甲方指派一名法务人员作为联系人。</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第四条</w:t>
      </w:r>
      <w:r>
        <w:rPr>
          <w:rFonts w:hint="eastAsia" w:ascii="仿宋_GB2312" w:eastAsia="仿宋_GB2312"/>
          <w:sz w:val="24"/>
        </w:rPr>
        <w:t xml:space="preserve">  甲方的权利和义务</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1、要求乙方按其指示履行法律顾问职责；</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2、乙方的特派律师不履行或未完全尽职地履行法律顾问职责时，要求乙方另行指派律师，直至取消聘用合同并收回当年的顾问费；</w:t>
      </w:r>
    </w:p>
    <w:p>
      <w:pPr>
        <w:numPr>
          <w:ilvl w:val="0"/>
          <w:numId w:val="1"/>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按时支付乙方法律顾问费用及合理的相关费用；</w:t>
      </w:r>
    </w:p>
    <w:p>
      <w:pPr>
        <w:numPr>
          <w:ilvl w:val="0"/>
          <w:numId w:val="1"/>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真实地向乙方提供有关的证据材料和相关的文件；</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5、为乙方履行法律顾问职责提供相关的工作协助，指定相对固定的协助联系人员。</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第五条</w:t>
      </w:r>
      <w:r>
        <w:rPr>
          <w:rFonts w:hint="eastAsia" w:ascii="仿宋_GB2312" w:eastAsia="仿宋_GB2312"/>
          <w:sz w:val="24"/>
        </w:rPr>
        <w:t xml:space="preserve">  乙方的权利和义务</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1、在甲方授权范围内高效地履行法律顾问职责，积极维护甲方的合法权益；</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2、按照甲方的指示，直接处理甲方授权事务，如遇特殊情况，需要转委托他人时，应事先征得甲方的同意；</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及时交付在处理甲方授权事务过程中所占有的甲方财产；</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不得接受同一案件对方当事人的委托；</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不得与第三方串通损害或者减少甲方应得的利益；</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为甲方保守商业秘密；</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按时向甲方收取法律顾问费及相关费用；</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依法使用证据和相关的材料；</w:t>
      </w:r>
    </w:p>
    <w:p>
      <w:pPr>
        <w:numPr>
          <w:ilvl w:val="0"/>
          <w:numId w:val="2"/>
        </w:numPr>
        <w:autoSpaceDE w:val="0"/>
        <w:autoSpaceDN w:val="0"/>
        <w:adjustRightInd w:val="0"/>
        <w:snapToGrid w:val="0"/>
        <w:spacing w:line="400" w:lineRule="exact"/>
        <w:ind w:left="0" w:firstLine="480" w:firstLineChars="200"/>
        <w:rPr>
          <w:rFonts w:ascii="仿宋_GB2312" w:eastAsia="仿宋_GB2312"/>
          <w:sz w:val="24"/>
        </w:rPr>
      </w:pPr>
      <w:r>
        <w:rPr>
          <w:rFonts w:hint="eastAsia" w:ascii="仿宋_GB2312" w:eastAsia="仿宋_GB2312"/>
          <w:sz w:val="24"/>
        </w:rPr>
        <w:t>当所代理的其他客户利益可能与甲方利益发生冲突时，应及时告知甲方并与甲方协商解决方案。</w:t>
      </w:r>
    </w:p>
    <w:p>
      <w:pPr>
        <w:autoSpaceDE w:val="0"/>
        <w:autoSpaceDN w:val="0"/>
        <w:adjustRightInd w:val="0"/>
        <w:snapToGrid w:val="0"/>
        <w:spacing w:line="400" w:lineRule="exact"/>
        <w:rPr>
          <w:rFonts w:ascii="仿宋_GB2312" w:eastAsia="仿宋_GB2312"/>
          <w:sz w:val="24"/>
        </w:rPr>
      </w:pPr>
      <w:r>
        <w:rPr>
          <w:rFonts w:hint="eastAsia" w:ascii="仿宋_GB2312" w:eastAsia="仿宋_GB2312"/>
          <w:sz w:val="24"/>
        </w:rPr>
        <w:t xml:space="preserve">    </w:t>
      </w:r>
      <w:r>
        <w:rPr>
          <w:rFonts w:hint="eastAsia" w:ascii="仿宋_GB2312" w:eastAsia="仿宋_GB2312"/>
          <w:b/>
          <w:sz w:val="24"/>
        </w:rPr>
        <w:t>第六条</w:t>
      </w:r>
      <w:r>
        <w:rPr>
          <w:rFonts w:hint="eastAsia" w:ascii="仿宋_GB2312" w:eastAsia="仿宋_GB2312"/>
          <w:sz w:val="24"/>
        </w:rPr>
        <w:t xml:space="preserve">  服务方式</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甲方遇到法律事务时，可随时要求乙方履行职责，乙方必须及时尽快给予相应的口头答复或书面答复，并对答复负责。如果需要，甲方可随时要求乙方来甲方处解答，乙方也可定时提供上门服务。</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第七条</w:t>
      </w:r>
      <w:r>
        <w:rPr>
          <w:rFonts w:hint="eastAsia" w:ascii="仿宋_GB2312" w:eastAsia="仿宋_GB2312"/>
          <w:sz w:val="24"/>
        </w:rPr>
        <w:t xml:space="preserve">  就上述工作内容，甲方应向乙方支付法律顾问费人民币</w:t>
      </w:r>
      <w:r>
        <w:rPr>
          <w:rFonts w:hint="eastAsia" w:ascii="仿宋_GB2312" w:eastAsia="仿宋_GB2312"/>
          <w:sz w:val="24"/>
          <w:u w:val="single"/>
          <w:lang w:val="en-US" w:eastAsia="zh-CN"/>
        </w:rPr>
        <w:t xml:space="preserve">     </w:t>
      </w:r>
      <w:r>
        <w:rPr>
          <w:rFonts w:hint="eastAsia" w:ascii="仿宋_GB2312" w:eastAsia="仿宋_GB2312"/>
          <w:sz w:val="24"/>
          <w:u w:val="single"/>
        </w:rPr>
        <w:t>（大写：人民币</w:t>
      </w:r>
      <w:r>
        <w:rPr>
          <w:rFonts w:hint="eastAsia" w:ascii="仿宋_GB2312" w:eastAsia="仿宋_GB2312"/>
          <w:sz w:val="24"/>
          <w:u w:val="single"/>
          <w:lang w:val="en-US" w:eastAsia="zh-CN"/>
        </w:rPr>
        <w:t xml:space="preserve"> </w:t>
      </w:r>
      <w:r>
        <w:rPr>
          <w:rFonts w:hint="eastAsia" w:ascii="仿宋_GB2312" w:eastAsia="仿宋_GB2312"/>
          <w:sz w:val="24"/>
          <w:u w:val="single"/>
        </w:rPr>
        <w:t>)</w:t>
      </w:r>
      <w:r>
        <w:rPr>
          <w:rFonts w:hint="eastAsia" w:ascii="仿宋_GB2312" w:eastAsia="仿宋_GB2312"/>
          <w:sz w:val="24"/>
        </w:rPr>
        <w:t>元/年，该法律顾问费分2次支付，每次支付人民币</w:t>
      </w:r>
      <w:r>
        <w:rPr>
          <w:rFonts w:hint="eastAsia" w:ascii="仿宋_GB2312" w:eastAsia="仿宋_GB2312"/>
          <w:sz w:val="24"/>
          <w:u w:val="single"/>
          <w:lang w:val="en-US" w:eastAsia="zh-CN"/>
        </w:rPr>
        <w:t xml:space="preserve">    </w:t>
      </w:r>
      <w:r>
        <w:rPr>
          <w:rFonts w:hint="eastAsia" w:ascii="仿宋_GB2312" w:eastAsia="仿宋_GB2312"/>
          <w:sz w:val="24"/>
          <w:u w:val="single"/>
        </w:rPr>
        <w:t>（人民币</w:t>
      </w:r>
      <w:r>
        <w:rPr>
          <w:rFonts w:hint="eastAsia" w:ascii="仿宋_GB2312" w:eastAsia="仿宋_GB2312"/>
          <w:sz w:val="24"/>
          <w:u w:val="single"/>
          <w:lang w:val="en-US" w:eastAsia="zh-CN"/>
        </w:rPr>
        <w:t xml:space="preserve">   </w:t>
      </w:r>
      <w:r>
        <w:rPr>
          <w:rFonts w:hint="eastAsia" w:ascii="仿宋_GB2312" w:eastAsia="仿宋_GB2312"/>
          <w:sz w:val="24"/>
          <w:u w:val="single"/>
        </w:rPr>
        <w:t>整）</w:t>
      </w:r>
      <w:r>
        <w:rPr>
          <w:rFonts w:hint="eastAsia" w:ascii="仿宋_GB2312" w:eastAsia="仿宋_GB2312"/>
          <w:sz w:val="24"/>
        </w:rPr>
        <w:t>元，首次为合同签订后十五个工作日内，第二次为合同履行6个月后的十五个工作日内。乙方在甲方付款后，应出具符合甲方要求的增值税专用发票。</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第八条</w:t>
      </w:r>
      <w:r>
        <w:rPr>
          <w:rFonts w:hint="eastAsia" w:ascii="仿宋_GB2312" w:eastAsia="仿宋_GB2312"/>
          <w:sz w:val="24"/>
        </w:rPr>
        <w:t xml:space="preserve">  若乙方不按甲方指示认真尽职地履行顾问职责，甲方有权随时解除合同，并收回当年度的顾问费。若因此造成甲方损失的，乙方负赔偿责任。</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第九条</w:t>
      </w:r>
      <w:r>
        <w:rPr>
          <w:rFonts w:hint="eastAsia" w:ascii="仿宋_GB2312" w:eastAsia="仿宋_GB2312"/>
          <w:sz w:val="24"/>
        </w:rPr>
        <w:t xml:space="preserve">  乙方承诺对本合同第二条规定范围内提供的服务不另行收费。</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第十条</w:t>
      </w:r>
      <w:r>
        <w:rPr>
          <w:rFonts w:hint="eastAsia" w:ascii="仿宋_GB2312" w:eastAsia="仿宋_GB2312"/>
          <w:sz w:val="24"/>
        </w:rPr>
        <w:t xml:space="preserve">  根据甲方的业务范围和特点，对标的超过30万的案件，甲方另行委托乙方办理下列个案的，双方约定如下：</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1、化解风险案件：律师费按照“无效果无报酬”的原则，采取风险代理形式确定，具体比例由双方另行协商。</w:t>
      </w:r>
    </w:p>
    <w:p>
      <w:pPr>
        <w:tabs>
          <w:tab w:val="left" w:pos="8504"/>
        </w:tabs>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2、诉讼案件：甲方因与他方发生纠纷而被诉至法院委托乙方代理时，乙方按大连市执业律师业务收费标准的</w:t>
      </w:r>
      <w:r>
        <w:rPr>
          <w:rFonts w:hint="eastAsia" w:ascii="仿宋_GB2312" w:eastAsia="仿宋_GB2312"/>
          <w:b/>
          <w:sz w:val="24"/>
          <w:u w:val="single"/>
        </w:rPr>
        <w:t>7</w:t>
      </w:r>
      <w:r>
        <w:rPr>
          <w:rFonts w:hint="eastAsia" w:ascii="仿宋_GB2312" w:eastAsia="仿宋_GB2312"/>
          <w:sz w:val="24"/>
        </w:rPr>
        <w:t>折收取律师费。</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3、追偿案件：办案费和律师费均按照“无效果无报酬”的原则执行。甲方在收到追偿款后按实际到帐额的一定比例支付乙方办案费。</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eastAsia="仿宋_GB2312"/>
          <w:sz w:val="24"/>
        </w:rPr>
        <w:t>4、甲方在理赔或其他业务经营的过程中，如涉及特别疑难案件，由双方根据个案具体情况协商确定律师费。</w:t>
      </w:r>
    </w:p>
    <w:p>
      <w:pPr>
        <w:autoSpaceDE w:val="0"/>
        <w:autoSpaceDN w:val="0"/>
        <w:adjustRightInd w:val="0"/>
        <w:snapToGrid w:val="0"/>
        <w:spacing w:line="400" w:lineRule="exact"/>
        <w:ind w:firstLine="480" w:firstLineChars="200"/>
        <w:rPr>
          <w:rFonts w:ascii="仿宋_GB2312" w:eastAsia="仿宋_GB2312"/>
          <w:sz w:val="24"/>
        </w:rPr>
      </w:pPr>
      <w:r>
        <w:rPr>
          <w:rFonts w:hint="eastAsia" w:ascii="仿宋_GB2312" w:hAnsi="Verdana" w:eastAsia="仿宋_GB2312"/>
          <w:sz w:val="24"/>
        </w:rPr>
        <w:t>5、在相关案件处置过程中开展的调查、协商、沟通工作，不另行收费。</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第十一条</w:t>
      </w:r>
      <w:r>
        <w:rPr>
          <w:rFonts w:hint="eastAsia" w:ascii="仿宋_GB2312" w:eastAsia="仿宋_GB2312"/>
          <w:sz w:val="24"/>
        </w:rPr>
        <w:t xml:space="preserve">  就乙方按本合同第二条范围内外的法律服务，双方应就个案另行签订聘请律师合同及委托书，并确定律师费。</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第十二条</w:t>
      </w:r>
      <w:r>
        <w:rPr>
          <w:rFonts w:hint="eastAsia" w:ascii="仿宋_GB2312" w:eastAsia="仿宋_GB2312"/>
          <w:sz w:val="24"/>
        </w:rPr>
        <w:t xml:space="preserve">  本合同未尽事宜，由甲、乙双方协商并以书面形式对本合同予以补充或更正。</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第十三条</w:t>
      </w:r>
      <w:r>
        <w:rPr>
          <w:rFonts w:hint="eastAsia" w:ascii="仿宋_GB2312" w:eastAsia="仿宋_GB2312"/>
          <w:sz w:val="24"/>
        </w:rPr>
        <w:t xml:space="preserve">  本合同期限为一年，</w:t>
      </w:r>
      <w:r>
        <w:rPr>
          <w:rFonts w:hint="eastAsia" w:ascii="仿宋_GB2312" w:eastAsia="仿宋_GB2312"/>
          <w:sz w:val="24"/>
          <w:lang w:val="en-US" w:eastAsia="zh-CN"/>
        </w:rPr>
        <w:t xml:space="preserve">从202 年 月 日起至202 年 月 </w:t>
      </w:r>
      <w:bookmarkStart w:id="0" w:name="_GoBack"/>
      <w:bookmarkEnd w:id="0"/>
      <w:r>
        <w:rPr>
          <w:rFonts w:hint="eastAsia" w:ascii="仿宋_GB2312" w:eastAsia="仿宋_GB2312"/>
          <w:sz w:val="24"/>
          <w:lang w:val="en-US" w:eastAsia="zh-CN"/>
        </w:rPr>
        <w:t>日止。</w:t>
      </w:r>
      <w:r>
        <w:rPr>
          <w:rFonts w:hint="eastAsia" w:ascii="仿宋_GB2312" w:eastAsia="仿宋_GB2312"/>
          <w:sz w:val="24"/>
        </w:rPr>
        <w:t>次年续约需另行协商。</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第十四条</w:t>
      </w:r>
      <w:r>
        <w:rPr>
          <w:rFonts w:hint="eastAsia" w:ascii="仿宋_GB2312" w:eastAsia="仿宋_GB2312"/>
          <w:sz w:val="24"/>
        </w:rPr>
        <w:t xml:space="preserve">  本合同一式</w:t>
      </w:r>
      <w:r>
        <w:rPr>
          <w:rFonts w:hint="eastAsia" w:ascii="仿宋_GB2312" w:eastAsia="仿宋_GB2312"/>
          <w:sz w:val="24"/>
          <w:lang w:val="en-US" w:eastAsia="zh-CN"/>
        </w:rPr>
        <w:t>肆</w:t>
      </w:r>
      <w:r>
        <w:rPr>
          <w:rFonts w:hint="eastAsia" w:ascii="仿宋_GB2312" w:eastAsia="仿宋_GB2312"/>
          <w:sz w:val="24"/>
        </w:rPr>
        <w:t>份，双方各持</w:t>
      </w:r>
      <w:r>
        <w:rPr>
          <w:rFonts w:hint="eastAsia" w:ascii="仿宋_GB2312" w:eastAsia="仿宋_GB2312"/>
          <w:sz w:val="24"/>
          <w:lang w:val="en-US" w:eastAsia="zh-CN"/>
        </w:rPr>
        <w:t>两</w:t>
      </w:r>
      <w:r>
        <w:rPr>
          <w:rFonts w:hint="eastAsia" w:ascii="仿宋_GB2312" w:eastAsia="仿宋_GB2312"/>
          <w:sz w:val="24"/>
        </w:rPr>
        <w:t>份。</w:t>
      </w:r>
    </w:p>
    <w:p>
      <w:pPr>
        <w:autoSpaceDE w:val="0"/>
        <w:autoSpaceDN w:val="0"/>
        <w:adjustRightInd w:val="0"/>
        <w:snapToGrid w:val="0"/>
        <w:spacing w:line="400" w:lineRule="exact"/>
        <w:ind w:firstLine="482" w:firstLineChars="200"/>
        <w:rPr>
          <w:rFonts w:ascii="仿宋_GB2312" w:eastAsia="仿宋_GB2312"/>
          <w:sz w:val="24"/>
        </w:rPr>
      </w:pPr>
      <w:r>
        <w:rPr>
          <w:rFonts w:hint="eastAsia" w:ascii="仿宋_GB2312" w:eastAsia="仿宋_GB2312"/>
          <w:b/>
          <w:sz w:val="24"/>
        </w:rPr>
        <w:t>第十五条</w:t>
      </w:r>
      <w:r>
        <w:rPr>
          <w:rFonts w:hint="eastAsia" w:ascii="仿宋_GB2312" w:eastAsia="仿宋_GB2312"/>
          <w:sz w:val="24"/>
        </w:rPr>
        <w:t xml:space="preserve">  本合同于双方授权的代表签署时起生效。</w:t>
      </w:r>
    </w:p>
    <w:p>
      <w:pPr>
        <w:spacing w:line="400" w:lineRule="exact"/>
        <w:rPr>
          <w:rFonts w:ascii="仿宋_GB2312" w:hAnsi="宋体" w:eastAsia="仿宋_GB2312"/>
          <w:b/>
          <w:bCs/>
          <w:color w:val="000000"/>
          <w:sz w:val="24"/>
        </w:rPr>
      </w:pP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兹证明，本合同在下述日期由以下双方合法授权代表人签署盖章。</w:t>
      </w:r>
    </w:p>
    <w:p>
      <w:pPr>
        <w:widowControl/>
        <w:adjustRightInd w:val="0"/>
        <w:snapToGrid w:val="0"/>
        <w:spacing w:line="400" w:lineRule="exact"/>
        <w:ind w:firstLine="480" w:firstLineChars="200"/>
        <w:rPr>
          <w:rFonts w:ascii="仿宋_GB2312" w:hAnsi="宋体" w:eastAsia="仿宋_GB2312"/>
          <w:color w:val="000000"/>
          <w:sz w:val="24"/>
        </w:rPr>
      </w:pPr>
    </w:p>
    <w:p>
      <w:pPr>
        <w:widowControl/>
        <w:adjustRightInd w:val="0"/>
        <w:snapToGrid w:val="0"/>
        <w:spacing w:line="400" w:lineRule="exact"/>
        <w:ind w:left="1244" w:leftChars="234" w:hanging="753" w:hangingChars="314"/>
        <w:rPr>
          <w:rFonts w:ascii="仿宋_GB2312" w:hAnsi="宋体" w:eastAsia="仿宋_GB2312"/>
          <w:color w:val="000000"/>
          <w:sz w:val="24"/>
        </w:rPr>
      </w:pPr>
      <w:r>
        <w:rPr>
          <w:rFonts w:hint="eastAsia" w:ascii="仿宋_GB2312" w:hAnsi="宋体" w:eastAsia="仿宋_GB2312"/>
          <w:color w:val="000000"/>
          <w:sz w:val="24"/>
        </w:rPr>
        <w:t>甲方：中国太平洋人寿保险股份有限公司大连分公司</w:t>
      </w:r>
    </w:p>
    <w:p>
      <w:pPr>
        <w:widowControl/>
        <w:adjustRightInd w:val="0"/>
        <w:snapToGrid w:val="0"/>
        <w:spacing w:line="400" w:lineRule="exact"/>
        <w:ind w:left="1244" w:leftChars="234" w:hanging="753" w:hangingChars="314"/>
        <w:rPr>
          <w:rFonts w:hint="eastAsia" w:ascii="仿宋_GB2312" w:hAnsi="宋体" w:eastAsia="仿宋_GB2312"/>
          <w:color w:val="000000"/>
          <w:sz w:val="24"/>
        </w:rPr>
      </w:pPr>
      <w:r>
        <w:rPr>
          <w:rFonts w:hint="eastAsia" w:ascii="仿宋_GB2312" w:hAnsi="宋体" w:eastAsia="仿宋_GB2312"/>
          <w:color w:val="000000"/>
          <w:sz w:val="24"/>
        </w:rPr>
        <w:t>（公章）</w:t>
      </w:r>
    </w:p>
    <w:p>
      <w:pPr>
        <w:widowControl/>
        <w:adjustRightInd w:val="0"/>
        <w:snapToGrid w:val="0"/>
        <w:spacing w:line="400" w:lineRule="exact"/>
        <w:ind w:left="1244" w:leftChars="234" w:hanging="753" w:hangingChars="314"/>
        <w:rPr>
          <w:rFonts w:hint="eastAsia" w:ascii="仿宋_GB2312" w:hAnsi="宋体" w:eastAsia="仿宋_GB2312"/>
          <w:color w:val="000000"/>
          <w:sz w:val="24"/>
          <w:lang w:val="en-US" w:eastAsia="zh-CN"/>
        </w:rPr>
      </w:pPr>
      <w:r>
        <w:rPr>
          <w:rFonts w:hint="eastAsia" w:ascii="仿宋_GB2312" w:hAnsi="宋体" w:eastAsia="仿宋_GB2312"/>
          <w:color w:val="000000"/>
          <w:sz w:val="24"/>
          <w:lang w:val="en-US" w:eastAsia="zh-CN"/>
        </w:rPr>
        <w:t>住址：</w:t>
      </w:r>
      <w:r>
        <w:rPr>
          <w:rFonts w:hint="eastAsia" w:ascii="仿宋_GB2312" w:hAnsi="宋体" w:eastAsia="仿宋_GB2312"/>
          <w:color w:val="000000"/>
          <w:sz w:val="24"/>
        </w:rPr>
        <w:t>辽宁省大连市沙河口区太原街177-9号、10号4层、8层、9层、13层</w:t>
      </w: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授权签署人：                         </w:t>
      </w: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签署日期：                           </w:t>
      </w:r>
    </w:p>
    <w:p>
      <w:pPr>
        <w:widowControl/>
        <w:adjustRightInd w:val="0"/>
        <w:snapToGrid w:val="0"/>
        <w:spacing w:line="400" w:lineRule="exact"/>
        <w:ind w:firstLine="480" w:firstLineChars="200"/>
        <w:rPr>
          <w:rFonts w:ascii="仿宋_GB2312" w:hAnsi="宋体" w:eastAsia="仿宋_GB2312"/>
          <w:color w:val="000000"/>
          <w:sz w:val="24"/>
        </w:rPr>
      </w:pP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乙方：</w:t>
      </w:r>
    </w:p>
    <w:p>
      <w:pPr>
        <w:widowControl/>
        <w:adjustRightInd w:val="0"/>
        <w:snapToGrid w:val="0"/>
        <w:spacing w:line="400" w:lineRule="exact"/>
        <w:ind w:firstLine="480" w:firstLineChars="200"/>
        <w:rPr>
          <w:rFonts w:hint="eastAsia" w:ascii="仿宋_GB2312" w:hAnsi="宋体" w:eastAsia="仿宋_GB2312"/>
          <w:color w:val="000000"/>
          <w:sz w:val="24"/>
        </w:rPr>
      </w:pPr>
      <w:r>
        <w:rPr>
          <w:rFonts w:hint="eastAsia" w:ascii="仿宋_GB2312" w:hAnsi="宋体" w:eastAsia="仿宋_GB2312"/>
          <w:color w:val="000000"/>
          <w:sz w:val="24"/>
        </w:rPr>
        <w:t>(公章)</w:t>
      </w: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lang w:val="en-US" w:eastAsia="zh-CN"/>
        </w:rPr>
        <w:t>住址：</w:t>
      </w:r>
      <w:r>
        <w:rPr>
          <w:rFonts w:hint="eastAsia" w:ascii="仿宋_GB2312" w:hAnsi="宋体" w:eastAsia="仿宋_GB2312"/>
          <w:color w:val="000000"/>
          <w:sz w:val="24"/>
        </w:rPr>
        <w:t xml:space="preserve">                               </w:t>
      </w: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授权签署人：                         </w:t>
      </w:r>
    </w:p>
    <w:p>
      <w:pPr>
        <w:widowControl/>
        <w:adjustRightInd w:val="0"/>
        <w:snapToGrid w:val="0"/>
        <w:spacing w:line="400" w:lineRule="exact"/>
        <w:ind w:firstLine="480" w:firstLineChars="200"/>
        <w:rPr>
          <w:rFonts w:ascii="仿宋_GB2312" w:hAnsi="宋体" w:eastAsia="仿宋_GB2312"/>
          <w:color w:val="000000"/>
          <w:sz w:val="24"/>
        </w:rPr>
      </w:pPr>
      <w:r>
        <w:rPr>
          <w:rFonts w:hint="eastAsia" w:ascii="仿宋_GB2312" w:hAnsi="宋体" w:eastAsia="仿宋_GB2312"/>
          <w:color w:val="000000"/>
          <w:sz w:val="24"/>
        </w:rPr>
        <w:t xml:space="preserve">签署日期：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Style w:val="10"/>
      </w:rPr>
      <w:fldChar w:fldCharType="begin"/>
    </w:r>
    <w:r>
      <w:rPr>
        <w:rStyle w:val="10"/>
      </w:rPr>
      <w:instrText xml:space="preserve"> PAGE </w:instrText>
    </w:r>
    <w:r>
      <w:rPr>
        <w:rStyle w:val="10"/>
      </w:rPr>
      <w:fldChar w:fldCharType="separate"/>
    </w:r>
    <w:r>
      <w:rPr>
        <w:rStyle w:val="10"/>
      </w:rPr>
      <w:t>1</w:t>
    </w:r>
    <w:r>
      <w:rPr>
        <w:rStyle w:val="10"/>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3"/>
      </w:pBdr>
      <w:ind w:left="84" w:leftChars="40" w:firstLine="7" w:firstLineChars="3"/>
      <w:jc w:val="both"/>
      <w:rPr>
        <w:rFonts w:ascii="华文行楷" w:eastAsia="华文行楷"/>
        <w:sz w:val="21"/>
        <w:szCs w:val="21"/>
      </w:rPr>
    </w:pPr>
    <w:r>
      <w:rPr>
        <w:sz w:val="24"/>
        <w:szCs w:val="24"/>
      </w:rPr>
      <w:drawing>
        <wp:inline distT="0" distB="0" distL="0" distR="0">
          <wp:extent cx="180975" cy="189865"/>
          <wp:effectExtent l="19050" t="0" r="9525" b="0"/>
          <wp:docPr id="4097" name="图片 1"/>
          <wp:cNvGraphicFramePr/>
          <a:graphic xmlns:a="http://schemas.openxmlformats.org/drawingml/2006/main">
            <a:graphicData uri="http://schemas.openxmlformats.org/drawingml/2006/picture">
              <pic:pic xmlns:pic="http://schemas.openxmlformats.org/drawingml/2006/picture">
                <pic:nvPicPr>
                  <pic:cNvPr id="4097" name="图片 1"/>
                  <pic:cNvPicPr/>
                </pic:nvPicPr>
                <pic:blipFill>
                  <a:blip r:embed="rId1" cstate="print"/>
                  <a:srcRect/>
                  <a:stretch>
                    <a:fillRect/>
                  </a:stretch>
                </pic:blipFill>
                <pic:spPr>
                  <a:xfrm>
                    <a:off x="0" y="0"/>
                    <a:ext cx="180975" cy="189865"/>
                  </a:xfrm>
                  <a:prstGeom prst="rect">
                    <a:avLst/>
                  </a:prstGeom>
                  <a:ln>
                    <a:noFill/>
                  </a:ln>
                </pic:spPr>
              </pic:pic>
            </a:graphicData>
          </a:graphic>
        </wp:inline>
      </w:drawing>
    </w:r>
    <w:r>
      <w:rPr>
        <w:rFonts w:hint="eastAsia" w:ascii="仿宋_GB2312" w:hAnsi="宋体" w:eastAsia="仿宋_GB2312"/>
        <w:b/>
        <w:sz w:val="21"/>
        <w:szCs w:val="21"/>
      </w:rPr>
      <w:t>中国太平洋人寿保险股份有限公司                          合同范本库（第一辑）</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3"/>
      <w:numFmt w:val="decimal"/>
      <w:lvlText w:val="%1、"/>
      <w:lvlJc w:val="left"/>
      <w:pPr>
        <w:tabs>
          <w:tab w:val="left" w:pos="840"/>
        </w:tabs>
        <w:ind w:left="840" w:hanging="360"/>
      </w:pPr>
      <w:rPr>
        <w:rFonts w:hint="eastAsia"/>
      </w:rPr>
    </w:lvl>
  </w:abstractNum>
  <w:abstractNum w:abstractNumId="1">
    <w:nsid w:val="0053208E"/>
    <w:multiLevelType w:val="singleLevel"/>
    <w:tmpl w:val="0053208E"/>
    <w:lvl w:ilvl="0" w:tentative="0">
      <w:start w:val="3"/>
      <w:numFmt w:val="decimal"/>
      <w:lvlText w:val="%1、"/>
      <w:lvlJc w:val="left"/>
      <w:pPr>
        <w:tabs>
          <w:tab w:val="left" w:pos="840"/>
        </w:tabs>
        <w:ind w:left="840" w:hanging="36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7BE"/>
    <w:rsid w:val="001000F3"/>
    <w:rsid w:val="00810267"/>
    <w:rsid w:val="008E37BE"/>
    <w:rsid w:val="11B97357"/>
    <w:rsid w:val="248475AB"/>
    <w:rsid w:val="2E8D7E2D"/>
    <w:rsid w:val="36EE00AB"/>
    <w:rsid w:val="3C052062"/>
    <w:rsid w:val="4077958F"/>
    <w:rsid w:val="469E5DBC"/>
    <w:rsid w:val="57CD2F66"/>
    <w:rsid w:val="582130DA"/>
    <w:rsid w:val="606E5976"/>
    <w:rsid w:val="67EE0626"/>
    <w:rsid w:val="7D115E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eastAsia="楷体_GB2312"/>
      <w:sz w:val="28"/>
      <w:szCs w:val="28"/>
    </w:rPr>
  </w:style>
  <w:style w:type="paragraph" w:styleId="3">
    <w:name w:val="Body Text Indent"/>
    <w:basedOn w:val="1"/>
    <w:link w:val="11"/>
    <w:qFormat/>
    <w:uiPriority w:val="0"/>
    <w:pPr>
      <w:spacing w:after="120"/>
      <w:ind w:left="420" w:leftChars="200"/>
    </w:p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character" w:styleId="10">
    <w:name w:val="page number"/>
    <w:basedOn w:val="9"/>
    <w:qFormat/>
    <w:uiPriority w:val="0"/>
  </w:style>
  <w:style w:type="character" w:customStyle="1" w:styleId="11">
    <w:name w:val="正文文本缩进 Char"/>
    <w:basedOn w:val="9"/>
    <w:link w:val="3"/>
    <w:qFormat/>
    <w:uiPriority w:val="0"/>
    <w:rPr>
      <w:kern w:val="2"/>
      <w:sz w:val="21"/>
      <w:szCs w:val="24"/>
    </w:rPr>
  </w:style>
  <w:style w:type="character" w:customStyle="1" w:styleId="12">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341</Words>
  <Characters>1947</Characters>
  <Lines>16</Lines>
  <Paragraphs>4</Paragraphs>
  <TotalTime>7</TotalTime>
  <ScaleCrop>false</ScaleCrop>
  <LinksUpToDate>false</LinksUpToDate>
  <CharactersWithSpaces>2284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2014-07-24T10:00:00Z</dcterms:created>
  <dc:creator>Administrator</dc:creator>
  <cp:lastModifiedBy>yuwentao-009</cp:lastModifiedBy>
  <cp:lastPrinted>2014-11-27T08:49:00Z</cp:lastPrinted>
  <dcterms:modified xsi:type="dcterms:W3CDTF">2025-10-23T06:01:26Z</dcterms:modified>
  <dc:title>常年法律顾问聘用合同</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47CA288D789349939107C80B106C5522</vt:lpwstr>
  </property>
</Properties>
</file>