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80" w:lineRule="exact"/>
        <w:jc w:val="center"/>
        <w:rPr>
          <w:rFonts w:ascii="彩虹小标宋" w:hAnsi="宋体" w:eastAsia="彩虹小标宋"/>
          <w:snapToGrid w:val="0"/>
          <w:kern w:val="0"/>
          <w:sz w:val="40"/>
          <w:szCs w:val="44"/>
        </w:rPr>
      </w:pPr>
      <w:r>
        <w:rPr>
          <w:rFonts w:hint="eastAsia" w:ascii="彩虹小标宋" w:hAnsi="宋体" w:eastAsia="彩虹小标宋"/>
          <w:snapToGrid w:val="0"/>
          <w:kern w:val="0"/>
          <w:sz w:val="40"/>
          <w:szCs w:val="44"/>
        </w:rPr>
        <w:t>关于商机直拨通外呼系统通讯</w:t>
      </w:r>
      <w:r>
        <w:rPr>
          <w:rFonts w:hint="eastAsia" w:ascii="彩虹小标宋" w:hAnsi="宋体" w:eastAsia="彩虹小标宋"/>
          <w:snapToGrid w:val="0"/>
          <w:kern w:val="0"/>
          <w:sz w:val="40"/>
          <w:szCs w:val="44"/>
          <w:lang w:val="en-US" w:eastAsia="zh-CN"/>
        </w:rPr>
        <w:t>运营商</w:t>
      </w:r>
      <w:r>
        <w:rPr>
          <w:rFonts w:hint="eastAsia" w:ascii="彩虹小标宋" w:hAnsi="宋体" w:eastAsia="彩虹小标宋"/>
          <w:snapToGrid w:val="0"/>
          <w:kern w:val="0"/>
          <w:sz w:val="40"/>
          <w:szCs w:val="44"/>
        </w:rPr>
        <w:t>采购需求</w:t>
      </w:r>
    </w:p>
    <w:p>
      <w:pPr>
        <w:adjustRightInd w:val="0"/>
        <w:snapToGrid w:val="0"/>
        <w:spacing w:line="580" w:lineRule="exact"/>
        <w:ind w:firstLine="643" w:firstLineChars="200"/>
        <w:rPr>
          <w:rFonts w:ascii="彩虹粗仿宋" w:hAnsi="宋体" w:eastAsia="彩虹粗仿宋" w:cs="Times New Roman"/>
          <w:b/>
          <w:snapToGrid w:val="0"/>
          <w:kern w:val="0"/>
          <w:sz w:val="32"/>
          <w:szCs w:val="32"/>
        </w:rPr>
      </w:pPr>
    </w:p>
    <w:p>
      <w:pPr>
        <w:numPr>
          <w:ilvl w:val="0"/>
          <w:numId w:val="1"/>
        </w:numPr>
        <w:adjustRightInd w:val="0"/>
        <w:snapToGrid w:val="0"/>
        <w:spacing w:line="580" w:lineRule="exact"/>
        <w:ind w:firstLine="643" w:firstLineChars="200"/>
        <w:outlineLvl w:val="0"/>
        <w:rPr>
          <w:rFonts w:hint="eastAsia"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对于候选供应商的资质要求</w:t>
      </w:r>
    </w:p>
    <w:p>
      <w:pPr>
        <w:numPr>
          <w:ilvl w:val="0"/>
          <w:numId w:val="0"/>
        </w:numPr>
        <w:spacing w:line="580" w:lineRule="exact"/>
        <w:ind w:left="0" w:leftChars="0" w:firstLine="640" w:firstLineChars="200"/>
        <w:rPr>
          <w:rFonts w:hint="eastAsia" w:ascii="彩虹粗仿宋" w:hAnsi="Arial" w:eastAsia="彩虹粗仿宋" w:cs="Arial"/>
          <w:snapToGrid w:val="0"/>
          <w:color w:val="000000"/>
          <w:kern w:val="0"/>
          <w:sz w:val="32"/>
          <w:szCs w:val="32"/>
          <w:lang w:eastAsia="zh-CN"/>
        </w:rPr>
      </w:pPr>
      <w:r>
        <w:rPr>
          <w:rFonts w:hint="eastAsia" w:ascii="彩虹粗仿宋" w:hAnsi="Calibri" w:eastAsia="彩虹粗仿宋"/>
          <w:sz w:val="32"/>
          <w:szCs w:val="32"/>
          <w:lang w:eastAsia="zh-CN"/>
        </w:rPr>
        <w:t>（一）</w:t>
      </w:r>
      <w:r>
        <w:rPr>
          <w:rFonts w:hint="eastAsia" w:ascii="彩虹粗仿宋" w:hAnsi="Calibri" w:eastAsia="彩虹粗仿宋"/>
          <w:sz w:val="32"/>
          <w:szCs w:val="32"/>
        </w:rPr>
        <w:t>供应商</w:t>
      </w:r>
      <w:r>
        <w:rPr>
          <w:rFonts w:hint="eastAsia" w:ascii="彩虹粗仿宋" w:hAnsi="Arial" w:eastAsia="彩虹粗仿宋" w:cs="Arial"/>
          <w:snapToGrid w:val="0"/>
          <w:color w:val="000000"/>
          <w:kern w:val="0"/>
          <w:sz w:val="32"/>
          <w:szCs w:val="32"/>
          <w:lang w:eastAsia="zh-CN"/>
        </w:rPr>
        <w:t>需提供</w:t>
      </w:r>
      <w:bookmarkStart w:id="0" w:name="_GoBack"/>
      <w:bookmarkEnd w:id="0"/>
      <w:r>
        <w:rPr>
          <w:rFonts w:hint="eastAsia" w:ascii="彩虹粗仿宋" w:hAnsi="Arial" w:eastAsia="彩虹粗仿宋" w:cs="Arial"/>
          <w:snapToGrid w:val="0"/>
          <w:color w:val="000000"/>
          <w:kern w:val="0"/>
          <w:sz w:val="32"/>
          <w:szCs w:val="32"/>
          <w:lang w:eastAsia="zh-CN"/>
        </w:rPr>
        <w:t>基础电信业务经营许可证和中华人民共和国增值电信业务经营许可证。</w:t>
      </w:r>
    </w:p>
    <w:p>
      <w:pPr>
        <w:ind w:firstLine="640" w:firstLineChars="200"/>
        <w:rPr>
          <w:rFonts w:hint="eastAsia" w:ascii="彩虹粗仿宋" w:hAnsi="宋体" w:eastAsia="彩虹粗仿宋" w:cs="Times New Roman"/>
          <w:b/>
          <w:snapToGrid w:val="0"/>
          <w:kern w:val="0"/>
          <w:sz w:val="32"/>
          <w:szCs w:val="32"/>
          <w:lang w:val="en-US" w:eastAsia="zh-CN"/>
        </w:rPr>
      </w:pPr>
      <w:r>
        <w:rPr>
          <w:rFonts w:hint="eastAsia" w:ascii="彩虹粗仿宋" w:hAnsi="Arial" w:eastAsia="彩虹粗仿宋" w:cs="Arial"/>
          <w:snapToGrid w:val="0"/>
          <w:color w:val="000000"/>
          <w:kern w:val="0"/>
          <w:sz w:val="32"/>
          <w:szCs w:val="32"/>
          <w:lang w:val="en-US" w:eastAsia="zh-CN"/>
        </w:rPr>
        <w:t>（二）</w:t>
      </w:r>
      <w:r>
        <w:rPr>
          <w:rFonts w:hint="eastAsia" w:ascii="彩虹粗仿宋" w:hAnsi="Arial" w:eastAsia="彩虹粗仿宋" w:cs="Arial"/>
          <w:snapToGrid w:val="0"/>
          <w:color w:val="000000"/>
          <w:kern w:val="0"/>
          <w:sz w:val="32"/>
          <w:szCs w:val="32"/>
        </w:rPr>
        <w:t>投标人需提供2022年1月1日至今至少1个与本项目类似案例（提供合同扫描件，以签署时间为准）。</w:t>
      </w:r>
    </w:p>
    <w:p>
      <w:pPr>
        <w:adjustRightInd w:val="0"/>
        <w:snapToGrid w:val="0"/>
        <w:spacing w:line="580" w:lineRule="exact"/>
        <w:ind w:firstLine="643" w:firstLineChars="200"/>
        <w:outlineLvl w:val="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二、采购要求</w:t>
      </w:r>
    </w:p>
    <w:p>
      <w:pPr>
        <w:adjustRightInd w:val="0"/>
        <w:snapToGrid w:val="0"/>
        <w:spacing w:line="560" w:lineRule="atLeast"/>
        <w:ind w:firstLine="643" w:firstLineChars="200"/>
        <w:outlineLvl w:val="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（一）服务要求</w:t>
      </w:r>
    </w:p>
    <w:p>
      <w:pPr>
        <w:adjustRightInd w:val="0"/>
        <w:snapToGrid w:val="0"/>
        <w:spacing w:line="560" w:lineRule="atLeast"/>
        <w:ind w:firstLine="640" w:firstLineChars="200"/>
        <w:rPr>
          <w:rFonts w:ascii="彩虹粗仿宋" w:hAnsi="宋体" w:eastAsia="彩虹粗仿宋" w:cs="Times New Roman"/>
          <w:snapToGrid w:val="0"/>
          <w:color w:val="FF0000"/>
          <w:kern w:val="0"/>
          <w:sz w:val="32"/>
          <w:szCs w:val="32"/>
        </w:rPr>
      </w:pPr>
      <w:r>
        <w:rPr>
          <w:rFonts w:hint="eastAsia" w:ascii="彩虹粗仿宋" w:hAnsi="宋体" w:eastAsia="彩虹粗仿宋"/>
          <w:color w:val="000000"/>
          <w:sz w:val="32"/>
          <w:szCs w:val="32"/>
        </w:rPr>
        <w:t>供应商提供的号码及线路等资源，要求平台服务及线路接入</w:t>
      </w:r>
      <w:r>
        <w:rPr>
          <w:rFonts w:hint="eastAsia" w:ascii="彩虹粗仿宋" w:hAnsi="宋体" w:eastAsia="彩虹粗仿宋"/>
          <w:sz w:val="32"/>
          <w:szCs w:val="32"/>
        </w:rPr>
        <w:t>运行稳定、可靠、安全，要求话务清晰、流畅。</w:t>
      </w:r>
    </w:p>
    <w:p>
      <w:pPr>
        <w:ind w:firstLine="640" w:firstLineChars="200"/>
        <w:rPr>
          <w:rFonts w:ascii="彩虹粗仿宋" w:eastAsia="彩虹粗仿宋"/>
          <w:sz w:val="32"/>
          <w:szCs w:val="32"/>
        </w:rPr>
      </w:pPr>
      <w:r>
        <w:rPr>
          <w:rFonts w:hint="eastAsia" w:ascii="彩虹粗仿宋" w:eastAsia="彩虹粗仿宋"/>
          <w:sz w:val="32"/>
          <w:szCs w:val="32"/>
        </w:rPr>
        <w:t>全省拟设置两级外呼机构，一级机构放置在省分行相关业务部门</w:t>
      </w:r>
      <w:r>
        <w:rPr>
          <w:rFonts w:hint="eastAsia" w:ascii="彩虹粗仿宋" w:eastAsia="彩虹粗仿宋"/>
          <w:sz w:val="32"/>
          <w:szCs w:val="32"/>
          <w:lang w:val="en-US" w:eastAsia="zh-CN"/>
        </w:rPr>
        <w:t>及省分行直管支行</w:t>
      </w:r>
      <w:r>
        <w:rPr>
          <w:rFonts w:hint="eastAsia" w:ascii="彩虹粗仿宋" w:eastAsia="彩虹粗仿宋"/>
          <w:sz w:val="32"/>
          <w:szCs w:val="32"/>
        </w:rPr>
        <w:t>，外呼数据接收、下发等数据处理工作以及一级分行的集中外呼；二级机构放置在各二级分支行，负责所辖机构的商机数据分发和外呼管理。共部署坐席500个。</w:t>
      </w:r>
    </w:p>
    <w:p>
      <w:pPr>
        <w:ind w:firstLine="640" w:firstLineChars="200"/>
        <w:rPr>
          <w:rFonts w:ascii="彩虹粗仿宋" w:eastAsia="彩虹粗仿宋"/>
          <w:sz w:val="32"/>
          <w:szCs w:val="32"/>
        </w:rPr>
      </w:pPr>
      <w:r>
        <w:rPr>
          <w:rFonts w:hint="eastAsia" w:ascii="彩虹粗仿宋" w:eastAsia="彩虹粗仿宋"/>
          <w:sz w:val="32"/>
          <w:szCs w:val="32"/>
        </w:rPr>
        <w:t>运营商提供</w:t>
      </w:r>
      <w:r>
        <w:rPr>
          <w:rFonts w:hint="eastAsia" w:ascii="彩虹粗仿宋" w:eastAsia="彩虹粗仿宋"/>
          <w:sz w:val="32"/>
          <w:szCs w:val="32"/>
          <w:lang w:val="en-US" w:eastAsia="zh-CN"/>
        </w:rPr>
        <w:t>270</w:t>
      </w:r>
      <w:r>
        <w:rPr>
          <w:rFonts w:hint="eastAsia" w:ascii="彩虹粗仿宋" w:eastAsia="彩虹粗仿宋"/>
          <w:sz w:val="32"/>
          <w:szCs w:val="32"/>
        </w:rPr>
        <w:t>个外呼电话，形成外呼号码池，各地市分配数量如下：长春</w:t>
      </w:r>
      <w:r>
        <w:rPr>
          <w:rFonts w:hint="eastAsia" w:ascii="彩虹粗仿宋" w:eastAsia="彩虹粗仿宋"/>
          <w:sz w:val="32"/>
          <w:szCs w:val="32"/>
          <w:lang w:val="en-US" w:eastAsia="zh-CN"/>
        </w:rPr>
        <w:t>136</w:t>
      </w:r>
      <w:r>
        <w:rPr>
          <w:rFonts w:hint="eastAsia" w:ascii="彩虹粗仿宋" w:eastAsia="彩虹粗仿宋"/>
          <w:sz w:val="32"/>
          <w:szCs w:val="32"/>
        </w:rPr>
        <w:t>个、吉林</w:t>
      </w:r>
      <w:r>
        <w:rPr>
          <w:rFonts w:hint="eastAsia" w:ascii="彩虹粗仿宋" w:eastAsia="彩虹粗仿宋"/>
          <w:sz w:val="32"/>
          <w:szCs w:val="32"/>
          <w:lang w:val="en-US" w:eastAsia="zh-CN"/>
        </w:rPr>
        <w:t>30</w:t>
      </w:r>
      <w:r>
        <w:rPr>
          <w:rFonts w:hint="eastAsia" w:ascii="彩虹粗仿宋" w:eastAsia="彩虹粗仿宋"/>
          <w:sz w:val="32"/>
          <w:szCs w:val="32"/>
        </w:rPr>
        <w:t>个、四平</w:t>
      </w:r>
      <w:r>
        <w:rPr>
          <w:rFonts w:hint="eastAsia" w:ascii="彩虹粗仿宋" w:eastAsia="彩虹粗仿宋"/>
          <w:sz w:val="32"/>
          <w:szCs w:val="32"/>
          <w:lang w:val="en-US" w:eastAsia="zh-CN"/>
        </w:rPr>
        <w:t>16</w:t>
      </w:r>
      <w:r>
        <w:rPr>
          <w:rFonts w:hint="eastAsia" w:ascii="彩虹粗仿宋" w:eastAsia="彩虹粗仿宋"/>
          <w:sz w:val="32"/>
          <w:szCs w:val="32"/>
        </w:rPr>
        <w:t>个、辽源</w:t>
      </w:r>
      <w:r>
        <w:rPr>
          <w:rFonts w:hint="eastAsia" w:ascii="彩虹粗仿宋" w:eastAsia="彩虹粗仿宋"/>
          <w:sz w:val="32"/>
          <w:szCs w:val="32"/>
          <w:lang w:val="en-US" w:eastAsia="zh-CN"/>
        </w:rPr>
        <w:t>12</w:t>
      </w:r>
      <w:r>
        <w:rPr>
          <w:rFonts w:hint="eastAsia" w:ascii="彩虹粗仿宋" w:eastAsia="彩虹粗仿宋"/>
          <w:sz w:val="32"/>
          <w:szCs w:val="32"/>
        </w:rPr>
        <w:t>个、通</w:t>
      </w:r>
      <w:r>
        <w:rPr>
          <w:rFonts w:hint="eastAsia" w:ascii="彩虹粗仿宋" w:eastAsia="彩虹粗仿宋"/>
          <w:sz w:val="32"/>
          <w:szCs w:val="32"/>
          <w:lang w:val="en-US" w:eastAsia="zh-CN"/>
        </w:rPr>
        <w:t>16</w:t>
      </w:r>
      <w:r>
        <w:rPr>
          <w:rFonts w:hint="eastAsia" w:ascii="彩虹粗仿宋" w:eastAsia="彩虹粗仿宋"/>
          <w:sz w:val="32"/>
          <w:szCs w:val="32"/>
        </w:rPr>
        <w:t>个、白山</w:t>
      </w:r>
      <w:r>
        <w:rPr>
          <w:rFonts w:hint="eastAsia" w:ascii="彩虹粗仿宋" w:eastAsia="彩虹粗仿宋"/>
          <w:sz w:val="32"/>
          <w:szCs w:val="32"/>
          <w:lang w:val="en-US" w:eastAsia="zh-CN"/>
        </w:rPr>
        <w:t>12</w:t>
      </w:r>
      <w:r>
        <w:rPr>
          <w:rFonts w:hint="eastAsia" w:ascii="彩虹粗仿宋" w:eastAsia="彩虹粗仿宋"/>
          <w:sz w:val="32"/>
          <w:szCs w:val="32"/>
        </w:rPr>
        <w:t>个、白城</w:t>
      </w:r>
      <w:r>
        <w:rPr>
          <w:rFonts w:hint="eastAsia" w:ascii="彩虹粗仿宋" w:eastAsia="彩虹粗仿宋"/>
          <w:sz w:val="32"/>
          <w:szCs w:val="32"/>
          <w:lang w:val="en-US" w:eastAsia="zh-CN"/>
        </w:rPr>
        <w:t>16</w:t>
      </w:r>
      <w:r>
        <w:rPr>
          <w:rFonts w:hint="eastAsia" w:ascii="彩虹粗仿宋" w:eastAsia="彩虹粗仿宋"/>
          <w:sz w:val="32"/>
          <w:szCs w:val="32"/>
        </w:rPr>
        <w:t>个、松原</w:t>
      </w:r>
      <w:r>
        <w:rPr>
          <w:rFonts w:hint="eastAsia" w:ascii="彩虹粗仿宋" w:eastAsia="彩虹粗仿宋"/>
          <w:sz w:val="32"/>
          <w:szCs w:val="32"/>
          <w:lang w:val="en-US" w:eastAsia="zh-CN"/>
        </w:rPr>
        <w:t>16</w:t>
      </w:r>
      <w:r>
        <w:rPr>
          <w:rFonts w:hint="eastAsia" w:ascii="彩虹粗仿宋" w:eastAsia="彩虹粗仿宋"/>
          <w:sz w:val="32"/>
          <w:szCs w:val="32"/>
        </w:rPr>
        <w:t>个、延边</w:t>
      </w:r>
      <w:r>
        <w:rPr>
          <w:rFonts w:hint="eastAsia" w:ascii="彩虹粗仿宋" w:eastAsia="彩虹粗仿宋"/>
          <w:sz w:val="32"/>
          <w:szCs w:val="32"/>
          <w:lang w:val="en-US" w:eastAsia="zh-CN"/>
        </w:rPr>
        <w:t>16</w:t>
      </w:r>
      <w:r>
        <w:rPr>
          <w:rFonts w:hint="eastAsia" w:ascii="彩虹粗仿宋" w:eastAsia="彩虹粗仿宋"/>
          <w:sz w:val="32"/>
          <w:szCs w:val="32"/>
        </w:rPr>
        <w:t>个。</w:t>
      </w:r>
    </w:p>
    <w:p>
      <w:pPr>
        <w:ind w:firstLine="640" w:firstLineChars="200"/>
        <w:rPr>
          <w:rFonts w:ascii="彩虹粗仿宋" w:eastAsia="彩虹粗仿宋"/>
          <w:sz w:val="32"/>
          <w:szCs w:val="32"/>
        </w:rPr>
      </w:pPr>
      <w:r>
        <w:rPr>
          <w:rFonts w:hint="eastAsia" w:ascii="彩虹粗仿宋" w:eastAsia="彩虹粗仿宋"/>
          <w:sz w:val="32"/>
          <w:szCs w:val="32"/>
        </w:rPr>
        <w:t>号码池中号码在使用中被标记为骚扰电话或诈骗等负面信息积累到一定数量后，或者接通率出现明显下跌，或大量返回无法接通-呼叫受限状态，运营商负责将该号码移出号码池，并补充新号码，并及时告知我行。</w:t>
      </w:r>
    </w:p>
    <w:p>
      <w:pPr>
        <w:ind w:firstLine="640" w:firstLineChars="200"/>
        <w:rPr>
          <w:rFonts w:ascii="彩虹粗仿宋" w:eastAsia="彩虹粗仿宋"/>
          <w:sz w:val="32"/>
          <w:szCs w:val="32"/>
        </w:rPr>
      </w:pPr>
      <w:r>
        <w:rPr>
          <w:rFonts w:hint="eastAsia" w:ascii="彩虹粗仿宋" w:eastAsia="彩虹粗仿宋"/>
          <w:sz w:val="32"/>
          <w:szCs w:val="32"/>
        </w:rPr>
        <w:t>号码池所有号码启用呼叫名片</w:t>
      </w:r>
      <w:r>
        <w:rPr>
          <w:rFonts w:hint="eastAsia" w:ascii="彩虹粗仿宋" w:eastAsia="彩虹粗仿宋"/>
          <w:sz w:val="32"/>
          <w:szCs w:val="32"/>
          <w:lang w:eastAsia="zh-CN"/>
        </w:rPr>
        <w:t>（</w:t>
      </w:r>
      <w:r>
        <w:rPr>
          <w:rFonts w:hint="eastAsia" w:ascii="彩虹粗仿宋" w:eastAsia="彩虹粗仿宋"/>
          <w:sz w:val="32"/>
          <w:szCs w:val="32"/>
          <w:lang w:val="en-US" w:eastAsia="zh-CN"/>
        </w:rPr>
        <w:t>实名通</w:t>
      </w:r>
      <w:r>
        <w:rPr>
          <w:rFonts w:hint="eastAsia" w:ascii="彩虹粗仿宋" w:eastAsia="彩虹粗仿宋"/>
          <w:sz w:val="32"/>
          <w:szCs w:val="32"/>
          <w:lang w:eastAsia="zh-CN"/>
        </w:rPr>
        <w:t>）</w:t>
      </w:r>
      <w:r>
        <w:rPr>
          <w:rFonts w:hint="eastAsia" w:ascii="彩虹粗仿宋" w:eastAsia="彩虹粗仿宋"/>
          <w:sz w:val="32"/>
          <w:szCs w:val="32"/>
        </w:rPr>
        <w:t>功能，客户接到电话时显示“中国建设银行吉林省分行”名称。</w:t>
      </w:r>
    </w:p>
    <w:p>
      <w:pPr>
        <w:adjustRightInd w:val="0"/>
        <w:snapToGrid w:val="0"/>
        <w:spacing w:line="580" w:lineRule="exact"/>
        <w:ind w:firstLine="643" w:firstLineChars="200"/>
        <w:outlineLvl w:val="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（二）技术、环保、质量要求</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要求满足以下技术要求：</w:t>
      </w:r>
    </w:p>
    <w:tbl>
      <w:tblPr>
        <w:tblStyle w:val="5"/>
        <w:tblW w:w="9214" w:type="dxa"/>
        <w:tblInd w:w="-34" w:type="dxa"/>
        <w:tblLayout w:type="autofit"/>
        <w:tblCellMar>
          <w:top w:w="0" w:type="dxa"/>
          <w:left w:w="108" w:type="dxa"/>
          <w:bottom w:w="0" w:type="dxa"/>
          <w:right w:w="108" w:type="dxa"/>
        </w:tblCellMar>
      </w:tblPr>
      <w:tblGrid>
        <w:gridCol w:w="2410"/>
        <w:gridCol w:w="6804"/>
      </w:tblGrid>
      <w:tr>
        <w:tblPrEx>
          <w:tblCellMar>
            <w:top w:w="0" w:type="dxa"/>
            <w:left w:w="108" w:type="dxa"/>
            <w:bottom w:w="0" w:type="dxa"/>
            <w:right w:w="108" w:type="dxa"/>
          </w:tblCellMar>
        </w:tblPrEx>
        <w:trPr>
          <w:trHeight w:val="240" w:hRule="atLeast"/>
        </w:trPr>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要求名称</w:t>
            </w:r>
          </w:p>
        </w:tc>
        <w:tc>
          <w:tcPr>
            <w:tcW w:w="680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具体描述</w:t>
            </w:r>
          </w:p>
        </w:tc>
      </w:tr>
      <w:tr>
        <w:tblPrEx>
          <w:tblCellMar>
            <w:top w:w="0" w:type="dxa"/>
            <w:left w:w="108" w:type="dxa"/>
            <w:bottom w:w="0" w:type="dxa"/>
            <w:right w:w="108" w:type="dxa"/>
          </w:tblCellMar>
        </w:tblPrEx>
        <w:trPr>
          <w:trHeight w:val="570" w:hRule="atLeast"/>
        </w:trPr>
        <w:tc>
          <w:tcPr>
            <w:tcW w:w="241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专线网络SIP接入</w:t>
            </w:r>
          </w:p>
        </w:tc>
        <w:tc>
          <w:tcPr>
            <w:tcW w:w="6804" w:type="dxa"/>
            <w:tcBorders>
              <w:top w:val="nil"/>
              <w:left w:val="nil"/>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云线路资源商提供网络专线至</w:t>
            </w:r>
            <w:r>
              <w:rPr>
                <w:rFonts w:hint="eastAsia" w:ascii="彩虹粗仿宋" w:hAnsi="宋体" w:eastAsia="彩虹粗仿宋" w:cs="宋体"/>
                <w:b/>
                <w:bCs/>
                <w:color w:val="000000"/>
                <w:kern w:val="0"/>
                <w:sz w:val="32"/>
                <w:szCs w:val="32"/>
              </w:rPr>
              <w:t>建行云（武汉）</w:t>
            </w:r>
            <w:r>
              <w:rPr>
                <w:rFonts w:hint="eastAsia" w:ascii="彩虹粗仿宋" w:hAnsi="宋体" w:eastAsia="彩虹粗仿宋" w:cs="宋体"/>
                <w:color w:val="000000"/>
                <w:kern w:val="0"/>
                <w:sz w:val="32"/>
                <w:szCs w:val="32"/>
              </w:rPr>
              <w:t>入局，以SIP对接的方式提供号码线路资源</w:t>
            </w:r>
          </w:p>
        </w:tc>
      </w:tr>
      <w:tr>
        <w:tblPrEx>
          <w:tblCellMar>
            <w:top w:w="0" w:type="dxa"/>
            <w:left w:w="108" w:type="dxa"/>
            <w:bottom w:w="0" w:type="dxa"/>
            <w:right w:w="108" w:type="dxa"/>
          </w:tblCellMar>
        </w:tblPrEx>
        <w:trPr>
          <w:trHeight w:val="990" w:hRule="atLeast"/>
        </w:trPr>
        <w:tc>
          <w:tcPr>
            <w:tcW w:w="241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服务地址</w:t>
            </w:r>
          </w:p>
        </w:tc>
        <w:tc>
          <w:tcPr>
            <w:tcW w:w="6804" w:type="dxa"/>
            <w:tcBorders>
              <w:top w:val="nil"/>
              <w:left w:val="nil"/>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同一家云线路资源供应商提供的线路资源服务地址为一个服务地址（在满足高可用要求的情况下）</w:t>
            </w:r>
          </w:p>
        </w:tc>
      </w:tr>
      <w:tr>
        <w:tblPrEx>
          <w:tblCellMar>
            <w:top w:w="0" w:type="dxa"/>
            <w:left w:w="108" w:type="dxa"/>
            <w:bottom w:w="0" w:type="dxa"/>
            <w:right w:w="108" w:type="dxa"/>
          </w:tblCellMar>
        </w:tblPrEx>
        <w:trPr>
          <w:trHeight w:val="360" w:hRule="atLeast"/>
        </w:trPr>
        <w:tc>
          <w:tcPr>
            <w:tcW w:w="241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全国出局号码</w:t>
            </w:r>
          </w:p>
        </w:tc>
        <w:tc>
          <w:tcPr>
            <w:tcW w:w="6804" w:type="dxa"/>
            <w:tcBorders>
              <w:top w:val="nil"/>
              <w:left w:val="nil"/>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提供的线路资源可提供全国范围任意省市区号的电话号码</w:t>
            </w:r>
          </w:p>
        </w:tc>
      </w:tr>
      <w:tr>
        <w:tblPrEx>
          <w:tblCellMar>
            <w:top w:w="0" w:type="dxa"/>
            <w:left w:w="108" w:type="dxa"/>
            <w:bottom w:w="0" w:type="dxa"/>
            <w:right w:w="108" w:type="dxa"/>
          </w:tblCellMar>
        </w:tblPrEx>
        <w:trPr>
          <w:trHeight w:val="1663" w:hRule="atLeast"/>
        </w:trPr>
        <w:tc>
          <w:tcPr>
            <w:tcW w:w="241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需要接受不带SDP的Invite</w:t>
            </w:r>
          </w:p>
        </w:tc>
        <w:tc>
          <w:tcPr>
            <w:tcW w:w="6804" w:type="dxa"/>
            <w:tcBorders>
              <w:top w:val="nil"/>
              <w:left w:val="nil"/>
              <w:bottom w:val="single" w:color="auto" w:sz="4" w:space="0"/>
              <w:right w:val="single" w:color="auto" w:sz="4" w:space="0"/>
            </w:tcBorders>
            <w:shd w:val="clear" w:color="auto" w:fill="auto"/>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呼叫平台发起外呼时不会携带SDP，呼叫平台侧作为主叫CALLER 发起Invite，云线路资源回复200OK以后，呼叫平台会在ACK时携带SDP。此特性需要在联调前云线路资源确认能支持该特性。</w:t>
            </w:r>
          </w:p>
        </w:tc>
      </w:tr>
      <w:tr>
        <w:tblPrEx>
          <w:tblCellMar>
            <w:top w:w="0" w:type="dxa"/>
            <w:left w:w="108" w:type="dxa"/>
            <w:bottom w:w="0" w:type="dxa"/>
            <w:right w:w="108" w:type="dxa"/>
          </w:tblCellMar>
        </w:tblPrEx>
        <w:trPr>
          <w:trHeight w:val="600" w:hRule="atLeast"/>
        </w:trPr>
        <w:tc>
          <w:tcPr>
            <w:tcW w:w="241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支持宣告音信令和媒体</w:t>
            </w:r>
          </w:p>
        </w:tc>
        <w:tc>
          <w:tcPr>
            <w:tcW w:w="6804" w:type="dxa"/>
            <w:tcBorders>
              <w:top w:val="nil"/>
              <w:left w:val="nil"/>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支持宣告音识别功能，当遇到客户欠费、未接听挂机、超时挂机等情况时应能识别宣告音后以标准信令的方式将最终结果实时反馈平台；</w:t>
            </w:r>
          </w:p>
        </w:tc>
      </w:tr>
      <w:tr>
        <w:tblPrEx>
          <w:tblCellMar>
            <w:top w:w="0" w:type="dxa"/>
            <w:left w:w="108" w:type="dxa"/>
            <w:bottom w:w="0" w:type="dxa"/>
            <w:right w:w="108" w:type="dxa"/>
          </w:tblCellMar>
        </w:tblPrEx>
        <w:trPr>
          <w:trHeight w:val="720" w:hRule="atLeast"/>
        </w:trPr>
        <w:tc>
          <w:tcPr>
            <w:tcW w:w="241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呼入接入码变换能力</w:t>
            </w:r>
          </w:p>
        </w:tc>
        <w:tc>
          <w:tcPr>
            <w:tcW w:w="6804" w:type="dxa"/>
            <w:tcBorders>
              <w:top w:val="nil"/>
              <w:left w:val="nil"/>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电话呼入时，云线路资源提供模式时需要根据被叫号码匹配对应的接入码，支持动态配置，例。一个云线路资源提供的号码时，该号码应可配置一个固定的接入码，例如2201061，满足平台呼入接入规范。</w:t>
            </w:r>
          </w:p>
        </w:tc>
      </w:tr>
      <w:tr>
        <w:tblPrEx>
          <w:tblCellMar>
            <w:top w:w="0" w:type="dxa"/>
            <w:left w:w="108" w:type="dxa"/>
            <w:bottom w:w="0" w:type="dxa"/>
            <w:right w:w="108" w:type="dxa"/>
          </w:tblCellMar>
        </w:tblPrEx>
        <w:trPr>
          <w:trHeight w:val="1380" w:hRule="atLeast"/>
        </w:trPr>
        <w:tc>
          <w:tcPr>
            <w:tcW w:w="241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呼出号码头适配能力</w:t>
            </w:r>
          </w:p>
        </w:tc>
        <w:tc>
          <w:tcPr>
            <w:tcW w:w="6804" w:type="dxa"/>
            <w:tcBorders>
              <w:top w:val="nil"/>
              <w:left w:val="nil"/>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电话呼出时，云线路资源要能够根据附加的被叫号头选择合适的外呼号码呼出（每个号头对应一个号码池，号码池中存在多个号码，号头长度为6位），最终呼叫到最终用户时，应能看到合适的来电主叫号码（不同的虚拟中心又称租户，主叫号码不同）。可根据客户号码归属地，选择号码头对应的号码池中对应的客户归属地号码进行呼出。</w:t>
            </w:r>
          </w:p>
        </w:tc>
      </w:tr>
      <w:tr>
        <w:tblPrEx>
          <w:tblCellMar>
            <w:top w:w="0" w:type="dxa"/>
            <w:left w:w="108" w:type="dxa"/>
            <w:bottom w:w="0" w:type="dxa"/>
            <w:right w:w="108" w:type="dxa"/>
          </w:tblCellMar>
        </w:tblPrEx>
        <w:trPr>
          <w:trHeight w:val="330" w:hRule="atLeast"/>
        </w:trPr>
        <w:tc>
          <w:tcPr>
            <w:tcW w:w="241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支持带内带外收号</w:t>
            </w:r>
          </w:p>
        </w:tc>
        <w:tc>
          <w:tcPr>
            <w:tcW w:w="6804" w:type="dxa"/>
            <w:tcBorders>
              <w:top w:val="nil"/>
              <w:left w:val="nil"/>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云线路资源必须支持带内带外收号</w:t>
            </w:r>
          </w:p>
        </w:tc>
      </w:tr>
      <w:tr>
        <w:tblPrEx>
          <w:tblCellMar>
            <w:top w:w="0" w:type="dxa"/>
            <w:left w:w="108" w:type="dxa"/>
            <w:bottom w:w="0" w:type="dxa"/>
            <w:right w:w="108" w:type="dxa"/>
          </w:tblCellMar>
        </w:tblPrEx>
        <w:trPr>
          <w:trHeight w:val="360" w:hRule="atLeast"/>
        </w:trPr>
        <w:tc>
          <w:tcPr>
            <w:tcW w:w="241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语音编码格式</w:t>
            </w:r>
          </w:p>
        </w:tc>
        <w:tc>
          <w:tcPr>
            <w:tcW w:w="6804" w:type="dxa"/>
            <w:tcBorders>
              <w:top w:val="nil"/>
              <w:left w:val="nil"/>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在SIP协商时支持G711和G729等多种语音编码格式</w:t>
            </w:r>
          </w:p>
        </w:tc>
      </w:tr>
      <w:tr>
        <w:tblPrEx>
          <w:tblCellMar>
            <w:top w:w="0" w:type="dxa"/>
            <w:left w:w="108" w:type="dxa"/>
            <w:bottom w:w="0" w:type="dxa"/>
            <w:right w:w="108" w:type="dxa"/>
          </w:tblCellMar>
        </w:tblPrEx>
        <w:trPr>
          <w:trHeight w:val="375" w:hRule="atLeast"/>
        </w:trPr>
        <w:tc>
          <w:tcPr>
            <w:tcW w:w="241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录音留存</w:t>
            </w:r>
          </w:p>
        </w:tc>
        <w:tc>
          <w:tcPr>
            <w:tcW w:w="6804" w:type="dxa"/>
            <w:tcBorders>
              <w:top w:val="nil"/>
              <w:left w:val="nil"/>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云线路资源提供电话服务时不可保存录音等数据</w:t>
            </w:r>
          </w:p>
        </w:tc>
      </w:tr>
      <w:tr>
        <w:tblPrEx>
          <w:tblCellMar>
            <w:top w:w="0" w:type="dxa"/>
            <w:left w:w="108" w:type="dxa"/>
            <w:bottom w:w="0" w:type="dxa"/>
            <w:right w:w="108" w:type="dxa"/>
          </w:tblCellMar>
        </w:tblPrEx>
        <w:trPr>
          <w:trHeight w:val="705" w:hRule="atLeast"/>
        </w:trPr>
        <w:tc>
          <w:tcPr>
            <w:tcW w:w="241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高可用能力</w:t>
            </w:r>
          </w:p>
        </w:tc>
        <w:tc>
          <w:tcPr>
            <w:tcW w:w="6804" w:type="dxa"/>
            <w:tcBorders>
              <w:top w:val="nil"/>
              <w:left w:val="nil"/>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云线路资源平台提供高可用方案以供审核，主要目的为发生异常时有备用线路，避免造成业务中断</w:t>
            </w:r>
          </w:p>
        </w:tc>
      </w:tr>
      <w:tr>
        <w:tblPrEx>
          <w:tblCellMar>
            <w:top w:w="0" w:type="dxa"/>
            <w:left w:w="108" w:type="dxa"/>
            <w:bottom w:w="0" w:type="dxa"/>
            <w:right w:w="108" w:type="dxa"/>
          </w:tblCellMar>
        </w:tblPrEx>
        <w:trPr>
          <w:trHeight w:val="450" w:hRule="atLeast"/>
        </w:trPr>
        <w:tc>
          <w:tcPr>
            <w:tcW w:w="241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动态扩容能力</w:t>
            </w:r>
          </w:p>
        </w:tc>
        <w:tc>
          <w:tcPr>
            <w:tcW w:w="6804" w:type="dxa"/>
            <w:tcBorders>
              <w:top w:val="nil"/>
              <w:left w:val="nil"/>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线路资源扩容时可进行动态扩容，满足快速扩容能力</w:t>
            </w:r>
          </w:p>
        </w:tc>
      </w:tr>
      <w:tr>
        <w:tblPrEx>
          <w:tblCellMar>
            <w:top w:w="0" w:type="dxa"/>
            <w:left w:w="108" w:type="dxa"/>
            <w:bottom w:w="0" w:type="dxa"/>
            <w:right w:w="108" w:type="dxa"/>
          </w:tblCellMar>
        </w:tblPrEx>
        <w:trPr>
          <w:trHeight w:val="240" w:hRule="atLeast"/>
        </w:trPr>
        <w:tc>
          <w:tcPr>
            <w:tcW w:w="241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线路监控</w:t>
            </w:r>
          </w:p>
        </w:tc>
        <w:tc>
          <w:tcPr>
            <w:tcW w:w="6804" w:type="dxa"/>
            <w:tcBorders>
              <w:top w:val="nil"/>
              <w:left w:val="nil"/>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提供web服务页面和http联机接口，满足使用方对线路资源占用情况的监控。</w:t>
            </w:r>
          </w:p>
        </w:tc>
      </w:tr>
      <w:tr>
        <w:tblPrEx>
          <w:tblCellMar>
            <w:top w:w="0" w:type="dxa"/>
            <w:left w:w="108" w:type="dxa"/>
            <w:bottom w:w="0" w:type="dxa"/>
            <w:right w:w="108" w:type="dxa"/>
          </w:tblCellMar>
        </w:tblPrEx>
        <w:trPr>
          <w:trHeight w:val="540" w:hRule="atLeast"/>
        </w:trPr>
        <w:tc>
          <w:tcPr>
            <w:tcW w:w="241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运维支持</w:t>
            </w:r>
          </w:p>
        </w:tc>
        <w:tc>
          <w:tcPr>
            <w:tcW w:w="6804" w:type="dxa"/>
            <w:tcBorders>
              <w:top w:val="nil"/>
              <w:left w:val="nil"/>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7*24小时运维支持，发生问题时有技术人员在10分钟内跟踪问题原因，半小时内解决问题。</w:t>
            </w:r>
          </w:p>
        </w:tc>
      </w:tr>
      <w:tr>
        <w:tblPrEx>
          <w:tblCellMar>
            <w:top w:w="0" w:type="dxa"/>
            <w:left w:w="108" w:type="dxa"/>
            <w:bottom w:w="0" w:type="dxa"/>
            <w:right w:w="108" w:type="dxa"/>
          </w:tblCellMar>
        </w:tblPrEx>
        <w:trPr>
          <w:trHeight w:val="300" w:hRule="atLeast"/>
        </w:trPr>
        <w:tc>
          <w:tcPr>
            <w:tcW w:w="241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测试环境</w:t>
            </w:r>
          </w:p>
        </w:tc>
        <w:tc>
          <w:tcPr>
            <w:tcW w:w="6804" w:type="dxa"/>
            <w:tcBorders>
              <w:top w:val="nil"/>
              <w:left w:val="nil"/>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可在协议服务内提供测试号码、测试线路，用于日常功能更新测试。</w:t>
            </w:r>
          </w:p>
        </w:tc>
      </w:tr>
      <w:tr>
        <w:tblPrEx>
          <w:tblCellMar>
            <w:top w:w="0" w:type="dxa"/>
            <w:left w:w="108" w:type="dxa"/>
            <w:bottom w:w="0" w:type="dxa"/>
            <w:right w:w="108" w:type="dxa"/>
          </w:tblCellMar>
        </w:tblPrEx>
        <w:trPr>
          <w:trHeight w:val="240" w:hRule="atLeast"/>
        </w:trPr>
        <w:tc>
          <w:tcPr>
            <w:tcW w:w="241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单个号码呼叫量限制</w:t>
            </w:r>
          </w:p>
        </w:tc>
        <w:tc>
          <w:tcPr>
            <w:tcW w:w="6804" w:type="dxa"/>
            <w:tcBorders>
              <w:top w:val="nil"/>
              <w:left w:val="nil"/>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通过提供号码进行外呼时，单个号码呼出时不受到每日电话拨打量或并发量限制</w:t>
            </w:r>
          </w:p>
        </w:tc>
      </w:tr>
      <w:tr>
        <w:tblPrEx>
          <w:tblCellMar>
            <w:top w:w="0" w:type="dxa"/>
            <w:left w:w="108" w:type="dxa"/>
            <w:bottom w:w="0" w:type="dxa"/>
            <w:right w:w="108" w:type="dxa"/>
          </w:tblCellMar>
        </w:tblPrEx>
        <w:trPr>
          <w:trHeight w:val="660" w:hRule="atLeast"/>
        </w:trPr>
        <w:tc>
          <w:tcPr>
            <w:tcW w:w="241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号码名片功能</w:t>
            </w:r>
          </w:p>
        </w:tc>
        <w:tc>
          <w:tcPr>
            <w:tcW w:w="6804" w:type="dxa"/>
            <w:tcBorders>
              <w:top w:val="nil"/>
              <w:left w:val="nil"/>
              <w:bottom w:val="single" w:color="auto" w:sz="4" w:space="0"/>
              <w:right w:val="single" w:color="auto" w:sz="4" w:space="0"/>
            </w:tcBorders>
            <w:shd w:val="clear" w:color="auto" w:fill="auto"/>
            <w:vAlign w:val="center"/>
          </w:tcPr>
          <w:p>
            <w:pPr>
              <w:widowControl/>
              <w:jc w:val="left"/>
              <w:rPr>
                <w:rFonts w:ascii="彩虹粗仿宋" w:hAnsi="宋体" w:eastAsia="彩虹粗仿宋" w:cs="宋体"/>
                <w:color w:val="000000"/>
                <w:kern w:val="0"/>
                <w:sz w:val="32"/>
                <w:szCs w:val="32"/>
              </w:rPr>
            </w:pPr>
            <w:r>
              <w:rPr>
                <w:rFonts w:hint="eastAsia" w:ascii="彩虹粗仿宋" w:hAnsi="宋体" w:eastAsia="彩虹粗仿宋" w:cs="宋体"/>
                <w:color w:val="000000"/>
                <w:kern w:val="0"/>
                <w:sz w:val="32"/>
                <w:szCs w:val="32"/>
              </w:rPr>
              <w:t>通过线路的号码进行电话外呼时，客户侧手机收到名片提示该号码为**公司号码，名片提示内容可配置</w:t>
            </w:r>
          </w:p>
        </w:tc>
      </w:tr>
    </w:tbl>
    <w:p>
      <w:pPr>
        <w:adjustRightInd w:val="0"/>
        <w:snapToGrid w:val="0"/>
        <w:spacing w:line="580" w:lineRule="exact"/>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（三）报价要求</w:t>
      </w:r>
    </w:p>
    <w:p>
      <w:pPr>
        <w:pStyle w:val="10"/>
        <w:ind w:left="1647" w:firstLine="0" w:firstLineChars="0"/>
        <w:rPr>
          <w:rFonts w:ascii="彩虹粗仿宋" w:eastAsia="彩虹粗仿宋"/>
          <w:b/>
          <w:sz w:val="32"/>
          <w:szCs w:val="32"/>
        </w:rPr>
      </w:pPr>
      <w:r>
        <w:rPr>
          <w:rFonts w:hint="eastAsia" w:ascii="彩虹粗仿宋" w:eastAsia="彩虹粗仿宋"/>
          <w:b/>
          <w:sz w:val="32"/>
          <w:szCs w:val="32"/>
        </w:rPr>
        <w:t>商机直拨通外呼系统通讯项目报价表</w:t>
      </w:r>
    </w:p>
    <w:tbl>
      <w:tblPr>
        <w:tblStyle w:val="6"/>
        <w:tblW w:w="75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1"/>
        <w:gridCol w:w="1417"/>
        <w:gridCol w:w="1496"/>
        <w:gridCol w:w="914"/>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411" w:type="dxa"/>
            <w:vAlign w:val="center"/>
          </w:tcPr>
          <w:p>
            <w:pPr>
              <w:rPr>
                <w:rFonts w:asciiTheme="minorEastAsia" w:hAnsiTheme="minorEastAsia"/>
                <w:b/>
              </w:rPr>
            </w:pPr>
            <w:r>
              <w:rPr>
                <w:rFonts w:hint="eastAsia" w:asciiTheme="minorEastAsia" w:hAnsiTheme="minorEastAsia"/>
                <w:b/>
              </w:rPr>
              <w:t>项目名称</w:t>
            </w:r>
          </w:p>
        </w:tc>
        <w:tc>
          <w:tcPr>
            <w:tcW w:w="1417" w:type="dxa"/>
            <w:vAlign w:val="center"/>
          </w:tcPr>
          <w:p>
            <w:pPr>
              <w:rPr>
                <w:rFonts w:asciiTheme="minorEastAsia" w:hAnsiTheme="minorEastAsia"/>
                <w:b/>
              </w:rPr>
            </w:pPr>
            <w:r>
              <w:rPr>
                <w:rFonts w:hint="eastAsia" w:asciiTheme="minorEastAsia" w:hAnsiTheme="minorEastAsia"/>
                <w:b/>
              </w:rPr>
              <w:t>单位</w:t>
            </w:r>
          </w:p>
        </w:tc>
        <w:tc>
          <w:tcPr>
            <w:tcW w:w="1496" w:type="dxa"/>
            <w:vAlign w:val="center"/>
          </w:tcPr>
          <w:p>
            <w:pPr>
              <w:rPr>
                <w:rFonts w:hint="eastAsia" w:asciiTheme="minorEastAsia" w:hAnsiTheme="minorEastAsia" w:eastAsiaTheme="minorEastAsia"/>
                <w:b/>
                <w:lang w:eastAsia="zh-CN"/>
              </w:rPr>
            </w:pPr>
            <w:r>
              <w:rPr>
                <w:rFonts w:hint="eastAsia" w:asciiTheme="minorEastAsia" w:hAnsiTheme="minorEastAsia"/>
                <w:b/>
              </w:rPr>
              <w:t>单价（含税）</w:t>
            </w:r>
          </w:p>
        </w:tc>
        <w:tc>
          <w:tcPr>
            <w:tcW w:w="914" w:type="dxa"/>
            <w:vAlign w:val="center"/>
          </w:tcPr>
          <w:p>
            <w:pPr>
              <w:rPr>
                <w:rFonts w:hint="eastAsia" w:asciiTheme="minorEastAsia" w:hAnsiTheme="minorEastAsia" w:eastAsiaTheme="minorEastAsia"/>
                <w:b/>
                <w:lang w:eastAsia="zh-CN"/>
              </w:rPr>
            </w:pPr>
            <w:r>
              <w:rPr>
                <w:rFonts w:hint="eastAsia" w:asciiTheme="minorEastAsia" w:hAnsiTheme="minorEastAsia"/>
                <w:b/>
              </w:rPr>
              <w:t>税率%</w:t>
            </w:r>
          </w:p>
        </w:tc>
        <w:tc>
          <w:tcPr>
            <w:tcW w:w="1276" w:type="dxa"/>
            <w:vAlign w:val="center"/>
          </w:tcPr>
          <w:p>
            <w:pPr>
              <w:rPr>
                <w:rFonts w:asciiTheme="minorEastAsia" w:hAnsiTheme="minorEastAsia"/>
                <w:b/>
              </w:rPr>
            </w:pPr>
            <w:r>
              <w:rPr>
                <w:rFonts w:hint="eastAsia" w:asciiTheme="minorEastAsia" w:hAnsiTheme="minorEastAsia"/>
                <w:b/>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411" w:type="dxa"/>
            <w:vAlign w:val="center"/>
          </w:tcPr>
          <w:p>
            <w:pPr>
              <w:rPr>
                <w:rFonts w:asciiTheme="minorEastAsia" w:hAnsiTheme="minorEastAsia"/>
              </w:rPr>
            </w:pPr>
            <w:r>
              <w:rPr>
                <w:rFonts w:hint="eastAsia" w:asciiTheme="minorEastAsia" w:hAnsiTheme="minorEastAsia"/>
                <w:lang w:val="en-US" w:eastAsia="zh-CN"/>
              </w:rPr>
              <w:t>号码月租</w:t>
            </w:r>
            <w:r>
              <w:rPr>
                <w:rFonts w:hint="eastAsia" w:asciiTheme="minorEastAsia" w:hAnsiTheme="minorEastAsia"/>
              </w:rPr>
              <w:t>费</w:t>
            </w:r>
          </w:p>
        </w:tc>
        <w:tc>
          <w:tcPr>
            <w:tcW w:w="1417" w:type="dxa"/>
            <w:vAlign w:val="center"/>
          </w:tcPr>
          <w:p>
            <w:pPr>
              <w:rPr>
                <w:rFonts w:asciiTheme="minorEastAsia" w:hAnsiTheme="minorEastAsia"/>
              </w:rPr>
            </w:pPr>
            <w:r>
              <w:rPr>
                <w:rFonts w:hint="eastAsia" w:asciiTheme="minorEastAsia" w:hAnsiTheme="minorEastAsia"/>
              </w:rPr>
              <w:t>元/</w:t>
            </w:r>
            <w:r>
              <w:rPr>
                <w:rFonts w:hint="eastAsia" w:asciiTheme="minorEastAsia" w:hAnsiTheme="minorEastAsia"/>
                <w:lang w:val="en-US" w:eastAsia="zh-CN"/>
              </w:rPr>
              <w:t>月</w:t>
            </w:r>
          </w:p>
        </w:tc>
        <w:tc>
          <w:tcPr>
            <w:tcW w:w="1496" w:type="dxa"/>
            <w:vAlign w:val="center"/>
          </w:tcPr>
          <w:p>
            <w:pPr>
              <w:rPr>
                <w:rFonts w:hint="default" w:asciiTheme="minorEastAsia" w:hAnsiTheme="minorEastAsia" w:eastAsiaTheme="minorEastAsia"/>
                <w:lang w:val="en-US" w:eastAsia="zh-CN"/>
              </w:rPr>
            </w:pPr>
          </w:p>
        </w:tc>
        <w:tc>
          <w:tcPr>
            <w:tcW w:w="914" w:type="dxa"/>
            <w:vAlign w:val="center"/>
          </w:tcPr>
          <w:p>
            <w:pPr>
              <w:rPr>
                <w:rFonts w:hint="default" w:asciiTheme="minorEastAsia" w:hAnsiTheme="minorEastAsia" w:eastAsiaTheme="minorEastAsia"/>
                <w:lang w:val="en-US" w:eastAsia="zh-CN"/>
              </w:rPr>
            </w:pPr>
          </w:p>
        </w:tc>
        <w:tc>
          <w:tcPr>
            <w:tcW w:w="1276" w:type="dxa"/>
            <w:vAlign w:val="center"/>
          </w:tcPr>
          <w:p>
            <w:pPr>
              <w:rPr>
                <w:rFonts w:asciiTheme="minorEastAsia" w:hAnsi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411" w:type="dxa"/>
            <w:vAlign w:val="center"/>
          </w:tcPr>
          <w:p>
            <w:pPr>
              <w:rPr>
                <w:rFonts w:asciiTheme="minorEastAsia" w:hAnsiTheme="minorEastAsia"/>
              </w:rPr>
            </w:pPr>
            <w:r>
              <w:rPr>
                <w:rFonts w:hint="eastAsia" w:asciiTheme="minorEastAsia" w:hAnsiTheme="minorEastAsia"/>
              </w:rPr>
              <w:t>固话话费（本地）</w:t>
            </w:r>
          </w:p>
        </w:tc>
        <w:tc>
          <w:tcPr>
            <w:tcW w:w="1417" w:type="dxa"/>
            <w:vAlign w:val="center"/>
          </w:tcPr>
          <w:p>
            <w:pPr>
              <w:rPr>
                <w:rFonts w:asciiTheme="minorEastAsia" w:hAnsiTheme="minorEastAsia"/>
              </w:rPr>
            </w:pPr>
            <w:r>
              <w:rPr>
                <w:rFonts w:hint="eastAsia" w:asciiTheme="minorEastAsia" w:hAnsiTheme="minorEastAsia"/>
              </w:rPr>
              <w:t>元/分钟</w:t>
            </w:r>
          </w:p>
        </w:tc>
        <w:tc>
          <w:tcPr>
            <w:tcW w:w="1496" w:type="dxa"/>
            <w:vAlign w:val="center"/>
          </w:tcPr>
          <w:p>
            <w:pPr>
              <w:rPr>
                <w:rFonts w:hint="default" w:asciiTheme="minorEastAsia" w:hAnsiTheme="minorEastAsia" w:eastAsiaTheme="minorEastAsia"/>
                <w:lang w:val="en-US" w:eastAsia="zh-CN"/>
              </w:rPr>
            </w:pPr>
          </w:p>
        </w:tc>
        <w:tc>
          <w:tcPr>
            <w:tcW w:w="914" w:type="dxa"/>
            <w:vAlign w:val="center"/>
          </w:tcPr>
          <w:p>
            <w:pPr>
              <w:rPr>
                <w:rFonts w:hint="default" w:asciiTheme="minorEastAsia" w:hAnsiTheme="minorEastAsia" w:eastAsiaTheme="minorEastAsia"/>
                <w:lang w:val="en-US" w:eastAsia="zh-CN"/>
              </w:rPr>
            </w:pPr>
          </w:p>
        </w:tc>
        <w:tc>
          <w:tcPr>
            <w:tcW w:w="1276" w:type="dxa"/>
            <w:vAlign w:val="center"/>
          </w:tcPr>
          <w:p>
            <w:pPr>
              <w:rPr>
                <w:rFonts w:asciiTheme="minorEastAsia" w:hAnsi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411" w:type="dxa"/>
            <w:vAlign w:val="center"/>
          </w:tcPr>
          <w:p>
            <w:pPr>
              <w:rPr>
                <w:rFonts w:asciiTheme="minorEastAsia" w:hAnsiTheme="minorEastAsia"/>
              </w:rPr>
            </w:pPr>
            <w:r>
              <w:rPr>
                <w:rFonts w:hint="eastAsia" w:asciiTheme="minorEastAsia" w:hAnsiTheme="minorEastAsia"/>
              </w:rPr>
              <w:t>固话话费（长途）</w:t>
            </w:r>
          </w:p>
        </w:tc>
        <w:tc>
          <w:tcPr>
            <w:tcW w:w="1417" w:type="dxa"/>
            <w:vAlign w:val="center"/>
          </w:tcPr>
          <w:p>
            <w:pPr>
              <w:rPr>
                <w:rFonts w:asciiTheme="minorEastAsia" w:hAnsiTheme="minorEastAsia"/>
              </w:rPr>
            </w:pPr>
            <w:r>
              <w:rPr>
                <w:rFonts w:hint="eastAsia" w:asciiTheme="minorEastAsia" w:hAnsiTheme="minorEastAsia"/>
              </w:rPr>
              <w:t>元/分钟</w:t>
            </w:r>
          </w:p>
        </w:tc>
        <w:tc>
          <w:tcPr>
            <w:tcW w:w="1496" w:type="dxa"/>
            <w:vAlign w:val="center"/>
          </w:tcPr>
          <w:p>
            <w:pPr>
              <w:rPr>
                <w:rFonts w:hint="default" w:asciiTheme="minorEastAsia" w:hAnsiTheme="minorEastAsia" w:eastAsiaTheme="minorEastAsia"/>
                <w:lang w:val="en-US" w:eastAsia="zh-CN"/>
              </w:rPr>
            </w:pPr>
          </w:p>
        </w:tc>
        <w:tc>
          <w:tcPr>
            <w:tcW w:w="914" w:type="dxa"/>
            <w:vAlign w:val="center"/>
          </w:tcPr>
          <w:p>
            <w:pPr>
              <w:rPr>
                <w:rFonts w:hint="default" w:asciiTheme="minorEastAsia" w:hAnsiTheme="minorEastAsia" w:eastAsiaTheme="minorEastAsia"/>
                <w:lang w:val="en-US" w:eastAsia="zh-CN"/>
              </w:rPr>
            </w:pPr>
          </w:p>
        </w:tc>
        <w:tc>
          <w:tcPr>
            <w:tcW w:w="1276" w:type="dxa"/>
            <w:vAlign w:val="center"/>
          </w:tcPr>
          <w:p>
            <w:pPr>
              <w:rPr>
                <w:rFonts w:asciiTheme="minorEastAsia" w:hAnsiTheme="minorEastAsia"/>
              </w:rPr>
            </w:pPr>
            <w:r>
              <w:rPr>
                <w:rFonts w:asciiTheme="minorEastAsia" w:hAnsiTheme="minorEastAsia"/>
              </w:rPr>
              <w:t>国内长途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411" w:type="dxa"/>
            <w:vAlign w:val="center"/>
          </w:tcPr>
          <w:p>
            <w:pPr>
              <w:rPr>
                <w:rFonts w:hint="eastAsia" w:asciiTheme="minorEastAsia" w:hAnsiTheme="minorEastAsia" w:eastAsiaTheme="minorEastAsia"/>
                <w:lang w:eastAsia="zh-CN"/>
              </w:rPr>
            </w:pPr>
            <w:r>
              <w:rPr>
                <w:rFonts w:hint="eastAsia" w:asciiTheme="minorEastAsia" w:hAnsiTheme="minorEastAsia"/>
              </w:rPr>
              <w:t>实名</w:t>
            </w:r>
            <w:r>
              <w:rPr>
                <w:rFonts w:hint="eastAsia" w:asciiTheme="minorEastAsia" w:hAnsiTheme="minorEastAsia"/>
                <w:lang w:eastAsia="zh-CN"/>
              </w:rPr>
              <w:t>云通</w:t>
            </w:r>
          </w:p>
        </w:tc>
        <w:tc>
          <w:tcPr>
            <w:tcW w:w="1417" w:type="dxa"/>
            <w:vAlign w:val="center"/>
          </w:tcPr>
          <w:p>
            <w:pPr>
              <w:rPr>
                <w:rFonts w:asciiTheme="minorEastAsia" w:hAnsiTheme="minorEastAsia"/>
              </w:rPr>
            </w:pPr>
            <w:r>
              <w:rPr>
                <w:rFonts w:hint="eastAsia" w:asciiTheme="minorEastAsia" w:hAnsiTheme="minorEastAsia"/>
              </w:rPr>
              <w:t>元/号码/年</w:t>
            </w:r>
          </w:p>
        </w:tc>
        <w:tc>
          <w:tcPr>
            <w:tcW w:w="1496" w:type="dxa"/>
            <w:vAlign w:val="center"/>
          </w:tcPr>
          <w:p>
            <w:pPr>
              <w:rPr>
                <w:rFonts w:hint="default" w:asciiTheme="minorEastAsia" w:hAnsiTheme="minorEastAsia" w:eastAsiaTheme="minorEastAsia"/>
                <w:lang w:val="en-US" w:eastAsia="zh-CN"/>
              </w:rPr>
            </w:pPr>
          </w:p>
        </w:tc>
        <w:tc>
          <w:tcPr>
            <w:tcW w:w="914" w:type="dxa"/>
            <w:vAlign w:val="center"/>
          </w:tcPr>
          <w:p>
            <w:pPr>
              <w:rPr>
                <w:rFonts w:hint="default" w:asciiTheme="minorEastAsia" w:hAnsiTheme="minorEastAsia" w:eastAsiaTheme="minorEastAsia"/>
                <w:lang w:val="en-US" w:eastAsia="zh-CN"/>
              </w:rPr>
            </w:pPr>
          </w:p>
        </w:tc>
        <w:tc>
          <w:tcPr>
            <w:tcW w:w="1276" w:type="dxa"/>
            <w:vAlign w:val="center"/>
          </w:tcPr>
          <w:p>
            <w:pPr>
              <w:rPr>
                <w:rFonts w:asciiTheme="minorEastAsia" w:hAnsiTheme="minorEastAsia"/>
              </w:rPr>
            </w:pPr>
            <w:r>
              <w:rPr>
                <w:rFonts w:hint="eastAsia" w:asciiTheme="minorEastAsia" w:hAnsiTheme="minorEastAsia"/>
              </w:rPr>
              <w:t>客户端名片显示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411" w:type="dxa"/>
            <w:vAlign w:val="center"/>
          </w:tcPr>
          <w:p>
            <w:pPr>
              <w:rPr>
                <w:rFonts w:hint="eastAsia" w:asciiTheme="minorEastAsia" w:hAnsiTheme="minorEastAsia"/>
              </w:rPr>
            </w:pPr>
            <w:r>
              <w:rPr>
                <w:rFonts w:hint="eastAsia" w:asciiTheme="minorEastAsia" w:hAnsiTheme="minorEastAsia"/>
              </w:rPr>
              <w:t>名片服务费</w:t>
            </w:r>
          </w:p>
        </w:tc>
        <w:tc>
          <w:tcPr>
            <w:tcW w:w="1417" w:type="dxa"/>
            <w:vAlign w:val="center"/>
          </w:tcPr>
          <w:p>
            <w:pPr>
              <w:rPr>
                <w:rFonts w:hint="default" w:asciiTheme="minorEastAsia" w:hAnsiTheme="minorEastAsia" w:eastAsiaTheme="minorEastAsia"/>
                <w:lang w:val="en-US" w:eastAsia="zh-CN"/>
              </w:rPr>
            </w:pPr>
            <w:r>
              <w:rPr>
                <w:rFonts w:hint="eastAsia" w:asciiTheme="minorEastAsia" w:hAnsiTheme="minorEastAsia"/>
                <w:lang w:eastAsia="zh-CN"/>
              </w:rPr>
              <w:t>元</w:t>
            </w:r>
            <w:r>
              <w:rPr>
                <w:rFonts w:hint="eastAsia" w:asciiTheme="minorEastAsia" w:hAnsiTheme="minorEastAsia"/>
                <w:lang w:val="en-US" w:eastAsia="zh-CN"/>
              </w:rPr>
              <w:t>/条</w:t>
            </w:r>
          </w:p>
        </w:tc>
        <w:tc>
          <w:tcPr>
            <w:tcW w:w="1496" w:type="dxa"/>
            <w:vAlign w:val="center"/>
          </w:tcPr>
          <w:p>
            <w:pPr>
              <w:rPr>
                <w:rFonts w:hint="default" w:asciiTheme="minorEastAsia" w:hAnsiTheme="minorEastAsia"/>
                <w:sz w:val="32"/>
                <w:szCs w:val="32"/>
                <w:lang w:val="en-US" w:eastAsia="zh-CN"/>
              </w:rPr>
            </w:pPr>
          </w:p>
        </w:tc>
        <w:tc>
          <w:tcPr>
            <w:tcW w:w="914" w:type="dxa"/>
            <w:vAlign w:val="center"/>
          </w:tcPr>
          <w:p>
            <w:pPr>
              <w:rPr>
                <w:rFonts w:hint="default" w:asciiTheme="minorEastAsia" w:hAnsiTheme="minorEastAsia"/>
                <w:lang w:val="en-US" w:eastAsia="zh-CN"/>
              </w:rPr>
            </w:pPr>
          </w:p>
        </w:tc>
        <w:tc>
          <w:tcPr>
            <w:tcW w:w="1276" w:type="dxa"/>
            <w:vAlign w:val="center"/>
          </w:tcPr>
          <w:p>
            <w:pPr>
              <w:rPr>
                <w:rFonts w:hint="eastAsia" w:asciiTheme="minorEastAsia" w:hAnsi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411" w:type="dxa"/>
            <w:vAlign w:val="center"/>
          </w:tcPr>
          <w:p>
            <w:pPr>
              <w:rPr>
                <w:rFonts w:asciiTheme="minorEastAsia" w:hAnsiTheme="minorEastAsia"/>
              </w:rPr>
            </w:pPr>
            <w:r>
              <w:rPr>
                <w:rFonts w:hint="eastAsia" w:asciiTheme="minorEastAsia" w:hAnsiTheme="minorEastAsia"/>
              </w:rPr>
              <w:t>平台服务费</w:t>
            </w:r>
          </w:p>
        </w:tc>
        <w:tc>
          <w:tcPr>
            <w:tcW w:w="1417" w:type="dxa"/>
            <w:vAlign w:val="center"/>
          </w:tcPr>
          <w:p>
            <w:pPr>
              <w:rPr>
                <w:rFonts w:hint="eastAsia" w:asciiTheme="minorEastAsia" w:hAnsiTheme="minorEastAsia" w:eastAsiaTheme="minorEastAsia"/>
                <w:lang w:val="en-US" w:eastAsia="zh-CN"/>
              </w:rPr>
            </w:pPr>
            <w:r>
              <w:rPr>
                <w:rFonts w:hint="eastAsia" w:asciiTheme="minorEastAsia" w:hAnsiTheme="minorEastAsia"/>
              </w:rPr>
              <w:t>元</w:t>
            </w:r>
            <w:r>
              <w:rPr>
                <w:rFonts w:hint="eastAsia" w:asciiTheme="minorEastAsia" w:hAnsiTheme="minorEastAsia"/>
                <w:lang w:val="en-US" w:eastAsia="zh-CN"/>
              </w:rPr>
              <w:t>/月</w:t>
            </w:r>
          </w:p>
        </w:tc>
        <w:tc>
          <w:tcPr>
            <w:tcW w:w="1496" w:type="dxa"/>
            <w:vAlign w:val="center"/>
          </w:tcPr>
          <w:p>
            <w:pPr>
              <w:rPr>
                <w:rFonts w:hint="default" w:asciiTheme="minorEastAsia" w:hAnsiTheme="minorEastAsia" w:eastAsiaTheme="minorEastAsia"/>
                <w:lang w:val="en-US" w:eastAsia="zh-CN"/>
              </w:rPr>
            </w:pPr>
          </w:p>
        </w:tc>
        <w:tc>
          <w:tcPr>
            <w:tcW w:w="914" w:type="dxa"/>
            <w:vAlign w:val="center"/>
          </w:tcPr>
          <w:p>
            <w:pPr>
              <w:rPr>
                <w:rFonts w:hint="default" w:asciiTheme="minorEastAsia" w:hAnsiTheme="minorEastAsia" w:eastAsiaTheme="minorEastAsia"/>
                <w:lang w:val="en-US" w:eastAsia="zh-CN"/>
              </w:rPr>
            </w:pPr>
          </w:p>
        </w:tc>
        <w:tc>
          <w:tcPr>
            <w:tcW w:w="1276" w:type="dxa"/>
            <w:vAlign w:val="center"/>
          </w:tcPr>
          <w:p>
            <w:pPr>
              <w:rPr>
                <w:rFonts w:asciiTheme="minorEastAsia" w:hAnsi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411" w:type="dxa"/>
            <w:vAlign w:val="center"/>
          </w:tcPr>
          <w:p>
            <w:pPr>
              <w:rPr>
                <w:rFonts w:asciiTheme="minorEastAsia" w:hAnsiTheme="minorEastAsia"/>
              </w:rPr>
            </w:pPr>
            <w:r>
              <w:rPr>
                <w:rFonts w:hint="eastAsia" w:asciiTheme="minorEastAsia" w:hAnsiTheme="minorEastAsia"/>
              </w:rPr>
              <w:t>合计</w:t>
            </w:r>
          </w:p>
        </w:tc>
        <w:tc>
          <w:tcPr>
            <w:tcW w:w="1417" w:type="dxa"/>
            <w:vAlign w:val="center"/>
          </w:tcPr>
          <w:p>
            <w:pPr>
              <w:rPr>
                <w:rFonts w:asciiTheme="minorEastAsia" w:hAnsiTheme="minorEastAsia"/>
              </w:rPr>
            </w:pPr>
          </w:p>
        </w:tc>
        <w:tc>
          <w:tcPr>
            <w:tcW w:w="1496" w:type="dxa"/>
            <w:vAlign w:val="center"/>
          </w:tcPr>
          <w:p>
            <w:pPr>
              <w:rPr>
                <w:rFonts w:asciiTheme="minorEastAsia" w:hAnsiTheme="minorEastAsia"/>
              </w:rPr>
            </w:pPr>
          </w:p>
        </w:tc>
        <w:tc>
          <w:tcPr>
            <w:tcW w:w="914" w:type="dxa"/>
            <w:vAlign w:val="center"/>
          </w:tcPr>
          <w:p>
            <w:pPr>
              <w:rPr>
                <w:rFonts w:asciiTheme="minorEastAsia" w:hAnsiTheme="minorEastAsia"/>
              </w:rPr>
            </w:pPr>
          </w:p>
        </w:tc>
        <w:tc>
          <w:tcPr>
            <w:tcW w:w="1276" w:type="dxa"/>
            <w:vAlign w:val="center"/>
          </w:tcPr>
          <w:p>
            <w:pPr>
              <w:rPr>
                <w:rFonts w:hint="default" w:ascii="彩虹粗仿宋" w:eastAsia="彩虹粗仿宋"/>
                <w:lang w:val="en-US" w:eastAsia="zh-CN"/>
              </w:rPr>
            </w:pPr>
          </w:p>
        </w:tc>
      </w:tr>
    </w:tbl>
    <w:p>
      <w:pPr>
        <w:ind w:firstLine="600" w:firstLineChars="200"/>
        <w:rPr>
          <w:rFonts w:ascii="彩虹粗仿宋" w:eastAsia="彩虹粗仿宋"/>
          <w:sz w:val="30"/>
          <w:szCs w:val="30"/>
        </w:rPr>
      </w:pPr>
      <w:r>
        <w:rPr>
          <w:rFonts w:hint="eastAsia" w:ascii="彩虹粗仿宋" w:eastAsia="彩虹粗仿宋"/>
          <w:sz w:val="30"/>
          <w:szCs w:val="30"/>
        </w:rPr>
        <w:t>1、本项目实际运营费，根据实际运营业务量和采购单价，据实结算。采用先使用后据实付费方式，每月由供应商提供增值税专用发票，我行按月进行结算。</w:t>
      </w:r>
    </w:p>
    <w:p>
      <w:pPr>
        <w:ind w:firstLine="600" w:firstLineChars="200"/>
        <w:rPr>
          <w:rFonts w:ascii="彩虹粗仿宋" w:eastAsia="彩虹粗仿宋"/>
          <w:sz w:val="30"/>
          <w:szCs w:val="30"/>
        </w:rPr>
      </w:pPr>
      <w:r>
        <w:rPr>
          <w:rFonts w:hint="eastAsia" w:ascii="彩虹粗仿宋" w:eastAsia="彩虹粗仿宋"/>
          <w:sz w:val="30"/>
          <w:szCs w:val="30"/>
        </w:rPr>
        <w:t>2、平台服务费含接入码变换功能、网管监控服务等。</w:t>
      </w:r>
    </w:p>
    <w:p>
      <w:pPr>
        <w:ind w:firstLine="600" w:firstLineChars="200"/>
        <w:rPr>
          <w:rFonts w:ascii="彩虹粗仿宋" w:eastAsia="彩虹粗仿宋"/>
          <w:sz w:val="30"/>
          <w:szCs w:val="30"/>
        </w:rPr>
      </w:pPr>
      <w:r>
        <w:rPr>
          <w:rFonts w:hint="eastAsia" w:ascii="彩虹粗仿宋" w:eastAsia="彩虹粗仿宋"/>
          <w:sz w:val="30"/>
          <w:szCs w:val="30"/>
        </w:rPr>
        <w:t>3、如遇国家税率调整，保证我行不含税价格不变。</w:t>
      </w:r>
    </w:p>
    <w:p>
      <w:pPr>
        <w:adjustRightInd w:val="0"/>
        <w:snapToGrid w:val="0"/>
        <w:spacing w:line="560" w:lineRule="atLeast"/>
        <w:ind w:left="640"/>
        <w:outlineLvl w:val="0"/>
        <w:rPr>
          <w:rFonts w:ascii="彩虹粗仿宋" w:eastAsia="彩虹粗仿宋"/>
          <w:sz w:val="30"/>
          <w:szCs w:val="30"/>
        </w:rPr>
      </w:pPr>
      <w:r>
        <w:rPr>
          <w:rFonts w:hint="eastAsia" w:ascii="彩虹粗仿宋" w:eastAsia="彩虹粗仿宋"/>
          <w:sz w:val="30"/>
          <w:szCs w:val="30"/>
        </w:rPr>
        <w:t>4、并发电话通数为最大</w:t>
      </w:r>
      <w:r>
        <w:rPr>
          <w:rFonts w:hint="eastAsia" w:ascii="彩虹粗仿宋" w:eastAsia="彩虹粗仿宋"/>
          <w:sz w:val="30"/>
          <w:szCs w:val="30"/>
          <w:lang w:val="en-US" w:eastAsia="zh-CN"/>
        </w:rPr>
        <w:t>270</w:t>
      </w:r>
      <w:r>
        <w:rPr>
          <w:rFonts w:hint="eastAsia" w:ascii="彩虹粗仿宋" w:eastAsia="彩虹粗仿宋"/>
          <w:sz w:val="30"/>
          <w:szCs w:val="30"/>
        </w:rPr>
        <w:t>通。</w:t>
      </w:r>
    </w:p>
    <w:p>
      <w:pPr>
        <w:adjustRightInd w:val="0"/>
        <w:snapToGrid w:val="0"/>
        <w:spacing w:line="560" w:lineRule="atLeast"/>
        <w:ind w:left="640"/>
        <w:outlineLvl w:val="0"/>
        <w:rPr>
          <w:rFonts w:ascii="彩虹粗仿宋" w:hAnsi="宋体" w:eastAsia="彩虹粗仿宋"/>
          <w:b/>
          <w:color w:val="000000"/>
          <w:sz w:val="32"/>
          <w:szCs w:val="32"/>
        </w:rPr>
      </w:pPr>
      <w:r>
        <w:rPr>
          <w:rFonts w:hint="eastAsia" w:ascii="彩虹粗仿宋" w:hAnsi="宋体" w:eastAsia="彩虹粗仿宋"/>
          <w:b/>
          <w:color w:val="000000"/>
          <w:sz w:val="32"/>
          <w:szCs w:val="32"/>
        </w:rPr>
        <w:t>（四）合同期限建议</w:t>
      </w:r>
    </w:p>
    <w:p>
      <w:pPr>
        <w:adjustRightInd w:val="0"/>
        <w:snapToGrid w:val="0"/>
        <w:spacing w:line="560" w:lineRule="atLeast"/>
        <w:ind w:left="57" w:leftChars="27" w:firstLine="640" w:firstLineChars="200"/>
        <w:jc w:val="left"/>
        <w:rPr>
          <w:rFonts w:ascii="彩虹粗仿宋" w:hAnsi="宋体" w:eastAsia="彩虹粗仿宋"/>
          <w:color w:val="000000"/>
          <w:sz w:val="32"/>
          <w:szCs w:val="32"/>
        </w:rPr>
      </w:pPr>
      <w:r>
        <w:rPr>
          <w:rFonts w:hint="eastAsia" w:ascii="彩虹粗仿宋" w:hAnsi="宋体" w:eastAsia="彩虹粗仿宋"/>
          <w:color w:val="000000"/>
          <w:sz w:val="32"/>
          <w:szCs w:val="32"/>
        </w:rPr>
        <w:t>合同期限为两年。</w:t>
      </w:r>
    </w:p>
    <w:p>
      <w:pPr>
        <w:adjustRightInd w:val="0"/>
        <w:snapToGrid w:val="0"/>
        <w:spacing w:line="560" w:lineRule="atLeast"/>
        <w:ind w:left="57" w:leftChars="27" w:firstLine="643" w:firstLineChars="200"/>
        <w:jc w:val="left"/>
        <w:rPr>
          <w:rFonts w:ascii="彩虹粗仿宋" w:hAnsi="宋体" w:eastAsia="彩虹粗仿宋"/>
          <w:b/>
          <w:color w:val="000000"/>
          <w:sz w:val="32"/>
          <w:szCs w:val="32"/>
        </w:rPr>
      </w:pPr>
      <w:r>
        <w:rPr>
          <w:rFonts w:hint="eastAsia" w:ascii="彩虹粗仿宋" w:hAnsi="宋体" w:eastAsia="彩虹粗仿宋"/>
          <w:b/>
          <w:color w:val="000000"/>
          <w:sz w:val="32"/>
          <w:szCs w:val="32"/>
        </w:rPr>
        <w:t>（五）采购方式</w:t>
      </w:r>
    </w:p>
    <w:p>
      <w:pPr>
        <w:adjustRightInd w:val="0"/>
        <w:snapToGrid w:val="0"/>
        <w:spacing w:line="560" w:lineRule="atLeast"/>
        <w:ind w:left="57" w:leftChars="27" w:firstLine="640" w:firstLineChars="200"/>
        <w:jc w:val="left"/>
        <w:rPr>
          <w:rFonts w:hint="eastAsia" w:ascii="彩虹粗仿宋" w:eastAsia="彩虹粗仿宋"/>
          <w:sz w:val="32"/>
          <w:szCs w:val="32"/>
          <w:lang w:val="en-US" w:eastAsia="zh-CN"/>
        </w:rPr>
      </w:pPr>
      <w:r>
        <w:rPr>
          <w:rFonts w:hint="eastAsia" w:ascii="彩虹粗仿宋" w:eastAsia="彩虹粗仿宋"/>
          <w:sz w:val="32"/>
          <w:szCs w:val="32"/>
          <w:lang w:val="en-US" w:eastAsia="zh-CN"/>
        </w:rPr>
        <w:t>竞争性谈判。</w:t>
      </w:r>
    </w:p>
    <w:p>
      <w:pPr>
        <w:adjustRightInd w:val="0"/>
        <w:snapToGrid w:val="0"/>
        <w:spacing w:line="560" w:lineRule="atLeast"/>
        <w:ind w:left="57" w:leftChars="27" w:firstLine="643" w:firstLineChars="200"/>
        <w:jc w:val="left"/>
        <w:rPr>
          <w:rFonts w:ascii="彩虹粗仿宋" w:hAnsi="宋体" w:eastAsia="彩虹粗仿宋"/>
          <w:b/>
          <w:color w:val="000000"/>
          <w:sz w:val="32"/>
          <w:szCs w:val="32"/>
        </w:rPr>
      </w:pPr>
      <w:r>
        <w:rPr>
          <w:rFonts w:hint="eastAsia" w:ascii="彩虹粗仿宋" w:hAnsi="宋体" w:eastAsia="彩虹粗仿宋"/>
          <w:b/>
          <w:color w:val="000000"/>
          <w:sz w:val="32"/>
          <w:szCs w:val="32"/>
        </w:rPr>
        <w:t>（六）发票要求</w:t>
      </w:r>
    </w:p>
    <w:p>
      <w:pPr>
        <w:ind w:firstLine="640" w:firstLineChars="200"/>
        <w:rPr>
          <w:rFonts w:ascii="彩虹粗仿宋" w:eastAsia="彩虹粗仿宋"/>
          <w:sz w:val="32"/>
          <w:szCs w:val="32"/>
        </w:rPr>
      </w:pPr>
      <w:r>
        <w:rPr>
          <w:rFonts w:hint="eastAsia" w:ascii="彩虹粗仿宋" w:eastAsia="彩虹粗仿宋"/>
          <w:sz w:val="32"/>
          <w:szCs w:val="32"/>
        </w:rPr>
        <w:t>双方结算，需要开具增值税专用发票。</w:t>
      </w:r>
    </w:p>
    <w:sectPr>
      <w:pgSz w:w="11906" w:h="16838"/>
      <w:pgMar w:top="1440" w:right="1531" w:bottom="1440"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方正宋体-人口信息-P2"/>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6F29CB"/>
    <w:multiLevelType w:val="singleLevel"/>
    <w:tmpl w:val="F76F29C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2147"/>
    <w:rsid w:val="00014F42"/>
    <w:rsid w:val="00025FB3"/>
    <w:rsid w:val="0005155B"/>
    <w:rsid w:val="00077465"/>
    <w:rsid w:val="000D0A53"/>
    <w:rsid w:val="00193D74"/>
    <w:rsid w:val="0020291B"/>
    <w:rsid w:val="002325F0"/>
    <w:rsid w:val="002E57BF"/>
    <w:rsid w:val="003A0D12"/>
    <w:rsid w:val="00432147"/>
    <w:rsid w:val="004B0D4A"/>
    <w:rsid w:val="004F3DF8"/>
    <w:rsid w:val="00551C25"/>
    <w:rsid w:val="005D0928"/>
    <w:rsid w:val="00601651"/>
    <w:rsid w:val="00643AC4"/>
    <w:rsid w:val="006879F1"/>
    <w:rsid w:val="006A1AEF"/>
    <w:rsid w:val="00731A91"/>
    <w:rsid w:val="00767AA2"/>
    <w:rsid w:val="007C1A23"/>
    <w:rsid w:val="007D3498"/>
    <w:rsid w:val="007E6EE3"/>
    <w:rsid w:val="00805BDD"/>
    <w:rsid w:val="00820D55"/>
    <w:rsid w:val="00846F33"/>
    <w:rsid w:val="008502E4"/>
    <w:rsid w:val="008D583C"/>
    <w:rsid w:val="008D7BD7"/>
    <w:rsid w:val="008E1CC8"/>
    <w:rsid w:val="00982189"/>
    <w:rsid w:val="009D2B4F"/>
    <w:rsid w:val="00A15AC4"/>
    <w:rsid w:val="00A732E4"/>
    <w:rsid w:val="00AC450B"/>
    <w:rsid w:val="00B05CC9"/>
    <w:rsid w:val="00B33DA1"/>
    <w:rsid w:val="00B6136B"/>
    <w:rsid w:val="00B90CAB"/>
    <w:rsid w:val="00B948D2"/>
    <w:rsid w:val="00BB38DB"/>
    <w:rsid w:val="00C36996"/>
    <w:rsid w:val="00CC463F"/>
    <w:rsid w:val="00D6058F"/>
    <w:rsid w:val="00DB5F6F"/>
    <w:rsid w:val="00E92497"/>
    <w:rsid w:val="00E97879"/>
    <w:rsid w:val="00EB214E"/>
    <w:rsid w:val="00F346E9"/>
    <w:rsid w:val="00F82EB5"/>
    <w:rsid w:val="1EDEA33D"/>
    <w:rsid w:val="1FFB5790"/>
    <w:rsid w:val="334A665A"/>
    <w:rsid w:val="44265271"/>
    <w:rsid w:val="491B3263"/>
    <w:rsid w:val="4CDE2F4B"/>
    <w:rsid w:val="54B7CC7F"/>
    <w:rsid w:val="59FBA58A"/>
    <w:rsid w:val="65E38F6D"/>
    <w:rsid w:val="69CE369B"/>
    <w:rsid w:val="6EB3022A"/>
    <w:rsid w:val="762D2FA2"/>
    <w:rsid w:val="7BFF4612"/>
    <w:rsid w:val="7EE54B73"/>
    <w:rsid w:val="9DFBF852"/>
    <w:rsid w:val="B7D2226D"/>
    <w:rsid w:val="BDF6FD94"/>
    <w:rsid w:val="BF7FE158"/>
    <w:rsid w:val="CEE7F459"/>
    <w:rsid w:val="DECCEA51"/>
    <w:rsid w:val="DFEF66D0"/>
    <w:rsid w:val="FC7EE7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1"/>
    <w:semiHidden/>
    <w:unhideWhenUsed/>
    <w:qFormat/>
    <w:uiPriority w:val="99"/>
    <w:rPr>
      <w:rFonts w:ascii="宋体" w:eastAsia="宋体"/>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eastAsia="宋体" w:cs="黑体"/>
      <w:kern w:val="0"/>
    </w:rPr>
  </w:style>
  <w:style w:type="character" w:customStyle="1" w:styleId="11">
    <w:name w:val="文档结构图 Char"/>
    <w:basedOn w:val="7"/>
    <w:link w:val="2"/>
    <w:semiHidden/>
    <w:qFormat/>
    <w:uiPriority w:val="99"/>
    <w:rPr>
      <w:rFonts w:ascii="宋体" w:eastAsia="宋体"/>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CCB</Company>
  <Pages>4</Pages>
  <Words>282</Words>
  <Characters>1608</Characters>
  <Lines>13</Lines>
  <Paragraphs>3</Paragraphs>
  <TotalTime>1</TotalTime>
  <ScaleCrop>false</ScaleCrop>
  <LinksUpToDate>false</LinksUpToDate>
  <CharactersWithSpaces>1887</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2019-03-27T15:46:00Z</dcterms:created>
  <dc:creator>Apache POI</dc:creator>
  <cp:lastModifiedBy>ccb</cp:lastModifiedBy>
  <dcterms:modified xsi:type="dcterms:W3CDTF">2025-11-18T13:36:00Z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E9243E8F60BE654B611303690E7D24E8_43</vt:lpwstr>
  </property>
</Properties>
</file>