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center"/>
        <w:rPr>
          <w:rFonts w:hint="default" w:ascii="仿宋" w:hAnsi="仿宋" w:eastAsia="仿宋" w:cs="仿宋"/>
          <w:sz w:val="44"/>
          <w:szCs w:val="44"/>
          <w:lang w:val="en-US" w:eastAsia="zh-CN"/>
        </w:rPr>
      </w:pPr>
      <w:bookmarkStart w:id="11" w:name="_GoBack"/>
      <w:bookmarkStart w:id="0" w:name="OLE_LINK1"/>
      <w:bookmarkStart w:id="1" w:name="_Toc35393809"/>
      <w:bookmarkStart w:id="2" w:name="_Toc28359022"/>
      <w:r>
        <w:rPr>
          <w:rFonts w:hint="eastAsia" w:ascii="华文中宋" w:hAnsi="华文中宋" w:eastAsia="华文中宋" w:cs="Times New Roman"/>
          <w:b/>
          <w:bCs/>
          <w:color w:val="auto"/>
          <w:kern w:val="44"/>
          <w:sz w:val="44"/>
          <w:szCs w:val="44"/>
          <w:highlight w:val="none"/>
          <w:lang w:val="en-US" w:eastAsia="zh-CN" w:bidi="ar-SA"/>
        </w:rPr>
        <w:t>2025年度网络安全等级保护测评服务及数据安全风险评估服务采购项目</w:t>
      </w:r>
      <w:bookmarkEnd w:id="11"/>
    </w:p>
    <w:bookmarkEnd w:id="0"/>
    <w:p>
      <w:pPr>
        <w:pStyle w:val="3"/>
        <w:tabs>
          <w:tab w:val="left" w:pos="0"/>
        </w:tabs>
        <w:autoSpaceDE w:val="0"/>
        <w:autoSpaceDN w:val="0"/>
        <w:adjustRightInd w:val="0"/>
        <w:spacing w:before="0" w:after="0" w:line="360" w:lineRule="auto"/>
        <w:jc w:val="center"/>
        <w:rPr>
          <w:rFonts w:ascii="华文中宋" w:hAnsi="华文中宋" w:eastAsia="华文中宋"/>
          <w:color w:val="auto"/>
          <w:highlight w:val="none"/>
        </w:rPr>
      </w:pPr>
      <w:r>
        <w:rPr>
          <w:rFonts w:hint="eastAsia" w:ascii="华文中宋" w:hAnsi="华文中宋" w:eastAsia="华文中宋"/>
          <w:color w:val="auto"/>
          <w:highlight w:val="none"/>
        </w:rPr>
        <w:t>成交结果公告</w:t>
      </w:r>
      <w:bookmarkEnd w:id="1"/>
      <w:bookmarkEnd w:id="2"/>
    </w:p>
    <w:p>
      <w:pPr>
        <w:rPr>
          <w:rFonts w:hint="default" w:ascii="黑体" w:hAnsi="黑体" w:eastAsia="黑体"/>
          <w:color w:val="auto"/>
          <w:sz w:val="28"/>
          <w:szCs w:val="28"/>
          <w:highlight w:val="none"/>
          <w:lang w:val="en-US" w:eastAsia="zh-CN"/>
        </w:rPr>
      </w:pPr>
      <w:r>
        <w:rPr>
          <w:rFonts w:hint="eastAsia" w:ascii="黑体" w:hAnsi="黑体" w:eastAsia="黑体"/>
          <w:color w:val="auto"/>
          <w:sz w:val="28"/>
          <w:szCs w:val="28"/>
          <w:highlight w:val="none"/>
        </w:rPr>
        <w:t>一</w:t>
      </w:r>
      <w:r>
        <w:rPr>
          <w:rFonts w:ascii="黑体" w:hAnsi="黑体" w:eastAsia="黑体"/>
          <w:color w:val="auto"/>
          <w:sz w:val="28"/>
          <w:szCs w:val="28"/>
          <w:highlight w:val="none"/>
        </w:rPr>
        <w:t>、</w:t>
      </w:r>
      <w:r>
        <w:rPr>
          <w:rFonts w:hint="eastAsia" w:ascii="黑体" w:hAnsi="黑体" w:eastAsia="黑体"/>
          <w:color w:val="auto"/>
          <w:sz w:val="28"/>
          <w:szCs w:val="28"/>
          <w:highlight w:val="none"/>
        </w:rPr>
        <w:t>项目编号：0701-254</w:t>
      </w:r>
      <w:r>
        <w:rPr>
          <w:rFonts w:hint="eastAsia" w:ascii="黑体" w:hAnsi="黑体" w:eastAsia="黑体"/>
          <w:color w:val="auto"/>
          <w:sz w:val="28"/>
          <w:szCs w:val="28"/>
          <w:highlight w:val="none"/>
          <w:lang w:val="en-US" w:eastAsia="zh-CN"/>
        </w:rPr>
        <w:t>0</w:t>
      </w:r>
      <w:r>
        <w:rPr>
          <w:rFonts w:hint="eastAsia" w:ascii="黑体" w:hAnsi="黑体" w:eastAsia="黑体"/>
          <w:color w:val="auto"/>
          <w:sz w:val="28"/>
          <w:szCs w:val="28"/>
          <w:highlight w:val="none"/>
        </w:rPr>
        <w:t>0706G0</w:t>
      </w:r>
      <w:r>
        <w:rPr>
          <w:rFonts w:hint="eastAsia" w:ascii="黑体" w:hAnsi="黑体" w:eastAsia="黑体"/>
          <w:color w:val="auto"/>
          <w:sz w:val="28"/>
          <w:szCs w:val="28"/>
          <w:highlight w:val="none"/>
          <w:lang w:val="en-US" w:eastAsia="zh-CN"/>
        </w:rPr>
        <w:t>48</w:t>
      </w:r>
    </w:p>
    <w:p>
      <w:pPr>
        <w:spacing w:line="600" w:lineRule="auto"/>
        <w:jc w:val="left"/>
        <w:rPr>
          <w:rFonts w:hint="default" w:ascii="仿宋" w:hAnsi="仿宋" w:eastAsia="仿宋" w:cs="仿宋"/>
          <w:sz w:val="44"/>
          <w:szCs w:val="44"/>
          <w:lang w:val="en-US" w:eastAsia="zh-CN"/>
        </w:rPr>
      </w:pPr>
      <w:r>
        <w:rPr>
          <w:rFonts w:hint="eastAsia" w:ascii="黑体" w:hAnsi="黑体" w:eastAsia="黑体"/>
          <w:color w:val="auto"/>
          <w:sz w:val="28"/>
          <w:szCs w:val="28"/>
          <w:highlight w:val="none"/>
        </w:rPr>
        <w:t>二</w:t>
      </w:r>
      <w:r>
        <w:rPr>
          <w:rFonts w:ascii="黑体" w:hAnsi="黑体" w:eastAsia="黑体"/>
          <w:color w:val="auto"/>
          <w:sz w:val="28"/>
          <w:szCs w:val="28"/>
          <w:highlight w:val="none"/>
        </w:rPr>
        <w:t>、</w:t>
      </w:r>
      <w:r>
        <w:rPr>
          <w:rFonts w:hint="eastAsia" w:ascii="黑体" w:hAnsi="黑体" w:eastAsia="黑体"/>
          <w:color w:val="auto"/>
          <w:sz w:val="28"/>
          <w:szCs w:val="28"/>
          <w:highlight w:val="none"/>
        </w:rPr>
        <w:t>项目名称：</w:t>
      </w:r>
      <w:r>
        <w:rPr>
          <w:rFonts w:hint="eastAsia" w:ascii="黑体" w:hAnsi="黑体" w:eastAsia="黑体"/>
          <w:color w:val="auto"/>
          <w:sz w:val="28"/>
          <w:szCs w:val="28"/>
          <w:highlight w:val="none"/>
          <w:lang w:val="en-US" w:eastAsia="zh-CN"/>
        </w:rPr>
        <w:t>2025年度网络安全等级保护测评服务及数据安全风险评估服务采购项目</w:t>
      </w:r>
    </w:p>
    <w:p>
      <w:pPr>
        <w:rPr>
          <w:rFonts w:ascii="黑体" w:hAnsi="黑体" w:eastAsia="黑体"/>
          <w:color w:val="auto"/>
          <w:sz w:val="28"/>
          <w:szCs w:val="28"/>
          <w:highlight w:val="none"/>
        </w:rPr>
      </w:pPr>
      <w:r>
        <w:rPr>
          <w:rFonts w:hint="eastAsia" w:ascii="黑体" w:hAnsi="黑体" w:eastAsia="黑体"/>
          <w:color w:val="auto"/>
          <w:sz w:val="28"/>
          <w:szCs w:val="28"/>
          <w:highlight w:val="none"/>
        </w:rPr>
        <w:t>三、成交信息</w:t>
      </w:r>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供应商名称：</w:t>
      </w:r>
      <w:r>
        <w:rPr>
          <w:rFonts w:hint="eastAsia" w:ascii="仿宋" w:hAnsi="仿宋" w:eastAsia="仿宋"/>
          <w:color w:val="auto"/>
          <w:sz w:val="28"/>
          <w:szCs w:val="28"/>
          <w:highlight w:val="none"/>
          <w:u w:val="single"/>
        </w:rPr>
        <w:t>北京银联金卡科技有限公司</w:t>
      </w:r>
    </w:p>
    <w:p>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供应商地址：</w:t>
      </w:r>
      <w:r>
        <w:rPr>
          <w:rFonts w:hint="eastAsia" w:ascii="仿宋" w:hAnsi="仿宋" w:eastAsia="仿宋"/>
          <w:color w:val="auto"/>
          <w:sz w:val="28"/>
          <w:szCs w:val="28"/>
          <w:highlight w:val="none"/>
          <w:u w:val="single"/>
        </w:rPr>
        <w:t>北京市石景山区实兴大街30号院18号楼</w:t>
      </w:r>
      <w:r>
        <w:rPr>
          <w:rFonts w:hint="eastAsia" w:ascii="仿宋" w:hAnsi="仿宋" w:eastAsia="仿宋"/>
          <w:color w:val="auto"/>
          <w:sz w:val="28"/>
          <w:szCs w:val="28"/>
          <w:highlight w:val="none"/>
        </w:rPr>
        <w:t xml:space="preserve"> </w:t>
      </w:r>
    </w:p>
    <w:p>
      <w:pPr>
        <w:ind w:firstLine="560" w:firstLineChars="200"/>
        <w:rPr>
          <w:rFonts w:hint="eastAsia"/>
          <w:color w:val="auto"/>
          <w:lang w:val="en-US" w:eastAsia="zh-CN"/>
        </w:rPr>
      </w:pPr>
      <w:r>
        <w:rPr>
          <w:rFonts w:hint="eastAsia" w:ascii="仿宋" w:hAnsi="仿宋" w:eastAsia="仿宋"/>
          <w:color w:val="auto"/>
          <w:sz w:val="28"/>
          <w:szCs w:val="28"/>
          <w:highlight w:val="none"/>
        </w:rPr>
        <w:t>成交金额：</w:t>
      </w:r>
      <w:r>
        <w:rPr>
          <w:rFonts w:hint="eastAsia" w:ascii="仿宋" w:hAnsi="仿宋" w:eastAsia="仿宋"/>
          <w:color w:val="auto"/>
          <w:sz w:val="28"/>
          <w:szCs w:val="28"/>
          <w:highlight w:val="none"/>
          <w:u w:val="single"/>
        </w:rPr>
        <w:t>1</w:t>
      </w:r>
      <w:r>
        <w:rPr>
          <w:rFonts w:hint="eastAsia" w:ascii="仿宋" w:hAnsi="仿宋" w:eastAsia="仿宋"/>
          <w:color w:val="auto"/>
          <w:sz w:val="28"/>
          <w:szCs w:val="28"/>
          <w:highlight w:val="none"/>
          <w:u w:val="single"/>
          <w:lang w:val="en-US" w:eastAsia="zh-CN"/>
        </w:rPr>
        <w:t>5</w:t>
      </w:r>
      <w:r>
        <w:rPr>
          <w:rFonts w:hint="eastAsia" w:ascii="仿宋" w:hAnsi="仿宋" w:eastAsia="仿宋"/>
          <w:color w:val="auto"/>
          <w:sz w:val="28"/>
          <w:szCs w:val="28"/>
          <w:highlight w:val="none"/>
          <w:u w:val="single"/>
        </w:rPr>
        <w:t>0,000.00</w:t>
      </w:r>
      <w:r>
        <w:rPr>
          <w:rFonts w:hint="eastAsia" w:ascii="仿宋" w:hAnsi="仿宋" w:eastAsia="仿宋"/>
          <w:color w:val="auto"/>
          <w:sz w:val="28"/>
          <w:szCs w:val="28"/>
          <w:highlight w:val="none"/>
        </w:rPr>
        <w:t>元人民币</w:t>
      </w:r>
    </w:p>
    <w:p>
      <w:pPr>
        <w:rPr>
          <w:rFonts w:ascii="黑体" w:hAnsi="黑体" w:eastAsia="黑体"/>
          <w:color w:val="auto"/>
          <w:sz w:val="28"/>
          <w:szCs w:val="28"/>
          <w:highlight w:val="none"/>
        </w:rPr>
      </w:pPr>
      <w:r>
        <w:rPr>
          <w:rFonts w:hint="eastAsia" w:ascii="黑体" w:hAnsi="黑体" w:eastAsia="黑体"/>
          <w:color w:val="auto"/>
          <w:sz w:val="28"/>
          <w:szCs w:val="28"/>
          <w:highlight w:val="none"/>
        </w:rPr>
        <w:t>四、主要标的信息</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8522" w:type="dxa"/>
            <w:vAlign w:val="top"/>
          </w:tcPr>
          <w:p>
            <w:pPr>
              <w:jc w:val="center"/>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4" w:hRule="atLeast"/>
        </w:trPr>
        <w:tc>
          <w:tcPr>
            <w:tcW w:w="8522" w:type="dxa"/>
            <w:vAlign w:val="top"/>
          </w:tcPr>
          <w:p>
            <w:pPr>
              <w:rPr>
                <w:rFonts w:hint="eastAsia" w:ascii="仿宋" w:hAnsi="仿宋" w:eastAsia="仿宋"/>
                <w:color w:val="auto"/>
                <w:kern w:val="0"/>
                <w:sz w:val="28"/>
                <w:szCs w:val="28"/>
                <w:highlight w:val="none"/>
                <w:lang w:eastAsia="zh-CN"/>
              </w:rPr>
            </w:pPr>
            <w:r>
              <w:rPr>
                <w:rFonts w:hint="eastAsia" w:ascii="仿宋" w:hAnsi="仿宋" w:eastAsia="仿宋"/>
                <w:color w:val="auto"/>
                <w:kern w:val="0"/>
                <w:sz w:val="28"/>
                <w:szCs w:val="28"/>
                <w:highlight w:val="none"/>
              </w:rPr>
              <w:t>名称：</w:t>
            </w:r>
            <w:r>
              <w:rPr>
                <w:rFonts w:hint="eastAsia" w:ascii="仿宋" w:hAnsi="仿宋" w:eastAsia="仿宋"/>
                <w:color w:val="auto"/>
                <w:kern w:val="0"/>
                <w:sz w:val="28"/>
                <w:szCs w:val="28"/>
                <w:highlight w:val="none"/>
                <w:lang w:val="en-US" w:eastAsia="zh-CN"/>
              </w:rPr>
              <w:t>网络安全等级保护测评服务及数据安全风险评估服务；</w:t>
            </w:r>
          </w:p>
          <w:p>
            <w:pPr>
              <w:rPr>
                <w:rFonts w:hint="eastAsia" w:ascii="仿宋" w:hAnsi="仿宋" w:eastAsia="仿宋"/>
                <w:color w:val="auto"/>
                <w:kern w:val="0"/>
                <w:sz w:val="28"/>
                <w:szCs w:val="28"/>
                <w:highlight w:val="none"/>
                <w:u w:val="single"/>
                <w:lang w:val="en-US" w:eastAsia="zh-CN"/>
              </w:rPr>
            </w:pPr>
            <w:r>
              <w:rPr>
                <w:rFonts w:hint="eastAsia" w:ascii="仿宋" w:hAnsi="仿宋" w:eastAsia="仿宋"/>
                <w:color w:val="auto"/>
                <w:kern w:val="0"/>
                <w:sz w:val="28"/>
                <w:szCs w:val="28"/>
                <w:highlight w:val="none"/>
              </w:rPr>
              <w:t>服务范围：按照《金融行业网络安全等级保护实施指引》（JR/T 0071-2020）和《金融行业网络安全等级保护测评指南》（JR/T 0072-2020）中的测评要求对采购人两个三级系统完成网络安全等级保护测评工作；应按照《中国人民银行业务领域数据安全管理办法》和《数据安全技术 数据安全风险评估方法》（GB/T 45577—2025）的有关要求完成采购人业务数据的数据安全风险评估工作</w:t>
            </w:r>
            <w:r>
              <w:rPr>
                <w:rFonts w:hint="eastAsia" w:ascii="仿宋" w:hAnsi="仿宋" w:eastAsia="仿宋"/>
                <w:color w:val="auto"/>
                <w:kern w:val="0"/>
                <w:sz w:val="28"/>
                <w:szCs w:val="28"/>
                <w:highlight w:val="none"/>
                <w:lang w:eastAsia="zh-CN"/>
              </w:rPr>
              <w:t>；</w:t>
            </w:r>
          </w:p>
          <w:p>
            <w:pPr>
              <w:rPr>
                <w:rFonts w:hint="default" w:ascii="仿宋" w:hAnsi="仿宋" w:eastAsia="仿宋"/>
                <w:color w:val="auto"/>
                <w:kern w:val="0"/>
                <w:sz w:val="28"/>
                <w:szCs w:val="28"/>
                <w:highlight w:val="none"/>
                <w:lang w:val="en-US" w:eastAsia="zh-CN"/>
              </w:rPr>
            </w:pPr>
            <w:r>
              <w:rPr>
                <w:rFonts w:hint="eastAsia" w:ascii="仿宋" w:hAnsi="仿宋" w:eastAsia="仿宋"/>
                <w:color w:val="auto"/>
                <w:kern w:val="0"/>
                <w:sz w:val="28"/>
                <w:szCs w:val="28"/>
                <w:highlight w:val="none"/>
                <w:lang w:val="en-US" w:eastAsia="zh-CN"/>
              </w:rPr>
              <w:t>服务要求：供应商须保障人员稳定性，如因特殊情况有人员变动，须提前5个工作日通知甲方且取得甲方书面同意，所更换人员能力要求不得低于原人员，供应商须在一周内调换符合要求的人员并确保其到位等要求</w:t>
            </w:r>
            <w:r>
              <w:rPr>
                <w:rFonts w:hint="eastAsia" w:ascii="仿宋" w:hAnsi="仿宋" w:eastAsia="仿宋"/>
                <w:color w:val="auto"/>
                <w:kern w:val="0"/>
                <w:sz w:val="28"/>
                <w:szCs w:val="28"/>
                <w:highlight w:val="none"/>
                <w:lang w:val="en-US" w:eastAsia="zh-CN"/>
              </w:rPr>
              <w:t>；</w:t>
            </w:r>
          </w:p>
          <w:p>
            <w:pPr>
              <w:rPr>
                <w:rFonts w:hint="eastAsia" w:ascii="仿宋" w:hAnsi="仿宋" w:eastAsia="仿宋"/>
                <w:color w:val="auto"/>
                <w:kern w:val="0"/>
                <w:sz w:val="28"/>
                <w:szCs w:val="28"/>
                <w:highlight w:val="none"/>
                <w:lang w:eastAsia="zh-CN"/>
              </w:rPr>
            </w:pPr>
            <w:r>
              <w:rPr>
                <w:rFonts w:hint="eastAsia" w:ascii="仿宋" w:hAnsi="仿宋" w:eastAsia="仿宋"/>
                <w:color w:val="auto"/>
                <w:kern w:val="0"/>
                <w:sz w:val="28"/>
                <w:szCs w:val="28"/>
                <w:highlight w:val="none"/>
              </w:rPr>
              <w:t>服务时间：自合同签订之日起60个自然日内完成服务</w:t>
            </w:r>
            <w:r>
              <w:rPr>
                <w:rFonts w:hint="eastAsia" w:ascii="仿宋" w:hAnsi="仿宋" w:eastAsia="仿宋"/>
                <w:color w:val="auto"/>
                <w:kern w:val="0"/>
                <w:sz w:val="28"/>
                <w:szCs w:val="28"/>
                <w:highlight w:val="none"/>
                <w:lang w:eastAsia="zh-CN"/>
              </w:rPr>
              <w:t>；</w:t>
            </w:r>
          </w:p>
          <w:p>
            <w:pPr>
              <w:rPr>
                <w:rFonts w:hint="default" w:ascii="仿宋" w:hAnsi="仿宋" w:eastAsia="仿宋"/>
                <w:color w:val="auto"/>
                <w:kern w:val="0"/>
                <w:sz w:val="28"/>
                <w:szCs w:val="28"/>
                <w:highlight w:val="none"/>
                <w:lang w:val="en-US" w:eastAsia="zh-CN"/>
              </w:rPr>
            </w:pPr>
            <w:r>
              <w:rPr>
                <w:rFonts w:hint="eastAsia" w:ascii="仿宋" w:hAnsi="仿宋" w:eastAsia="仿宋"/>
                <w:color w:val="auto"/>
                <w:kern w:val="0"/>
                <w:sz w:val="28"/>
                <w:szCs w:val="28"/>
                <w:highlight w:val="none"/>
              </w:rPr>
              <w:t>服务标准：按照国家</w:t>
            </w:r>
            <w:r>
              <w:rPr>
                <w:rFonts w:hint="eastAsia" w:ascii="仿宋" w:hAnsi="仿宋" w:eastAsia="仿宋"/>
                <w:color w:val="auto"/>
                <w:kern w:val="0"/>
                <w:sz w:val="28"/>
                <w:szCs w:val="28"/>
                <w:highlight w:val="none"/>
                <w:lang w:val="en-US" w:eastAsia="zh-CN"/>
              </w:rPr>
              <w:t>及合同</w:t>
            </w:r>
            <w:r>
              <w:rPr>
                <w:rFonts w:hint="eastAsia" w:ascii="仿宋" w:hAnsi="仿宋" w:eastAsia="仿宋"/>
                <w:color w:val="auto"/>
                <w:kern w:val="0"/>
                <w:sz w:val="28"/>
                <w:szCs w:val="28"/>
                <w:highlight w:val="none"/>
              </w:rPr>
              <w:t>相关标准执行。</w:t>
            </w:r>
          </w:p>
        </w:tc>
      </w:tr>
    </w:tbl>
    <w:p>
      <w:pPr>
        <w:numPr>
          <w:ilvl w:val="0"/>
          <w:numId w:val="1"/>
        </w:numP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评审专家名单：</w:t>
      </w:r>
    </w:p>
    <w:p>
      <w:pPr>
        <w:ind w:firstLine="560" w:firstLineChars="200"/>
        <w:rPr>
          <w:rFonts w:hint="eastAsia" w:ascii="仿宋" w:hAnsi="仿宋" w:eastAsia="仿宋"/>
          <w:color w:val="auto"/>
          <w:kern w:val="0"/>
          <w:sz w:val="28"/>
          <w:szCs w:val="28"/>
          <w:highlight w:val="none"/>
          <w:lang w:eastAsia="zh-CN"/>
        </w:rPr>
      </w:pPr>
      <w:r>
        <w:rPr>
          <w:rFonts w:hint="eastAsia" w:ascii="仿宋" w:hAnsi="仿宋" w:eastAsia="仿宋"/>
          <w:color w:val="auto"/>
          <w:kern w:val="0"/>
          <w:sz w:val="28"/>
          <w:szCs w:val="28"/>
          <w:highlight w:val="none"/>
          <w:lang w:eastAsia="zh-CN"/>
        </w:rPr>
        <w:t>王峣、徐宁、邢栋</w:t>
      </w:r>
    </w:p>
    <w:p>
      <w:pPr>
        <w:numPr>
          <w:ilvl w:val="0"/>
          <w:numId w:val="1"/>
        </w:numPr>
        <w:ind w:left="0" w:leftChars="0" w:firstLine="0" w:firstLineChars="0"/>
        <w:rPr>
          <w:rFonts w:hint="eastAsia" w:ascii="黑体" w:hAnsi="黑体" w:eastAsia="黑体"/>
          <w:color w:val="auto"/>
          <w:sz w:val="28"/>
          <w:szCs w:val="28"/>
          <w:highlight w:val="none"/>
        </w:rPr>
      </w:pPr>
      <w:r>
        <w:rPr>
          <w:rFonts w:hint="eastAsia" w:ascii="黑体" w:hAnsi="黑体" w:eastAsia="黑体"/>
          <w:color w:val="auto"/>
          <w:sz w:val="28"/>
          <w:szCs w:val="28"/>
          <w:highlight w:val="none"/>
        </w:rPr>
        <w:t>代理服务收费标准及金额：</w:t>
      </w:r>
    </w:p>
    <w:p>
      <w:pPr>
        <w:ind w:firstLine="560" w:firstLineChars="200"/>
        <w:rPr>
          <w:rFonts w:hint="default" w:ascii="仿宋" w:hAnsi="仿宋" w:eastAsia="仿宋"/>
          <w:color w:val="auto"/>
          <w:kern w:val="0"/>
          <w:sz w:val="28"/>
          <w:szCs w:val="28"/>
          <w:highlight w:val="none"/>
          <w:lang w:val="en-US" w:eastAsia="zh-CN"/>
        </w:rPr>
      </w:pPr>
      <w:r>
        <w:rPr>
          <w:rFonts w:hint="eastAsia" w:ascii="仿宋" w:hAnsi="仿宋" w:eastAsia="仿宋"/>
          <w:color w:val="auto"/>
          <w:kern w:val="0"/>
          <w:sz w:val="28"/>
          <w:szCs w:val="28"/>
          <w:highlight w:val="none"/>
          <w:lang w:val="en-US" w:eastAsia="zh-CN"/>
        </w:rPr>
        <w:t>本项目代理服务费总金额:</w:t>
      </w:r>
      <w:r>
        <w:rPr>
          <w:rFonts w:hint="eastAsia" w:ascii="仿宋" w:hAnsi="仿宋" w:eastAsia="仿宋"/>
          <w:color w:val="auto"/>
          <w:kern w:val="0"/>
          <w:sz w:val="28"/>
          <w:szCs w:val="28"/>
          <w:highlight w:val="none"/>
          <w:u w:val="single"/>
          <w:lang w:val="en-US" w:eastAsia="zh-CN"/>
        </w:rPr>
        <w:t>0.7</w:t>
      </w:r>
      <w:r>
        <w:rPr>
          <w:rFonts w:hint="eastAsia" w:ascii="仿宋" w:hAnsi="仿宋" w:eastAsia="仿宋"/>
          <w:color w:val="auto"/>
          <w:kern w:val="0"/>
          <w:sz w:val="28"/>
          <w:szCs w:val="28"/>
          <w:highlight w:val="none"/>
          <w:lang w:val="en-US" w:eastAsia="zh-CN"/>
        </w:rPr>
        <w:t>万元（人民币），具体收费标准详见其他补充事宜。</w:t>
      </w:r>
    </w:p>
    <w:p>
      <w:pPr>
        <w:rPr>
          <w:rFonts w:ascii="黑体" w:hAnsi="黑体" w:eastAsia="黑体"/>
          <w:color w:val="auto"/>
          <w:sz w:val="28"/>
          <w:szCs w:val="28"/>
          <w:highlight w:val="none"/>
        </w:rPr>
      </w:pPr>
      <w:r>
        <w:rPr>
          <w:rFonts w:hint="eastAsia" w:ascii="黑体" w:hAnsi="黑体" w:eastAsia="黑体"/>
          <w:color w:val="auto"/>
          <w:sz w:val="28"/>
          <w:szCs w:val="28"/>
          <w:highlight w:val="none"/>
        </w:rPr>
        <w:t>七、公告期限</w:t>
      </w:r>
    </w:p>
    <w:p>
      <w:pPr>
        <w:ind w:firstLine="560" w:firstLineChars="20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ascii="仿宋" w:hAnsi="仿宋" w:eastAsia="仿宋" w:cs="宋体"/>
          <w:color w:val="auto"/>
          <w:kern w:val="0"/>
          <w:sz w:val="28"/>
          <w:szCs w:val="28"/>
          <w:highlight w:val="none"/>
        </w:rPr>
        <w:t>1</w:t>
      </w:r>
      <w:r>
        <w:rPr>
          <w:rFonts w:hint="eastAsia" w:ascii="仿宋" w:hAnsi="仿宋" w:eastAsia="仿宋" w:cs="宋体"/>
          <w:color w:val="auto"/>
          <w:kern w:val="0"/>
          <w:sz w:val="28"/>
          <w:szCs w:val="28"/>
          <w:highlight w:val="none"/>
        </w:rPr>
        <w:t>个工作日。</w:t>
      </w:r>
    </w:p>
    <w:p>
      <w:pPr>
        <w:rPr>
          <w:rFonts w:ascii="黑体" w:hAnsi="黑体" w:eastAsia="黑体" w:cs="仿宋"/>
          <w:color w:val="auto"/>
          <w:sz w:val="28"/>
          <w:szCs w:val="28"/>
          <w:highlight w:val="none"/>
        </w:rPr>
      </w:pPr>
      <w:r>
        <w:rPr>
          <w:rFonts w:hint="eastAsia" w:ascii="黑体" w:hAnsi="黑体" w:eastAsia="黑体" w:cs="仿宋"/>
          <w:color w:val="auto"/>
          <w:sz w:val="28"/>
          <w:szCs w:val="28"/>
          <w:highlight w:val="none"/>
        </w:rPr>
        <w:t>八、其他补充事宜</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招标代理机构按照如下标准，采用差额累进方式计算服务费。</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具体标准见下表：</w:t>
      </w:r>
    </w:p>
    <w:tbl>
      <w:tblPr>
        <w:tblStyle w:val="7"/>
        <w:tblW w:w="8400"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12"/>
        <w:gridCol w:w="1983"/>
        <w:gridCol w:w="1802"/>
        <w:gridCol w:w="18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5" w:hRule="atLeast"/>
        </w:trPr>
        <w:tc>
          <w:tcPr>
            <w:tcW w:w="2812" w:type="dxa"/>
            <w:tcBorders>
              <w:top w:val="single" w:color="auto" w:sz="4" w:space="0"/>
              <w:bottom w:val="single" w:color="auto" w:sz="4" w:space="0"/>
              <w:right w:val="single" w:color="auto" w:sz="4" w:space="0"/>
            </w:tcBorders>
          </w:tcPr>
          <w:p>
            <w:pPr>
              <w:ind w:firstLine="1275"/>
              <w:rPr>
                <w:rFonts w:hint="eastAsia" w:ascii="仿宋" w:hAnsi="仿宋" w:eastAsia="仿宋" w:cs="仿宋"/>
                <w:sz w:val="24"/>
                <w:szCs w:val="24"/>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488950</wp:posOffset>
                      </wp:positionH>
                      <wp:positionV relativeFrom="paragraph">
                        <wp:posOffset>-6350</wp:posOffset>
                      </wp:positionV>
                      <wp:extent cx="1207135" cy="1258570"/>
                      <wp:effectExtent l="3175" t="3175" r="8890" b="8255"/>
                      <wp:wrapNone/>
                      <wp:docPr id="1237819576" name="Line 2"/>
                      <wp:cNvGraphicFramePr/>
                      <a:graphic xmlns:a="http://schemas.openxmlformats.org/drawingml/2006/main">
                        <a:graphicData uri="http://schemas.microsoft.com/office/word/2010/wordprocessingShape">
                          <wps:wsp>
                            <wps:cNvCnPr>
                              <a:cxnSpLocks noChangeShapeType="1"/>
                            </wps:cNvCnPr>
                            <wps:spPr bwMode="auto">
                              <a:xfrm flipH="1" flipV="1">
                                <a:off x="0" y="0"/>
                                <a:ext cx="1207135" cy="1258570"/>
                              </a:xfrm>
                              <a:prstGeom prst="line">
                                <a:avLst/>
                              </a:prstGeom>
                              <a:noFill/>
                              <a:ln w="9525">
                                <a:solidFill>
                                  <a:srgbClr val="000000"/>
                                </a:solidFill>
                                <a:round/>
                              </a:ln>
                            </wps:spPr>
                            <wps:bodyPr/>
                          </wps:wsp>
                        </a:graphicData>
                      </a:graphic>
                    </wp:anchor>
                  </w:drawing>
                </mc:Choice>
                <mc:Fallback>
                  <w:pict>
                    <v:line id="Line 2" o:spid="_x0000_s1026" o:spt="20" style="position:absolute;left:0pt;flip:x y;margin-left:38.5pt;margin-top:-0.5pt;height:99.1pt;width:95.05pt;z-index:251660288;mso-width-relative:page;mso-height-relative:page;" filled="f" stroked="t" coordsize="21600,21600" o:gfxdata="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rPVGJ1AAAAAkBAAAP&#10;AAAAAAAAAAEAIAAAACIAAABkcnMvZG93bnJldi54bWxQSwECFAAUAAAACACHTuJAZHtKluMBAADC&#10;AwAADgAAAAAAAAABACAAAAAjAQAAZHJzL2Uyb0RvYy54bWxQSwUGAAAAAAYABgBZAQAAeAU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-6350</wp:posOffset>
                      </wp:positionV>
                      <wp:extent cx="8890" cy="6350"/>
                      <wp:effectExtent l="0" t="0" r="0" b="0"/>
                      <wp:wrapNone/>
                      <wp:docPr id="4" name="Line 3"/>
                      <wp:cNvGraphicFramePr/>
                      <a:graphic xmlns:a="http://schemas.openxmlformats.org/drawingml/2006/main">
                        <a:graphicData uri="http://schemas.microsoft.com/office/word/2010/wordprocessingShape">
                          <wps:wsp>
                            <wps:cNvCnPr>
                              <a:cxnSpLocks noChangeShapeType="1"/>
                            </wps:cNvCnPr>
                            <wps:spPr>
                              <a:xfrm>
                                <a:off x="0" y="0"/>
                                <a:ext cx="8890" cy="635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3" o:spid="_x0000_s1026" o:spt="20" style="position:absolute;left:0pt;margin-left:-9pt;margin-top:-0.5pt;height:0.5pt;width:0.7pt;z-index:251659264;mso-width-relative:page;mso-height-relative:page;" filled="f" stroked="t" coordsize="21600,21600" o:gfxdata="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Bci&#10;G9UAAAAHAQAADwAAAAAAAAABACAAAAAiAAAAZHJzL2Rvd25yZXYueG1sUEsBAhQAFAAAAAgAh07i&#10;QLLarMTsAQAA/wMAAA4AAAAAAAAAAQAgAAAAJAEAAGRycy9lMm9Eb2MueG1sUEsFBgAAAAAGAAYA&#10;WQEAAIIFAAAAAA==&#10;">
                      <v:fill on="f" focussize="0,0"/>
                      <v:stroke color="#000000" joinstyle="round"/>
                      <v:imagedata o:title=""/>
                      <o:lock v:ext="edit" aspectratio="f"/>
                    </v:line>
                  </w:pict>
                </mc:Fallback>
              </mc:AlternateContent>
            </w:r>
            <w:r>
              <w:rPr>
                <w:rFonts w:hint="eastAsia" w:ascii="仿宋" w:hAnsi="仿宋" w:eastAsia="仿宋" w:cs="仿宋"/>
                <w:sz w:val="24"/>
                <w:szCs w:val="24"/>
              </w:rPr>
              <w:t>服</w:t>
            </w:r>
          </w:p>
          <w:p>
            <w:pPr>
              <w:ind w:firstLine="210" w:firstLineChars="100"/>
              <w:rPr>
                <w:rFonts w:hint="eastAsia" w:ascii="仿宋" w:hAnsi="仿宋" w:eastAsia="仿宋" w:cs="仿宋"/>
                <w:sz w:val="24"/>
                <w:szCs w:val="24"/>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-40005</wp:posOffset>
                      </wp:positionH>
                      <wp:positionV relativeFrom="paragraph">
                        <wp:posOffset>97790</wp:posOffset>
                      </wp:positionV>
                      <wp:extent cx="1778635" cy="998220"/>
                      <wp:effectExtent l="2540" t="4445" r="9525" b="13335"/>
                      <wp:wrapNone/>
                      <wp:docPr id="791917130" name="Line 4"/>
                      <wp:cNvGraphicFramePr/>
                      <a:graphic xmlns:a="http://schemas.openxmlformats.org/drawingml/2006/main">
                        <a:graphicData uri="http://schemas.microsoft.com/office/word/2010/wordprocessingShape">
                          <wps:wsp>
                            <wps:cNvCnPr>
                              <a:cxnSpLocks noChangeShapeType="1"/>
                            </wps:cNvCnPr>
                            <wps:spPr bwMode="auto">
                              <a:xfrm flipH="1" flipV="1">
                                <a:off x="0" y="0"/>
                                <a:ext cx="1778635" cy="998220"/>
                              </a:xfrm>
                              <a:prstGeom prst="line">
                                <a:avLst/>
                              </a:prstGeom>
                              <a:noFill/>
                              <a:ln w="9525">
                                <a:solidFill>
                                  <a:srgbClr val="000000"/>
                                </a:solidFill>
                                <a:round/>
                              </a:ln>
                            </wps:spPr>
                            <wps:bodyPr/>
                          </wps:wsp>
                        </a:graphicData>
                      </a:graphic>
                    </wp:anchor>
                  </w:drawing>
                </mc:Choice>
                <mc:Fallback>
                  <w:pict>
                    <v:line id="Line 4" o:spid="_x0000_s1026" o:spt="20" style="position:absolute;left:0pt;flip:x y;margin-left:-3.15pt;margin-top:7.7pt;height:78.6pt;width:140.05pt;z-index:251661312;mso-width-relative:page;mso-height-relative:page;" filled="f" stroked="t" coordsize="21600,21600" o:gfxdata="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HUOTE/SAAAACQEAAA8AAAAA&#10;AAAAAQAgAAAAIgAAAGRycy9kb3ducmV2LnhtbFBLAQIUABQAAAAIAIdO4kALzFki4QEAAMADAAAO&#10;AAAAAAAAAAEAIAAAACEBAABkcnMvZTJvRG9jLnhtbFBLBQYAAAAABgAGAFkBAAB0BQAAAAA=&#10;">
                      <v:fill on="f" focussize="0,0"/>
                      <v:stroke color="#000000" joinstyle="round"/>
                      <v:imagedata o:title=""/>
                      <o:lock v:ext="edit" aspectratio="f"/>
                    </v:line>
                  </w:pict>
                </mc:Fallback>
              </mc:AlternateContent>
            </w:r>
            <w:r>
              <w:rPr>
                <w:rFonts w:hint="eastAsia" w:ascii="仿宋" w:hAnsi="仿宋" w:eastAsia="仿宋" w:cs="仿宋"/>
                <w:sz w:val="24"/>
                <w:szCs w:val="24"/>
              </w:rPr>
              <w:t>费　　　　　务</w:t>
            </w:r>
          </w:p>
          <w:p>
            <w:pPr>
              <w:ind w:firstLine="1200" w:firstLineChars="500"/>
              <w:rPr>
                <w:rFonts w:hint="eastAsia" w:ascii="仿宋" w:hAnsi="仿宋" w:eastAsia="仿宋" w:cs="仿宋"/>
                <w:sz w:val="24"/>
                <w:szCs w:val="24"/>
              </w:rPr>
            </w:pPr>
            <w:r>
              <w:rPr>
                <w:rFonts w:hint="eastAsia" w:ascii="仿宋" w:hAnsi="仿宋" w:eastAsia="仿宋" w:cs="仿宋"/>
                <w:sz w:val="24"/>
                <w:szCs w:val="24"/>
              </w:rPr>
              <w:t>　　　类</w:t>
            </w:r>
          </w:p>
          <w:p>
            <w:pPr>
              <w:ind w:firstLine="1200" w:firstLineChars="500"/>
              <w:rPr>
                <w:rFonts w:hint="eastAsia" w:ascii="仿宋" w:hAnsi="仿宋" w:eastAsia="仿宋" w:cs="仿宋"/>
                <w:sz w:val="24"/>
                <w:szCs w:val="24"/>
              </w:rPr>
            </w:pPr>
            <w:r>
              <w:rPr>
                <w:rFonts w:hint="eastAsia" w:ascii="仿宋" w:hAnsi="仿宋" w:eastAsia="仿宋" w:cs="仿宋"/>
                <w:sz w:val="24"/>
                <w:szCs w:val="24"/>
              </w:rPr>
              <w:t>率　　　型</w:t>
            </w:r>
          </w:p>
          <w:p>
            <w:pPr>
              <w:ind w:firstLine="1200" w:firstLineChars="500"/>
              <w:rPr>
                <w:rFonts w:hint="eastAsia" w:ascii="仿宋" w:hAnsi="仿宋" w:eastAsia="仿宋" w:cs="仿宋"/>
                <w:sz w:val="24"/>
                <w:szCs w:val="24"/>
              </w:rPr>
            </w:pPr>
            <w:r>
              <w:rPr>
                <w:rFonts w:hint="eastAsia" w:ascii="仿宋" w:hAnsi="仿宋" w:eastAsia="仿宋" w:cs="仿宋"/>
                <w:sz w:val="24"/>
                <w:szCs w:val="24"/>
              </w:rPr>
              <w:t>　　　　</w:t>
            </w:r>
          </w:p>
          <w:p>
            <w:pPr>
              <w:rPr>
                <w:rFonts w:hint="eastAsia" w:ascii="仿宋" w:hAnsi="仿宋" w:eastAsia="仿宋" w:cs="仿宋"/>
                <w:sz w:val="24"/>
                <w:szCs w:val="24"/>
              </w:rPr>
            </w:pPr>
            <w:r>
              <w:rPr>
                <w:rFonts w:hint="eastAsia" w:ascii="仿宋" w:hAnsi="仿宋" w:eastAsia="仿宋" w:cs="仿宋"/>
                <w:sz w:val="24"/>
                <w:szCs w:val="24"/>
              </w:rPr>
              <w:t>计费基数（万元）</w:t>
            </w:r>
          </w:p>
        </w:tc>
        <w:tc>
          <w:tcPr>
            <w:tcW w:w="19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货物</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服务</w:t>
            </w:r>
          </w:p>
        </w:tc>
        <w:tc>
          <w:tcPr>
            <w:tcW w:w="1803" w:type="dxa"/>
            <w:tcBorders>
              <w:top w:val="single" w:color="auto" w:sz="4" w:space="0"/>
              <w:left w:val="single" w:color="auto" w:sz="4" w:space="0"/>
              <w:bottom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2812" w:type="dxa"/>
            <w:tcBorders>
              <w:top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100以下</w:t>
            </w:r>
          </w:p>
        </w:tc>
        <w:tc>
          <w:tcPr>
            <w:tcW w:w="1983" w:type="dxa"/>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1.5%</w:t>
            </w:r>
          </w:p>
        </w:tc>
        <w:tc>
          <w:tcPr>
            <w:tcW w:w="1802" w:type="dxa"/>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1.5%</w:t>
            </w:r>
          </w:p>
        </w:tc>
        <w:tc>
          <w:tcPr>
            <w:tcW w:w="1803" w:type="dxa"/>
            <w:tcBorders>
              <w:top w:val="single" w:color="auto" w:sz="4" w:space="0"/>
              <w:left w:val="single" w:color="auto" w:sz="4" w:space="0"/>
              <w:bottom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2812" w:type="dxa"/>
            <w:tcBorders>
              <w:top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100-500</w:t>
            </w:r>
          </w:p>
        </w:tc>
        <w:tc>
          <w:tcPr>
            <w:tcW w:w="1983" w:type="dxa"/>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1.1%</w:t>
            </w:r>
          </w:p>
        </w:tc>
        <w:tc>
          <w:tcPr>
            <w:tcW w:w="1802" w:type="dxa"/>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0.8%</w:t>
            </w:r>
          </w:p>
        </w:tc>
        <w:tc>
          <w:tcPr>
            <w:tcW w:w="1803" w:type="dxa"/>
            <w:tcBorders>
              <w:top w:val="single" w:color="auto" w:sz="4" w:space="0"/>
              <w:left w:val="single" w:color="auto" w:sz="4" w:space="0"/>
              <w:bottom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0.7%</w:t>
            </w:r>
          </w:p>
        </w:tc>
      </w:tr>
    </w:tbl>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计费方法：以成交金额为计算基数，按上述标准计算金额的50%收取成交服务费，不足7000元的按7000元收取。</w:t>
      </w:r>
    </w:p>
    <w:p>
      <w:pPr>
        <w:rPr>
          <w:rFonts w:ascii="黑体" w:hAnsi="黑体" w:eastAsia="黑体" w:cs="宋体"/>
          <w:color w:val="auto"/>
          <w:kern w:val="0"/>
          <w:sz w:val="28"/>
          <w:szCs w:val="28"/>
          <w:highlight w:val="none"/>
        </w:rPr>
      </w:pPr>
      <w:r>
        <w:rPr>
          <w:rFonts w:hint="eastAsia" w:ascii="黑体" w:hAnsi="黑体" w:eastAsia="黑体" w:cs="宋体"/>
          <w:color w:val="auto"/>
          <w:kern w:val="0"/>
          <w:sz w:val="28"/>
          <w:szCs w:val="28"/>
          <w:highlight w:val="none"/>
        </w:rPr>
        <w:t>九、凡对本次公告内容提出询问，请按以下方式联系。</w:t>
      </w:r>
    </w:p>
    <w:p>
      <w:pPr>
        <w:pStyle w:val="4"/>
        <w:spacing w:line="360" w:lineRule="auto"/>
        <w:ind w:firstLine="700" w:firstLineChars="250"/>
        <w:rPr>
          <w:rFonts w:ascii="仿宋" w:hAnsi="仿宋" w:eastAsia="仿宋" w:cs="宋体"/>
          <w:b w:val="0"/>
          <w:color w:val="auto"/>
          <w:sz w:val="28"/>
          <w:szCs w:val="28"/>
          <w:highlight w:val="none"/>
        </w:rPr>
      </w:pPr>
      <w:bookmarkStart w:id="3" w:name="_Toc28359100"/>
      <w:bookmarkStart w:id="4" w:name="_Toc35393810"/>
      <w:bookmarkStart w:id="5" w:name="_Toc28359023"/>
      <w:bookmarkStart w:id="6" w:name="_Toc35393641"/>
      <w:r>
        <w:rPr>
          <w:rFonts w:hint="eastAsia" w:ascii="仿宋" w:hAnsi="仿宋" w:eastAsia="仿宋" w:cs="宋体"/>
          <w:b w:val="0"/>
          <w:color w:val="auto"/>
          <w:sz w:val="28"/>
          <w:szCs w:val="28"/>
          <w:highlight w:val="none"/>
        </w:rPr>
        <w:t>1.采购人信息</w:t>
      </w:r>
      <w:bookmarkEnd w:id="3"/>
      <w:bookmarkEnd w:id="4"/>
      <w:bookmarkEnd w:id="5"/>
      <w:bookmarkEnd w:id="6"/>
    </w:p>
    <w:p>
      <w:pPr>
        <w:spacing w:line="360" w:lineRule="auto"/>
        <w:ind w:left="1129" w:leftChars="371" w:hanging="350" w:hangingChars="125"/>
        <w:jc w:val="left"/>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olor w:val="auto"/>
          <w:sz w:val="28"/>
          <w:szCs w:val="28"/>
          <w:highlight w:val="none"/>
          <w:u w:val="single"/>
        </w:rPr>
        <w:t>中国人民银行金融基础数据中心</w:t>
      </w:r>
    </w:p>
    <w:p>
      <w:pPr>
        <w:spacing w:line="360" w:lineRule="auto"/>
        <w:ind w:left="1129" w:leftChars="371" w:hanging="350" w:hangingChars="125"/>
        <w:jc w:val="left"/>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地    址：</w:t>
      </w:r>
      <w:r>
        <w:rPr>
          <w:rFonts w:hint="eastAsia" w:ascii="仿宋" w:hAnsi="仿宋" w:eastAsia="仿宋"/>
          <w:color w:val="auto"/>
          <w:sz w:val="28"/>
          <w:szCs w:val="28"/>
          <w:highlight w:val="none"/>
          <w:u w:val="single"/>
        </w:rPr>
        <w:t>北京市西城区平安里西大街28号中海国际中心21层</w:t>
      </w:r>
    </w:p>
    <w:p>
      <w:pPr>
        <w:spacing w:line="360" w:lineRule="auto"/>
        <w:ind w:left="1129" w:leftChars="371" w:hanging="350" w:hangingChars="125"/>
        <w:jc w:val="left"/>
        <w:rPr>
          <w:rFonts w:ascii="仿宋" w:hAnsi="仿宋" w:eastAsia="仿宋"/>
          <w:color w:val="auto"/>
          <w:sz w:val="28"/>
          <w:szCs w:val="28"/>
          <w:highlight w:val="none"/>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u w:val="single"/>
        </w:rPr>
        <w:t>010-88632872</w:t>
      </w:r>
    </w:p>
    <w:p>
      <w:pPr>
        <w:pStyle w:val="4"/>
        <w:spacing w:line="360" w:lineRule="auto"/>
        <w:ind w:firstLine="840" w:firstLineChars="300"/>
        <w:rPr>
          <w:rFonts w:ascii="仿宋" w:hAnsi="仿宋" w:eastAsia="仿宋" w:cs="宋体"/>
          <w:b w:val="0"/>
          <w:color w:val="auto"/>
          <w:sz w:val="28"/>
          <w:szCs w:val="28"/>
          <w:highlight w:val="none"/>
        </w:rPr>
      </w:pPr>
      <w:r>
        <w:rPr>
          <w:rFonts w:hint="eastAsia" w:ascii="仿宋" w:hAnsi="仿宋" w:eastAsia="仿宋" w:cs="宋体"/>
          <w:b w:val="0"/>
          <w:color w:val="auto"/>
          <w:sz w:val="28"/>
          <w:szCs w:val="28"/>
          <w:highlight w:val="none"/>
        </w:rPr>
        <w:t>2.采购代理机构信息</w:t>
      </w:r>
    </w:p>
    <w:p>
      <w:pPr>
        <w:spacing w:line="360" w:lineRule="auto"/>
        <w:ind w:firstLine="840" w:firstLineChars="300"/>
        <w:rPr>
          <w:rFonts w:hint="eastAsia" w:ascii="仿宋" w:hAnsi="仿宋" w:eastAsia="仿宋" w:cs="Times New Roman"/>
          <w:color w:val="auto"/>
          <w:sz w:val="28"/>
          <w:szCs w:val="28"/>
          <w:highlight w:val="none"/>
        </w:rPr>
      </w:pPr>
      <w:bookmarkStart w:id="7" w:name="_Toc35393643"/>
      <w:bookmarkStart w:id="8" w:name="_Toc28359102"/>
      <w:bookmarkStart w:id="9" w:name="_Toc28359025"/>
      <w:bookmarkStart w:id="10" w:name="_Toc35393812"/>
      <w:r>
        <w:rPr>
          <w:rFonts w:hint="eastAsia" w:ascii="仿宋" w:hAnsi="仿宋" w:eastAsia="仿宋" w:cs="Times New Roman"/>
          <w:color w:val="auto"/>
          <w:sz w:val="28"/>
          <w:szCs w:val="28"/>
          <w:highlight w:val="none"/>
        </w:rPr>
        <w:t>名    称：</w:t>
      </w:r>
      <w:r>
        <w:rPr>
          <w:rFonts w:hint="eastAsia" w:ascii="仿宋" w:hAnsi="仿宋" w:eastAsia="仿宋" w:cs="Times New Roman"/>
          <w:color w:val="auto"/>
          <w:sz w:val="28"/>
          <w:szCs w:val="28"/>
          <w:highlight w:val="none"/>
          <w:u w:val="single"/>
        </w:rPr>
        <w:t>中</w:t>
      </w:r>
      <w:r>
        <w:rPr>
          <w:rFonts w:hint="eastAsia" w:ascii="仿宋" w:hAnsi="仿宋" w:eastAsia="仿宋" w:cs="Times New Roman"/>
          <w:color w:val="auto"/>
          <w:sz w:val="28"/>
          <w:szCs w:val="28"/>
          <w:highlight w:val="none"/>
          <w:u w:val="single"/>
          <w:lang w:val="en-US" w:eastAsia="zh-CN"/>
        </w:rPr>
        <w:t>技</w:t>
      </w:r>
      <w:r>
        <w:rPr>
          <w:rFonts w:hint="eastAsia" w:ascii="仿宋" w:hAnsi="仿宋" w:eastAsia="仿宋" w:cs="Times New Roman"/>
          <w:color w:val="auto"/>
          <w:sz w:val="28"/>
          <w:szCs w:val="28"/>
          <w:highlight w:val="none"/>
          <w:u w:val="single"/>
        </w:rPr>
        <w:t>国际招标有限公司</w:t>
      </w:r>
    </w:p>
    <w:p>
      <w:pPr>
        <w:spacing w:line="360" w:lineRule="auto"/>
        <w:ind w:firstLine="840" w:firstLineChars="3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地　　址：</w:t>
      </w:r>
      <w:r>
        <w:rPr>
          <w:rFonts w:hint="eastAsia" w:ascii="仿宋" w:hAnsi="仿宋" w:eastAsia="仿宋" w:cs="Times New Roman"/>
          <w:color w:val="auto"/>
          <w:sz w:val="28"/>
          <w:szCs w:val="28"/>
          <w:highlight w:val="none"/>
          <w:u w:val="single"/>
        </w:rPr>
        <w:t>北京市丰台区西营街1号院通用时代中心C座</w:t>
      </w:r>
    </w:p>
    <w:p>
      <w:pPr>
        <w:spacing w:line="360" w:lineRule="auto"/>
        <w:ind w:firstLine="840" w:firstLineChars="3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联系方式：</w:t>
      </w:r>
      <w:r>
        <w:rPr>
          <w:rFonts w:hint="eastAsia" w:ascii="仿宋" w:hAnsi="仿宋" w:eastAsia="仿宋" w:cs="Times New Roman"/>
          <w:color w:val="auto"/>
          <w:sz w:val="28"/>
          <w:szCs w:val="28"/>
          <w:highlight w:val="none"/>
          <w:u w:val="single"/>
        </w:rPr>
        <w:t>010-81168493</w:t>
      </w:r>
    </w:p>
    <w:p>
      <w:pPr>
        <w:pStyle w:val="4"/>
        <w:spacing w:line="360" w:lineRule="auto"/>
        <w:ind w:firstLine="840" w:firstLineChars="300"/>
        <w:rPr>
          <w:rFonts w:ascii="仿宋" w:hAnsi="仿宋" w:eastAsia="仿宋" w:cs="宋体"/>
          <w:b w:val="0"/>
          <w:color w:val="auto"/>
          <w:sz w:val="28"/>
          <w:szCs w:val="28"/>
          <w:highlight w:val="none"/>
        </w:rPr>
      </w:pPr>
      <w:r>
        <w:rPr>
          <w:rFonts w:hint="eastAsia" w:ascii="仿宋" w:hAnsi="仿宋" w:eastAsia="仿宋" w:cs="宋体"/>
          <w:b w:val="0"/>
          <w:color w:val="auto"/>
          <w:sz w:val="28"/>
          <w:szCs w:val="28"/>
          <w:highlight w:val="none"/>
        </w:rPr>
        <w:t>3.项目</w:t>
      </w:r>
      <w:r>
        <w:rPr>
          <w:rFonts w:ascii="仿宋" w:hAnsi="仿宋" w:eastAsia="仿宋" w:cs="宋体"/>
          <w:b w:val="0"/>
          <w:color w:val="auto"/>
          <w:sz w:val="28"/>
          <w:szCs w:val="28"/>
          <w:highlight w:val="none"/>
        </w:rPr>
        <w:t>联系方式</w:t>
      </w:r>
      <w:bookmarkEnd w:id="7"/>
      <w:bookmarkEnd w:id="8"/>
      <w:bookmarkEnd w:id="9"/>
      <w:bookmarkEnd w:id="10"/>
    </w:p>
    <w:p>
      <w:pPr>
        <w:spacing w:line="360" w:lineRule="auto"/>
        <w:ind w:firstLine="840" w:firstLineChars="3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rPr>
        <w:t>项目联系人：</w:t>
      </w:r>
      <w:r>
        <w:rPr>
          <w:rFonts w:hint="eastAsia" w:ascii="仿宋" w:hAnsi="仿宋" w:eastAsia="仿宋" w:cs="Times New Roman"/>
          <w:color w:val="auto"/>
          <w:sz w:val="28"/>
          <w:szCs w:val="28"/>
          <w:highlight w:val="none"/>
          <w:u w:val="single"/>
        </w:rPr>
        <w:t>陈刚、</w:t>
      </w:r>
      <w:r>
        <w:rPr>
          <w:rFonts w:hint="eastAsia" w:ascii="仿宋" w:hAnsi="仿宋" w:eastAsia="仿宋" w:cs="Times New Roman"/>
          <w:color w:val="auto"/>
          <w:sz w:val="28"/>
          <w:szCs w:val="28"/>
          <w:highlight w:val="none"/>
          <w:u w:val="single"/>
          <w:lang w:val="en-US" w:eastAsia="zh-CN"/>
        </w:rPr>
        <w:t>王昕</w:t>
      </w:r>
    </w:p>
    <w:p>
      <w:pPr>
        <w:spacing w:line="360" w:lineRule="auto"/>
        <w:ind w:firstLine="840" w:firstLineChars="3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rPr>
        <w:t>电　　  话：</w:t>
      </w:r>
      <w:r>
        <w:rPr>
          <w:rFonts w:hint="eastAsia" w:ascii="仿宋" w:hAnsi="仿宋" w:eastAsia="仿宋" w:cs="Times New Roman"/>
          <w:color w:val="auto"/>
          <w:sz w:val="28"/>
          <w:szCs w:val="28"/>
          <w:highlight w:val="none"/>
          <w:u w:val="single"/>
        </w:rPr>
        <w:t>010-81168493、8289</w:t>
      </w:r>
    </w:p>
    <w:p>
      <w:pPr>
        <w:rPr>
          <w:rFonts w:ascii="黑体" w:hAnsi="黑体" w:eastAsia="黑体" w:cs="宋体"/>
          <w:color w:val="auto"/>
          <w:kern w:val="0"/>
          <w:sz w:val="28"/>
          <w:szCs w:val="28"/>
          <w:highlight w:val="none"/>
        </w:rPr>
      </w:pPr>
      <w:r>
        <w:rPr>
          <w:rFonts w:hint="eastAsia" w:ascii="黑体" w:hAnsi="黑体" w:eastAsia="黑体" w:cs="宋体"/>
          <w:color w:val="auto"/>
          <w:kern w:val="0"/>
          <w:sz w:val="28"/>
          <w:szCs w:val="28"/>
          <w:highlight w:val="none"/>
        </w:rPr>
        <w:t>十、附件</w:t>
      </w:r>
    </w:p>
    <w:p>
      <w:pPr>
        <w:ind w:firstLine="560" w:firstLineChars="20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1.采购文件</w:t>
      </w:r>
    </w:p>
    <w:p>
      <w:pPr>
        <w:ind w:firstLine="560" w:firstLineChars="200"/>
        <w:rPr>
          <w:rFonts w:hint="eastAsia" w:ascii="仿宋" w:hAnsi="仿宋" w:eastAsia="仿宋" w:cs="宋体"/>
          <w:color w:val="auto"/>
          <w:kern w:val="0"/>
          <w:sz w:val="28"/>
          <w:szCs w:val="28"/>
          <w:highlight w:val="none"/>
          <w:lang w:val="en-US" w:eastAsia="zh-CN"/>
        </w:rPr>
      </w:pPr>
      <w:r>
        <w:rPr>
          <w:rFonts w:hint="eastAsia" w:ascii="仿宋" w:hAnsi="仿宋" w:eastAsia="仿宋" w:cs="宋体"/>
          <w:color w:val="auto"/>
          <w:kern w:val="0"/>
          <w:sz w:val="28"/>
          <w:szCs w:val="28"/>
          <w:highlight w:val="none"/>
          <w:lang w:val="en-US" w:eastAsia="zh-CN"/>
        </w:rPr>
        <w:t>2</w:t>
      </w:r>
      <w:r>
        <w:rPr>
          <w:rFonts w:hint="eastAsia" w:ascii="仿宋" w:hAnsi="仿宋" w:eastAsia="仿宋" w:cs="宋体"/>
          <w:color w:val="auto"/>
          <w:kern w:val="0"/>
          <w:sz w:val="28"/>
          <w:szCs w:val="28"/>
          <w:highlight w:val="none"/>
        </w:rPr>
        <w:t>.</w:t>
      </w:r>
      <w:r>
        <w:rPr>
          <w:rFonts w:hint="eastAsia" w:ascii="仿宋" w:hAnsi="仿宋" w:eastAsia="仿宋" w:cs="宋体"/>
          <w:color w:val="auto"/>
          <w:kern w:val="0"/>
          <w:sz w:val="28"/>
          <w:szCs w:val="28"/>
          <w:highlight w:val="none"/>
          <w:lang w:val="en-US" w:eastAsia="zh-CN"/>
        </w:rPr>
        <w:t>成交结果公告</w:t>
      </w:r>
    </w:p>
    <w:p>
      <w:pPr>
        <w:pStyle w:val="10"/>
        <w:rPr>
          <w:rFonts w:hint="default"/>
          <w:color w:val="auto"/>
          <w:highlight w:val="none"/>
          <w:lang w:val="en-US" w:eastAsia="zh-CN"/>
        </w:rPr>
      </w:pPr>
    </w:p>
    <w:p>
      <w:pPr>
        <w:pStyle w:val="10"/>
        <w:rPr>
          <w:rFonts w:hint="default"/>
          <w:color w:val="auto"/>
          <w:highlight w:val="none"/>
          <w:lang w:val="en-US" w:eastAsia="zh-CN"/>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24BEB7"/>
    <w:multiLevelType w:val="singleLevel"/>
    <w:tmpl w:val="2624BEB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1MmUwZjg5MGM5NjhmYTk1OWNkYmFlMWY5NjNhZDgifQ=="/>
  </w:docVars>
  <w:rsids>
    <w:rsidRoot w:val="2E9E2CC7"/>
    <w:rsid w:val="007E75EC"/>
    <w:rsid w:val="01084B43"/>
    <w:rsid w:val="017B5A11"/>
    <w:rsid w:val="01A95E0E"/>
    <w:rsid w:val="021E1C2F"/>
    <w:rsid w:val="02CB1DEB"/>
    <w:rsid w:val="06C66CE9"/>
    <w:rsid w:val="06E93F54"/>
    <w:rsid w:val="0F8D3CE1"/>
    <w:rsid w:val="119E2473"/>
    <w:rsid w:val="12646885"/>
    <w:rsid w:val="129F0DCF"/>
    <w:rsid w:val="19DF2B3D"/>
    <w:rsid w:val="1EE07190"/>
    <w:rsid w:val="215F4227"/>
    <w:rsid w:val="24533A86"/>
    <w:rsid w:val="249D095C"/>
    <w:rsid w:val="27875991"/>
    <w:rsid w:val="280C22E7"/>
    <w:rsid w:val="281B0608"/>
    <w:rsid w:val="289471BF"/>
    <w:rsid w:val="28F94C79"/>
    <w:rsid w:val="2C321762"/>
    <w:rsid w:val="2DA05F8B"/>
    <w:rsid w:val="2E9E2CC7"/>
    <w:rsid w:val="312C5C60"/>
    <w:rsid w:val="32427754"/>
    <w:rsid w:val="33DC1ED1"/>
    <w:rsid w:val="34D83C7C"/>
    <w:rsid w:val="368C11C2"/>
    <w:rsid w:val="368F4016"/>
    <w:rsid w:val="36B31293"/>
    <w:rsid w:val="36D04175"/>
    <w:rsid w:val="3C330A0C"/>
    <w:rsid w:val="3CCA4CA5"/>
    <w:rsid w:val="3EBE1CEA"/>
    <w:rsid w:val="3F4E5C4B"/>
    <w:rsid w:val="422D49AD"/>
    <w:rsid w:val="42E33EEC"/>
    <w:rsid w:val="46AA7D34"/>
    <w:rsid w:val="4A5E4C5F"/>
    <w:rsid w:val="4AF955DF"/>
    <w:rsid w:val="4DB0351E"/>
    <w:rsid w:val="501612ED"/>
    <w:rsid w:val="511715A4"/>
    <w:rsid w:val="517479DC"/>
    <w:rsid w:val="517D70E2"/>
    <w:rsid w:val="52BD5E34"/>
    <w:rsid w:val="530D7EA5"/>
    <w:rsid w:val="55FE2406"/>
    <w:rsid w:val="571C2770"/>
    <w:rsid w:val="59471229"/>
    <w:rsid w:val="5FDE109F"/>
    <w:rsid w:val="66D460EA"/>
    <w:rsid w:val="683701EA"/>
    <w:rsid w:val="68FA0D63"/>
    <w:rsid w:val="6B826AE0"/>
    <w:rsid w:val="6DE85FD7"/>
    <w:rsid w:val="6E5D4C17"/>
    <w:rsid w:val="6FA523D2"/>
    <w:rsid w:val="74C93DBF"/>
    <w:rsid w:val="79C21DD2"/>
    <w:rsid w:val="7BDA6635"/>
    <w:rsid w:val="7CE93EDC"/>
    <w:rsid w:val="7DCD6F72"/>
    <w:rsid w:val="7E4F49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99"/>
    <w:pPr>
      <w:spacing w:line="480" w:lineRule="auto"/>
      <w:ind w:left="420" w:leftChars="200"/>
    </w:pPr>
  </w:style>
  <w:style w:type="paragraph" w:styleId="5">
    <w:name w:val="Body Text"/>
    <w:basedOn w:val="1"/>
    <w:next w:val="1"/>
    <w:qFormat/>
    <w:uiPriority w:val="99"/>
  </w:style>
  <w:style w:type="paragraph" w:styleId="6">
    <w:name w:val="Plain Text"/>
    <w:basedOn w:val="1"/>
    <w:qFormat/>
    <w:uiPriority w:val="0"/>
    <w:rPr>
      <w:rFonts w:ascii="宋体" w:hAnsi="Courier New" w:eastAsiaTheme="minorEastAsia" w:cstheme="minorBidi"/>
      <w:szCs w:val="22"/>
    </w:rPr>
  </w:style>
  <w:style w:type="table" w:styleId="8">
    <w:name w:val="Table Grid"/>
    <w:basedOn w:val="7"/>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样式 10 磅13"/>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683</Words>
  <Characters>820</Characters>
  <Lines>0</Lines>
  <Paragraphs>0</Paragraphs>
  <TotalTime>4</TotalTime>
  <ScaleCrop>false</ScaleCrop>
  <LinksUpToDate>false</LinksUpToDate>
  <CharactersWithSpaces>855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2022-03-21T01:18:00Z</dcterms:created>
  <dc:creator>昕</dc:creator>
  <cp:lastModifiedBy>计算机</cp:lastModifiedBy>
  <dcterms:modified xsi:type="dcterms:W3CDTF">2025-11-04T09:48:28Z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62966DC1C1F74FCAA854B213E1C8D322</vt:lpwstr>
  </property>
  <property fmtid="{D5CDD505-2E9C-101B-9397-08002B2CF9AE}" pid="4" name="KSOTemplateDocerSaveRecord">
    <vt:lpwstr>eyJoZGlkIjoiODk0OTRhMzQwYTliNzVmNjk5OGY4YzAxODI1YjNkNTYiLCJ1c2VySWQiOiIyMjkxNDI4MjQifQ==</vt:lpwstr>
  </property>
</Properties>
</file>