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1280" w:firstLineChars="400"/>
        <w:jc w:val="left"/>
        <w:rPr>
          <w:rFonts w:ascii="彩虹黑体" w:hAnsi="彩虹黑体" w:eastAsia="彩虹黑体" w:cs="彩虹黑体"/>
          <w:snapToGrid w:val="0"/>
          <w:kern w:val="0"/>
          <w:sz w:val="32"/>
          <w:szCs w:val="32"/>
          <w:highlight w:val="yellow"/>
        </w:rPr>
      </w:pPr>
      <w:bookmarkStart w:id="0" w:name="_GoBack"/>
      <w:bookmarkEnd w:id="0"/>
      <w:r>
        <w:rPr>
          <w:rFonts w:hint="eastAsia" w:ascii="彩虹黑体" w:hAnsi="彩虹黑体" w:eastAsia="彩虹黑体" w:cs="彩虹黑体"/>
          <w:snapToGrid w:val="0"/>
          <w:kern w:val="0"/>
          <w:sz w:val="32"/>
          <w:szCs w:val="32"/>
          <w:highlight w:val="yellow"/>
        </w:rPr>
        <w:t>新乡分行长垣支行自助设备巡查服务采购需求</w:t>
      </w:r>
    </w:p>
    <w:p>
      <w:pPr>
        <w:adjustRightInd w:val="0"/>
        <w:snapToGrid w:val="0"/>
        <w:spacing w:line="560" w:lineRule="exact"/>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exact"/>
        <w:ind w:firstLine="320" w:firstLineChars="100"/>
        <w:rPr>
          <w:rFonts w:ascii="彩虹粗仿宋" w:eastAsia="彩虹粗仿宋"/>
          <w:sz w:val="32"/>
        </w:rPr>
      </w:pPr>
      <w:r>
        <w:rPr>
          <w:rFonts w:hint="eastAsia" w:ascii="彩虹粗仿宋" w:eastAsia="彩虹粗仿宋"/>
          <w:sz w:val="32"/>
        </w:rPr>
        <w:t>（二）</w:t>
      </w:r>
      <w:r>
        <w:rPr>
          <w:rStyle w:val="6"/>
          <w:rFonts w:hint="eastAsia" w:ascii="彩虹粗仿宋" w:hAnsi="微软雅黑" w:eastAsia="彩虹粗仿宋"/>
          <w:sz w:val="32"/>
          <w:szCs w:val="32"/>
        </w:rPr>
        <w:t>正常经营，财务状况良好，提供近三年（</w:t>
      </w:r>
      <w:r>
        <w:rPr>
          <w:rStyle w:val="6"/>
          <w:rFonts w:hint="eastAsia" w:ascii="彩虹粗仿宋" w:hAnsi="微软雅黑" w:eastAsia="彩虹粗仿宋"/>
          <w:sz w:val="32"/>
          <w:szCs w:val="32"/>
          <w:lang w:eastAsia="zh-CN"/>
        </w:rPr>
        <w:t>2020年-2022年</w:t>
      </w:r>
      <w:r>
        <w:rPr>
          <w:rStyle w:val="6"/>
          <w:rFonts w:ascii="彩虹粗仿宋" w:hAnsi="微软雅黑" w:eastAsia="彩虹粗仿宋"/>
          <w:sz w:val="32"/>
          <w:szCs w:val="32"/>
        </w:rPr>
        <w:t>）的经审计的财务报告或财务报表（新成立企业从成立日计算）</w:t>
      </w:r>
      <w:r>
        <w:rPr>
          <w:rFonts w:hint="eastAsia" w:ascii="彩虹粗仿宋" w:eastAsia="彩虹粗仿宋"/>
          <w:sz w:val="32"/>
        </w:rPr>
        <w:t>；</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三）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（四）本项目不允许联合体投标，不允许分包或转包；</w:t>
      </w:r>
    </w:p>
    <w:p>
      <w:pPr>
        <w:pStyle w:val="2"/>
        <w:spacing w:line="560" w:lineRule="exact"/>
        <w:ind w:firstLine="320" w:firstLineChars="100"/>
        <w:rPr>
          <w:rFonts w:ascii="彩虹粗仿宋" w:eastAsia="彩虹粗仿宋" w:hAnsiTheme="minorHAnsi" w:cstheme="minorBidi"/>
          <w:sz w:val="32"/>
          <w:szCs w:val="22"/>
        </w:rPr>
      </w:pPr>
      <w:r>
        <w:rPr>
          <w:rFonts w:hint="eastAsia" w:ascii="彩虹粗仿宋" w:eastAsia="彩虹粗仿宋" w:hAnsiTheme="minorHAnsi" w:cstheme="minorBidi"/>
          <w:sz w:val="32"/>
          <w:szCs w:val="22"/>
        </w:rPr>
        <w:t>（五）外商独资、中外合资、中外合作的公司不得参与；</w:t>
      </w:r>
    </w:p>
    <w:p>
      <w:pPr>
        <w:spacing w:line="560" w:lineRule="exact"/>
        <w:ind w:firstLine="320" w:firstLineChars="100"/>
        <w:rPr>
          <w:rFonts w:ascii="彩虹粗仿宋" w:eastAsia="彩虹粗仿宋"/>
          <w:sz w:val="32"/>
        </w:rPr>
      </w:pPr>
      <w:r>
        <w:rPr>
          <w:rFonts w:hint="eastAsia" w:ascii="彩虹粗仿宋" w:eastAsia="彩虹粗仿宋"/>
          <w:sz w:val="32"/>
        </w:rPr>
        <w:t>（六）</w:t>
      </w:r>
      <w:r>
        <w:rPr>
          <w:rFonts w:hint="eastAsia" w:ascii="彩虹粗仿宋" w:eastAsia="彩虹粗仿宋"/>
          <w:sz w:val="32"/>
          <w:szCs w:val="32"/>
        </w:rPr>
        <w:t>2021年1月1日以来具有银行自助设备巡查同类项目经验</w:t>
      </w:r>
      <w:r>
        <w:rPr>
          <w:rFonts w:hint="eastAsia" w:ascii="彩虹粗仿宋" w:eastAsia="彩虹粗仿宋"/>
          <w:sz w:val="32"/>
        </w:rPr>
        <w:t>。</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C2108</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自助设备巡查服务</w:t>
            </w:r>
          </w:p>
        </w:tc>
      </w:tr>
    </w:tbl>
    <w:p>
      <w:pPr>
        <w:spacing w:line="560" w:lineRule="exact"/>
        <w:ind w:firstLine="320" w:firstLineChars="100"/>
        <w:contextualSpacing/>
        <w:jc w:val="left"/>
        <w:outlineLvl w:val="1"/>
        <w:rPr>
          <w:rFonts w:ascii="彩虹楷体" w:hAnsi="Courier New" w:eastAsia="彩虹楷体" w:cs="Courier New"/>
          <w:sz w:val="32"/>
          <w:szCs w:val="32"/>
        </w:rPr>
      </w:pPr>
      <w:r>
        <w:rPr>
          <w:rFonts w:hint="eastAsia" w:ascii="彩虹楷体" w:hAnsi="Courier New" w:eastAsia="彩虹楷体" w:cs="Courier New"/>
          <w:sz w:val="32"/>
          <w:szCs w:val="32"/>
        </w:rPr>
        <w:t>（二）服务具体内容</w:t>
      </w:r>
    </w:p>
    <w:p>
      <w:pPr>
        <w:autoSpaceDE w:val="0"/>
        <w:autoSpaceDN w:val="0"/>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新乡长垣分行市区自助设备巡查服务</w:t>
      </w:r>
    </w:p>
    <w:p>
      <w:pPr>
        <w:spacing w:line="560" w:lineRule="exact"/>
        <w:ind w:firstLine="480" w:firstLineChars="150"/>
        <w:rPr>
          <w:rFonts w:ascii="彩虹黑体" w:hAnsi="宋体" w:eastAsia="彩虹黑体"/>
          <w:snapToGrid w:val="0"/>
          <w:sz w:val="32"/>
          <w:szCs w:val="32"/>
        </w:rPr>
      </w:pPr>
      <w:r>
        <w:rPr>
          <w:rFonts w:hint="eastAsia" w:ascii="彩虹粗仿宋" w:hAnsi="黑体" w:eastAsia="彩虹粗仿宋"/>
          <w:sz w:val="32"/>
          <w:szCs w:val="32"/>
        </w:rPr>
        <w:t>自助设备巡查服务内容是对新乡长垣市4个营业网点自助，</w:t>
      </w:r>
      <w:r>
        <w:rPr>
          <w:rFonts w:hint="eastAsia" w:ascii="彩虹粗仿宋" w:hAnsi="黑体" w:eastAsia="彩虹粗仿宋" w:cs="Times New Roman"/>
          <w:color w:val="000000" w:themeColor="text1"/>
          <w:sz w:val="32"/>
          <w:szCs w:val="32"/>
          <w14:textFill>
            <w14:solidFill>
              <w14:schemeClr w14:val="tx1"/>
            </w14:solidFill>
          </w14:textFill>
        </w:rPr>
        <w:t>每天从晚8点至次日</w:t>
      </w:r>
      <w:r>
        <w:rPr>
          <w:rFonts w:ascii="彩虹粗仿宋" w:hAnsi="黑体" w:eastAsia="彩虹粗仿宋" w:cs="Times New Roman"/>
          <w:color w:val="000000" w:themeColor="text1"/>
          <w:sz w:val="32"/>
          <w:szCs w:val="32"/>
          <w14:textFill>
            <w14:solidFill>
              <w14:schemeClr w14:val="tx1"/>
            </w14:solidFill>
          </w14:textFill>
        </w:rPr>
        <w:t>6</w:t>
      </w:r>
      <w:r>
        <w:rPr>
          <w:rFonts w:hint="eastAsia" w:ascii="彩虹粗仿宋" w:hAnsi="黑体" w:eastAsia="彩虹粗仿宋" w:cs="Times New Roman"/>
          <w:color w:val="000000" w:themeColor="text1"/>
          <w:sz w:val="32"/>
          <w:szCs w:val="32"/>
          <w14:textFill>
            <w14:solidFill>
              <w14:schemeClr w14:val="tx1"/>
            </w14:solidFill>
          </w14:textFill>
        </w:rPr>
        <w:t>点，保安公司为我行的附行式和离行式自助（设备）银行进行安全巡查，共5处。</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w:t>
      </w:r>
    </w:p>
    <w:p>
      <w:pPr>
        <w:spacing w:line="560" w:lineRule="exact"/>
        <w:ind w:firstLine="800" w:firstLineChars="250"/>
        <w:rPr>
          <w:rFonts w:ascii="彩虹粗仿宋" w:hAnsi="黑体" w:eastAsia="彩虹粗仿宋"/>
          <w:color w:val="000000" w:themeColor="text1"/>
          <w:sz w:val="32"/>
          <w:szCs w:val="32"/>
          <w14:textFill>
            <w14:solidFill>
              <w14:schemeClr w14:val="tx1"/>
            </w14:solidFill>
          </w14:textFill>
        </w:rPr>
      </w:pPr>
      <w:r>
        <w:rPr>
          <w:rFonts w:hint="eastAsia" w:ascii="彩虹粗仿宋" w:hAnsi="微软雅黑" w:eastAsia="彩虹粗仿宋" w:cs="宋体"/>
          <w:kern w:val="0"/>
          <w:sz w:val="32"/>
          <w:szCs w:val="32"/>
        </w:rPr>
        <w:t>（三）</w:t>
      </w:r>
      <w:r>
        <w:rPr>
          <w:rFonts w:hint="eastAsia" w:ascii="彩虹粗仿宋" w:hAnsi="黑体" w:eastAsia="彩虹粗仿宋"/>
          <w:color w:val="000000" w:themeColor="text1"/>
          <w:sz w:val="32"/>
          <w:szCs w:val="32"/>
          <w14:textFill>
            <w14:solidFill>
              <w14:schemeClr w14:val="tx1"/>
            </w14:solidFill>
          </w14:textFill>
        </w:rPr>
        <w:t>自助设备巡查：对新乡长垣市区网点和自助设备进行安全巡查应急处置服务，需在接到报警通知后10分钟到达现场。</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tabs>
          <w:tab w:val="left" w:pos="720"/>
        </w:tabs>
        <w:adjustRightInd w:val="0"/>
        <w:snapToGrid w:val="0"/>
        <w:spacing w:line="560" w:lineRule="atLeast"/>
        <w:ind w:left="-178" w:leftChars="-85" w:firstLine="643" w:firstLineChars="200"/>
        <w:outlineLvl w:val="1"/>
        <w:rPr>
          <w:rFonts w:ascii="彩虹楷体" w:hAnsi="Times New Roman" w:eastAsia="彩虹楷体" w:cs="Times New Roman"/>
          <w:b/>
          <w:bCs/>
          <w:sz w:val="32"/>
          <w:szCs w:val="32"/>
        </w:rPr>
      </w:pPr>
      <w:r>
        <w:rPr>
          <w:rFonts w:hint="eastAsia" w:ascii="彩虹楷体" w:hAnsi="Times New Roman" w:eastAsia="彩虹楷体" w:cs="Times New Roman"/>
          <w:b/>
          <w:bCs/>
          <w:sz w:val="32"/>
          <w:szCs w:val="32"/>
        </w:rPr>
        <w:t>（一）服务质量标准</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1.按时保质保量完成外包项目，配合我行完成阶段性和临时性任务，配合完成其他与外包事项有关的合理性工作，如各类安全检查、突发事件处置等。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（1）供应商指定专人负责驻行人员的管理，定期与我行的联系人进行沟通，了解服务人员在我行的工作表现、思想动态、服务等情况。</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（2）服务人员如在为我行提供服务过程中发生一切人身意外伤害或造成我行及客户的人身、财产损失，均由供应商负全责。</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（3）供应商制定符合我行要求的规章制度、工作纪律、要求，以及相关客户服务制度，并要求服务人员严格执行，避免因不规范服务或过度服务引发风险。</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（1）服务人员需恪守职业道德，自觉维护我行利益。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（2）服务人员在工作中必须维护我行形象，规范服务用语、尊重客户、不得与客户发生争吵或冲突；造成客户投诉，应第一时间向服务机构负责人汇报情况，不得推诿隐瞒，不得引起客户投诉的升级。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（4）供应商制定自身的员工礼仪规范，应要求外包服务人员严格执行。</w:t>
      </w:r>
    </w:p>
    <w:p>
      <w:pPr>
        <w:tabs>
          <w:tab w:val="left" w:pos="720"/>
        </w:tabs>
        <w:adjustRightInd w:val="0"/>
        <w:snapToGrid w:val="0"/>
        <w:spacing w:line="600" w:lineRule="exact"/>
        <w:ind w:firstLine="627" w:firstLineChars="196"/>
        <w:rPr>
          <w:rFonts w:ascii="彩虹粗仿宋" w:hAnsi="华文楷体" w:eastAsia="彩虹粗仿宋"/>
          <w:color w:val="000000"/>
          <w:kern w:val="0"/>
          <w:sz w:val="32"/>
          <w:szCs w:val="32"/>
        </w:rPr>
      </w:pPr>
      <w:r>
        <w:rPr>
          <w:rFonts w:hint="eastAsia" w:ascii="彩虹粗仿宋" w:hAnsi="华文楷体" w:eastAsia="彩虹粗仿宋"/>
          <w:color w:val="000000"/>
          <w:kern w:val="0"/>
          <w:sz w:val="32"/>
          <w:szCs w:val="32"/>
        </w:rPr>
        <w:t>4、员工培训计划</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供应商按照我行的工作要求，定期对服务人员进行业务培训和有针对性的专项培训，并负责对培训效果进行考评。</w:t>
      </w:r>
    </w:p>
    <w:p>
      <w:pPr>
        <w:adjustRightInd w:val="0"/>
        <w:snapToGrid w:val="0"/>
        <w:spacing w:line="600" w:lineRule="exact"/>
        <w:ind w:firstLine="643" w:firstLineChars="200"/>
        <w:outlineLvl w:val="1"/>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（三）保密要求</w:t>
      </w:r>
    </w:p>
    <w:p>
      <w:pPr>
        <w:tabs>
          <w:tab w:val="left" w:pos="720"/>
        </w:tabs>
        <w:spacing w:line="600" w:lineRule="exact"/>
        <w:ind w:left="-178" w:leftChars="-85" w:firstLine="640" w:firstLineChars="200"/>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1、供应商及服务人员只能掌握了解工作需要的相关信息，未经委托方允许不得私自保存委托方信息资料，将委托方信息资料以任何方式透露给任何机构或个人。</w:t>
      </w:r>
    </w:p>
    <w:p>
      <w:pPr>
        <w:tabs>
          <w:tab w:val="left" w:pos="720"/>
        </w:tabs>
        <w:spacing w:line="600" w:lineRule="exact"/>
        <w:ind w:left="-178" w:leftChars="-85" w:firstLine="640" w:firstLineChars="200"/>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2、供应商及服务人员不得利用工作之便，窃取、买卖或者非法提供委托方信息等资料进行各种非法活动。</w:t>
      </w:r>
    </w:p>
    <w:p>
      <w:pPr>
        <w:tabs>
          <w:tab w:val="left" w:pos="1440"/>
        </w:tabs>
        <w:adjustRightInd w:val="0"/>
        <w:snapToGrid w:val="0"/>
        <w:spacing w:line="600" w:lineRule="exact"/>
        <w:ind w:firstLine="480" w:firstLineChars="150"/>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3、供应商须告知服务人员相关的保密义务，并签署保密协议，保证招标方相关信息的安全。发现由于供应商和服务人员的原因导致委托方相关信息泄漏的，我行将立即终止合同取消其合作资格，并追究法律及损失赔偿等相关责任。</w:t>
      </w:r>
    </w:p>
    <w:p>
      <w:pPr>
        <w:tabs>
          <w:tab w:val="left" w:pos="720"/>
        </w:tabs>
        <w:spacing w:line="600" w:lineRule="exact"/>
        <w:ind w:left="-178" w:leftChars="-85" w:firstLine="640" w:firstLineChars="200"/>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4、供应商应严守委托方的商业秘密、技术秘密和其他商业及业务信息，不得泄露。无论协议约定是否有效、变更或终止，本保密条款持续有效。</w:t>
      </w:r>
    </w:p>
    <w:p>
      <w:pPr>
        <w:spacing w:line="600" w:lineRule="exact"/>
        <w:ind w:firstLine="643" w:firstLineChars="200"/>
        <w:jc w:val="left"/>
        <w:outlineLvl w:val="1"/>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宋体" w:eastAsia="彩虹粗仿宋" w:cs="Times New Roman"/>
          <w:kern w:val="0"/>
          <w:sz w:val="32"/>
          <w:szCs w:val="32"/>
        </w:rPr>
        <w:t>自助设备巡查验收标准：</w:t>
      </w:r>
      <w:r>
        <w:rPr>
          <w:rFonts w:hint="eastAsia" w:ascii="彩虹粗仿宋" w:hAnsi="黑体" w:eastAsia="彩虹粗仿宋" w:cs="Times New Roman"/>
          <w:sz w:val="32"/>
          <w:szCs w:val="32"/>
        </w:rPr>
        <w:t>按照要求开展自助设备巡查频率、质量和响应时间进行综合考评，每月由我行按照“合格”、“基本合格”、“不合格”进行测评考核，</w:t>
      </w:r>
      <w:r>
        <w:rPr>
          <w:rFonts w:hint="eastAsia" w:ascii="彩虹粗仿宋" w:hAnsi="宋体" w:eastAsia="彩虹粗仿宋" w:cs="Times New Roman"/>
          <w:kern w:val="0"/>
          <w:sz w:val="32"/>
          <w:szCs w:val="32"/>
        </w:rPr>
        <w:t>评分在90分以上为合格、80分以上90分（不含）以下为基本合格、80分（不含）以下为不合格，按合格、基本合格、不合格三个档次支付服务费用</w:t>
      </w:r>
      <w:r>
        <w:rPr>
          <w:rFonts w:hint="eastAsia" w:ascii="彩虹粗仿宋" w:hAnsi="黑体" w:eastAsia="彩虹粗仿宋" w:cs="Times New Roman"/>
          <w:sz w:val="32"/>
          <w:szCs w:val="32"/>
        </w:rPr>
        <w:t>。</w:t>
      </w:r>
    </w:p>
    <w:p>
      <w:pPr>
        <w:spacing w:line="560" w:lineRule="exact"/>
        <w:ind w:firstLine="636"/>
        <w:outlineLvl w:val="1"/>
        <w:rPr>
          <w:rFonts w:ascii="彩虹楷体" w:hAnsi="宋体" w:eastAsia="彩虹楷体"/>
          <w:b/>
          <w:sz w:val="32"/>
          <w:szCs w:val="32"/>
        </w:rPr>
      </w:pPr>
      <w:r>
        <w:rPr>
          <w:rFonts w:hint="eastAsia" w:ascii="彩虹楷体" w:hAnsi="Times New Roman" w:eastAsia="彩虹楷体" w:cs="Times New Roman"/>
          <w:b/>
          <w:sz w:val="32"/>
          <w:szCs w:val="32"/>
        </w:rPr>
        <w:t>（五）</w:t>
      </w:r>
      <w:r>
        <w:rPr>
          <w:rFonts w:hint="eastAsia" w:ascii="彩虹楷体" w:hAnsi="宋体" w:eastAsia="彩虹楷体"/>
          <w:b/>
          <w:sz w:val="32"/>
          <w:szCs w:val="32"/>
        </w:rPr>
        <w:t>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新乡长垣分行市区自助设备巡查服务：</w:t>
      </w:r>
      <w:r>
        <w:rPr>
          <w:rFonts w:hint="eastAsia" w:ascii="彩虹粗仿宋" w:hAnsi="黑体" w:eastAsia="彩虹粗仿宋"/>
          <w:sz w:val="32"/>
          <w:szCs w:val="32"/>
        </w:rPr>
        <w:t>新乡长垣市4个营业网点自助，</w:t>
      </w:r>
      <w:r>
        <w:rPr>
          <w:rFonts w:hint="eastAsia" w:ascii="彩虹粗仿宋" w:hAnsi="黑体" w:eastAsia="彩虹粗仿宋" w:cs="Times New Roman"/>
          <w:color w:val="000000" w:themeColor="text1"/>
          <w:sz w:val="32"/>
          <w:szCs w:val="32"/>
          <w14:textFill>
            <w14:solidFill>
              <w14:schemeClr w14:val="tx1"/>
            </w14:solidFill>
          </w14:textFill>
        </w:rPr>
        <w:t>每天从晚8点至次日</w:t>
      </w:r>
      <w:r>
        <w:rPr>
          <w:rFonts w:ascii="彩虹粗仿宋" w:hAnsi="黑体" w:eastAsia="彩虹粗仿宋" w:cs="Times New Roman"/>
          <w:color w:val="000000" w:themeColor="text1"/>
          <w:sz w:val="32"/>
          <w:szCs w:val="32"/>
          <w14:textFill>
            <w14:solidFill>
              <w14:schemeClr w14:val="tx1"/>
            </w14:solidFill>
          </w14:textFill>
        </w:rPr>
        <w:t>6</w:t>
      </w:r>
      <w:r>
        <w:rPr>
          <w:rFonts w:hint="eastAsia" w:ascii="彩虹粗仿宋" w:hAnsi="黑体" w:eastAsia="彩虹粗仿宋" w:cs="Times New Roman"/>
          <w:color w:val="000000" w:themeColor="text1"/>
          <w:sz w:val="32"/>
          <w:szCs w:val="32"/>
          <w14:textFill>
            <w14:solidFill>
              <w14:schemeClr w14:val="tx1"/>
            </w14:solidFill>
          </w14:textFill>
        </w:rPr>
        <w:t>点，保安公司为我行的附行式和离行式自助（设备）银行进行安全巡查，共5处。</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新乡长垣分行市区自助设备巡查服务：按月结算支付服务费，据实支付。</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按月度结算支付值守服务费，在自助设备巡查和消防值守服务任务完成后，将上个月度服务费用转入供应商指定的银行账户。根据服务情况和考核结果，据实结算。</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新乡长垣分行市区自助设备巡查服务：按“元/点/月”报含税单价和年度含税总价。超过含税预</w:t>
      </w:r>
      <w:r>
        <w:rPr>
          <w:rFonts w:hint="eastAsia" w:ascii="彩虹粗仿宋" w:hAnsi="宋体" w:eastAsia="彩虹粗仿宋" w:cs="Times New Roman"/>
          <w:snapToGrid w:val="0"/>
          <w:color w:val="auto"/>
          <w:kern w:val="0"/>
          <w:sz w:val="32"/>
          <w:szCs w:val="32"/>
        </w:rPr>
        <w:t>算单价1399元/点/月的报价为无效报价。本项目年预算为839</w:t>
      </w:r>
      <w:r>
        <w:rPr>
          <w:rFonts w:hint="eastAsia" w:ascii="彩虹粗仿宋" w:hAnsi="宋体" w:eastAsia="彩虹粗仿宋" w:cs="Times New Roman"/>
          <w:snapToGrid w:val="0"/>
          <w:kern w:val="0"/>
          <w:sz w:val="32"/>
          <w:szCs w:val="32"/>
        </w:rPr>
        <w:t>40元。</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560" w:lineRule="exact"/>
        <w:ind w:firstLine="480" w:firstLineChars="150"/>
        <w:rPr>
          <w:rFonts w:ascii="彩虹粗仿宋" w:hAnsi="黑体" w:eastAsia="彩虹粗仿宋" w:cs="Times New Roman"/>
          <w:snapToGrid w:val="0"/>
          <w:sz w:val="32"/>
          <w:szCs w:val="32"/>
          <w:shd w:val="clear" w:color="auto" w:fill="FFFFFF"/>
        </w:rPr>
      </w:pPr>
      <w:r>
        <w:rPr>
          <w:rFonts w:hint="eastAsia" w:ascii="彩虹粗仿宋" w:hAnsi="黑体" w:eastAsia="彩虹粗仿宋" w:cs="Times New Roman"/>
          <w:snapToGrid w:val="0"/>
          <w:sz w:val="32"/>
          <w:szCs w:val="32"/>
          <w:shd w:val="clear" w:color="auto" w:fill="FFFFFF"/>
        </w:rPr>
        <w:t>如遇巡查数量增减，按巡查数量对应价格进行增减。</w:t>
      </w:r>
    </w:p>
    <w:p/>
    <w:p/>
    <w:p>
      <w:pPr>
        <w:jc w:val="center"/>
        <w:rPr>
          <w:rFonts w:ascii="彩虹粗仿宋" w:hAnsi="Times New Roman" w:eastAsia="彩虹粗仿宋" w:cs="Times New Roman"/>
          <w:kern w:val="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CE4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table" w:styleId="4">
    <w:name w:val="Table Grid"/>
    <w:basedOn w:val="3"/>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im-content1"/>
    <w:basedOn w:val="5"/>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2024-05-23T00:47:36Z</dcterms:created>
  <dc:creator>haccb</dc:creator>
  <cp:lastModifiedBy>haccb</cp:lastModifiedBy>
  <dcterms:modified xsi:type="dcterms:W3CDTF">2024-05-23T00:49:05Z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B22E180547514071A6CDFADA330D41E9_12</vt:lpwstr>
  </property>
</Properties>
</file>