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F726E">
      <w:pPr>
        <w:adjustRightInd w:val="0"/>
        <w:snapToGrid w:val="0"/>
        <w:spacing w:line="360" w:lineRule="auto"/>
        <w:jc w:val="center"/>
        <w:rPr>
          <w:rFonts w:ascii="彩虹小标宋" w:hAnsi="宋体" w:eastAsia="彩虹小标宋" w:cs="黑体"/>
          <w:snapToGrid w:val="0"/>
          <w:kern w:val="0"/>
          <w:sz w:val="36"/>
          <w:szCs w:val="36"/>
        </w:rPr>
      </w:pPr>
      <w:r>
        <w:rPr>
          <w:rFonts w:hint="eastAsia" w:ascii="彩虹小标宋" w:hAnsi="宋体" w:eastAsia="彩虹小标宋" w:cs="黑体"/>
          <w:snapToGrid w:val="0"/>
          <w:kern w:val="0"/>
          <w:sz w:val="36"/>
          <w:szCs w:val="36"/>
        </w:rPr>
        <w:t>软硬件集成服务采购需求主要内容</w:t>
      </w:r>
    </w:p>
    <w:p w14:paraId="1EEEBA51">
      <w:pPr>
        <w:adjustRightInd w:val="0"/>
        <w:snapToGrid w:val="0"/>
        <w:spacing w:line="360" w:lineRule="auto"/>
        <w:rPr>
          <w:rFonts w:ascii="彩虹粗仿宋" w:hAnsi="宋体" w:eastAsia="彩虹粗仿宋" w:cs="黑体"/>
          <w:sz w:val="32"/>
          <w:szCs w:val="32"/>
        </w:rPr>
      </w:pPr>
    </w:p>
    <w:p w14:paraId="1B3907DE">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一、软硬件集成内容、要求及目标说明，包括集成后的系统功能、性能要求等。</w:t>
      </w:r>
    </w:p>
    <w:p w14:paraId="232EA466">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 xml:space="preserve">医银直联系统通过医保内网直连业务系统，同时连接各银行系统和财务软件系统、业务财务一体化接口系统，通过开展医保待遇直发、银行账户信息查询、下载、财务银行对账等工作，打通从基金收支预算到基金网银划拨、待遇发放到账确认、基金财务自动记账的管理节点。              </w:t>
      </w:r>
    </w:p>
    <w:p w14:paraId="41779BE0">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功能模块包含银行账户管理、交易管理和对账管理，具体如下：</w:t>
      </w:r>
    </w:p>
    <w:p w14:paraId="716CEEB7">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 xml:space="preserve"> 基金账户管理：实现对各支出户数据信息进行统一管理。通过银行账户查询可实时与银行联网查询到各级账户的余额情况。 </w:t>
      </w:r>
    </w:p>
    <w:p w14:paraId="35587CAE">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基金交易管理：所有待遇发放支出数据通过交易管理平台，经过多级审核流程审核后形成支付指令，直接与银行联网，银行与业务系统核对完成后进行基金的实际支付，同时银行支付成功后，交易数据回写到系统中，实现了财务信息与银行账户信息的一致性和一体化，强化了基金管理、加强了基金监督和风险控制。</w:t>
      </w:r>
    </w:p>
    <w:p w14:paraId="153C7ADC">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对账管理：实现医保财务数据、银行支付数据进行对账。</w:t>
      </w:r>
    </w:p>
    <w:tbl>
      <w:tblPr>
        <w:tblStyle w:val="2"/>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6752"/>
      </w:tblGrid>
      <w:tr w14:paraId="4682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547" w:type="dxa"/>
            <w:tcBorders>
              <w:bottom w:val="single" w:color="auto" w:sz="4" w:space="0"/>
              <w:right w:val="single" w:color="auto" w:sz="4" w:space="0"/>
            </w:tcBorders>
            <w:noWrap w:val="0"/>
            <w:vAlign w:val="center"/>
          </w:tcPr>
          <w:p w14:paraId="6F87CB30">
            <w:pPr>
              <w:spacing w:line="360" w:lineRule="auto"/>
              <w:rPr>
                <w:rFonts w:hint="eastAsia" w:ascii="彩虹粗仿宋" w:hAnsi="彩虹粗仿宋" w:eastAsia="彩虹粗仿宋" w:cs="彩虹粗仿宋"/>
                <w:szCs w:val="21"/>
              </w:rPr>
            </w:pPr>
            <w:r>
              <w:rPr>
                <w:rFonts w:hint="eastAsia" w:ascii="彩虹粗仿宋" w:hAnsi="彩虹粗仿宋" w:eastAsia="彩虹粗仿宋" w:cs="彩虹粗仿宋"/>
              </w:rPr>
              <w:t>内容</w:t>
            </w:r>
          </w:p>
        </w:tc>
        <w:tc>
          <w:tcPr>
            <w:tcW w:w="6752" w:type="dxa"/>
            <w:tcBorders>
              <w:left w:val="nil"/>
              <w:bottom w:val="single" w:color="auto" w:sz="4" w:space="0"/>
            </w:tcBorders>
            <w:noWrap w:val="0"/>
            <w:vAlign w:val="center"/>
          </w:tcPr>
          <w:p w14:paraId="140FD0DB">
            <w:pPr>
              <w:spacing w:line="360" w:lineRule="auto"/>
              <w:ind w:firstLine="1470" w:firstLineChars="700"/>
              <w:rPr>
                <w:rFonts w:hint="eastAsia" w:ascii="彩虹粗仿宋" w:hAnsi="彩虹粗仿宋" w:eastAsia="彩虹粗仿宋" w:cs="彩虹粗仿宋"/>
                <w:szCs w:val="21"/>
              </w:rPr>
            </w:pPr>
            <w:r>
              <w:rPr>
                <w:rFonts w:hint="eastAsia" w:ascii="彩虹粗仿宋" w:hAnsi="彩虹粗仿宋" w:eastAsia="彩虹粗仿宋" w:cs="彩虹粗仿宋"/>
              </w:rPr>
              <w:t>说明与要求</w:t>
            </w:r>
          </w:p>
        </w:tc>
      </w:tr>
      <w:tr w14:paraId="1B11D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1547" w:type="dxa"/>
            <w:vMerge w:val="restart"/>
            <w:tcBorders>
              <w:top w:val="nil"/>
              <w:bottom w:val="single" w:color="auto" w:sz="4" w:space="0"/>
              <w:right w:val="single" w:color="auto" w:sz="4" w:space="0"/>
            </w:tcBorders>
            <w:noWrap w:val="0"/>
            <w:vAlign w:val="center"/>
          </w:tcPr>
          <w:p w14:paraId="70C7BB16">
            <w:pPr>
              <w:spacing w:line="360" w:lineRule="auto"/>
              <w:rPr>
                <w:rFonts w:hint="eastAsia" w:ascii="彩虹粗仿宋" w:hAnsi="彩虹粗仿宋" w:eastAsia="彩虹粗仿宋" w:cs="彩虹粗仿宋"/>
                <w:szCs w:val="21"/>
              </w:rPr>
            </w:pPr>
            <w:r>
              <w:rPr>
                <w:rFonts w:hint="eastAsia" w:ascii="彩虹粗仿宋" w:hAnsi="彩虹粗仿宋" w:eastAsia="彩虹粗仿宋" w:cs="彩虹粗仿宋"/>
              </w:rPr>
              <w:t>业务需求说明，包括功能需求、性能和管理需求等</w:t>
            </w:r>
          </w:p>
        </w:tc>
        <w:tc>
          <w:tcPr>
            <w:tcW w:w="6752" w:type="dxa"/>
            <w:tcBorders>
              <w:top w:val="single" w:color="auto" w:sz="4" w:space="0"/>
              <w:left w:val="nil"/>
              <w:bottom w:val="single" w:color="auto" w:sz="4" w:space="0"/>
            </w:tcBorders>
            <w:noWrap w:val="0"/>
            <w:vAlign w:val="center"/>
          </w:tcPr>
          <w:p w14:paraId="7B1FA2F6">
            <w:pPr>
              <w:adjustRightInd w:val="0"/>
              <w:snapToGrid w:val="0"/>
              <w:spacing w:line="360" w:lineRule="auto"/>
              <w:rPr>
                <w:rFonts w:hint="eastAsia" w:ascii="彩虹粗仿宋" w:hAnsi="彩虹粗仿宋" w:eastAsia="彩虹粗仿宋" w:cs="彩虹粗仿宋"/>
              </w:rPr>
            </w:pPr>
            <w:r>
              <w:rPr>
                <w:rFonts w:hint="eastAsia" w:ascii="彩虹粗仿宋" w:hAnsi="彩虹粗仿宋" w:eastAsia="彩虹粗仿宋" w:cs="彩虹粗仿宋"/>
              </w:rPr>
              <w:t xml:space="preserve">1、采购内容要求:医银直联系统通过医保内网直连业务系统，同时连接各银行系统和财务软件系统、业务财务一体化接口系统，通过开展医保待遇直发、银行账户信息查询、下载、财务银行对账等工作，打通从基金收支预算到基金网银划拨、待遇发放到账确认、基金财务自动记账的管理节点。               </w:t>
            </w:r>
          </w:p>
          <w:p w14:paraId="10F2736B">
            <w:pPr>
              <w:adjustRightInd w:val="0"/>
              <w:snapToGrid w:val="0"/>
              <w:spacing w:line="360" w:lineRule="auto"/>
              <w:rPr>
                <w:rFonts w:hint="eastAsia" w:ascii="彩虹粗仿宋" w:hAnsi="彩虹粗仿宋" w:eastAsia="彩虹粗仿宋" w:cs="彩虹粗仿宋"/>
              </w:rPr>
            </w:pPr>
            <w:r>
              <w:rPr>
                <w:rFonts w:hint="eastAsia" w:ascii="彩虹粗仿宋" w:hAnsi="彩虹粗仿宋" w:eastAsia="彩虹粗仿宋" w:cs="彩虹粗仿宋"/>
              </w:rPr>
              <w:t>功能模块包含银行账户管理、交易管理和对账管理，具体如下：1、基金账户管理：实现对各支出户数据信息进行统一管理。通过银行账户查询可实时与银行联网查询到各级账户的余额情况。</w:t>
            </w:r>
          </w:p>
          <w:p w14:paraId="4FC5A730">
            <w:pPr>
              <w:adjustRightInd w:val="0"/>
              <w:snapToGrid w:val="0"/>
              <w:spacing w:line="360" w:lineRule="auto"/>
              <w:rPr>
                <w:rFonts w:hint="eastAsia" w:ascii="彩虹粗仿宋" w:hAnsi="彩虹粗仿宋" w:eastAsia="彩虹粗仿宋" w:cs="彩虹粗仿宋"/>
              </w:rPr>
            </w:pPr>
            <w:r>
              <w:rPr>
                <w:rFonts w:hint="eastAsia" w:ascii="彩虹粗仿宋" w:hAnsi="彩虹粗仿宋" w:eastAsia="彩虹粗仿宋" w:cs="彩虹粗仿宋"/>
              </w:rPr>
              <w:t>2、基金交易管理：所有待遇发放支出数据通过交易管理平台，经过多级审核流程审核后形成支付指令，直接与银行联网，银行与业务系统核对完成后进行基金的实际支付，同时银行支付成功后，交易数据回写到系统中，实现了财务信息与银行账户信息的一致性和一体化，强化了基金管理、加强了基金监督和风险控制。</w:t>
            </w:r>
          </w:p>
          <w:p w14:paraId="003D2923">
            <w:pPr>
              <w:adjustRightInd w:val="0"/>
              <w:snapToGrid w:val="0"/>
              <w:spacing w:line="360" w:lineRule="auto"/>
              <w:rPr>
                <w:rFonts w:hint="eastAsia" w:ascii="彩虹粗仿宋" w:hAnsi="彩虹粗仿宋" w:eastAsia="彩虹粗仿宋" w:cs="彩虹粗仿宋"/>
                <w:szCs w:val="21"/>
              </w:rPr>
            </w:pPr>
            <w:r>
              <w:rPr>
                <w:rFonts w:hint="eastAsia" w:ascii="彩虹粗仿宋" w:hAnsi="彩虹粗仿宋" w:eastAsia="彩虹粗仿宋" w:cs="彩虹粗仿宋"/>
              </w:rPr>
              <w:t>3、对账管理：实现医保财务数据、银行支付数据进行对账。</w:t>
            </w:r>
          </w:p>
        </w:tc>
      </w:tr>
      <w:tr w14:paraId="5544E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0" w:type="auto"/>
            <w:vMerge w:val="continue"/>
            <w:tcBorders>
              <w:top w:val="nil"/>
              <w:bottom w:val="single" w:color="auto" w:sz="4" w:space="0"/>
              <w:right w:val="single" w:color="auto" w:sz="4" w:space="0"/>
            </w:tcBorders>
            <w:noWrap w:val="0"/>
            <w:vAlign w:val="center"/>
          </w:tcPr>
          <w:p w14:paraId="3D8B31D7">
            <w:pPr>
              <w:widowControl/>
              <w:jc w:val="left"/>
              <w:rPr>
                <w:rFonts w:hint="eastAsia" w:ascii="彩虹粗仿宋" w:hAnsi="彩虹粗仿宋" w:eastAsia="彩虹粗仿宋" w:cs="彩虹粗仿宋"/>
                <w:szCs w:val="21"/>
              </w:rPr>
            </w:pPr>
          </w:p>
        </w:tc>
        <w:tc>
          <w:tcPr>
            <w:tcW w:w="6752" w:type="dxa"/>
            <w:tcBorders>
              <w:top w:val="single" w:color="auto" w:sz="4" w:space="0"/>
              <w:left w:val="nil"/>
              <w:bottom w:val="single" w:color="auto" w:sz="4" w:space="0"/>
            </w:tcBorders>
            <w:noWrap w:val="0"/>
            <w:vAlign w:val="center"/>
          </w:tcPr>
          <w:p w14:paraId="5EC9F20D">
            <w:pPr>
              <w:spacing w:line="360" w:lineRule="auto"/>
              <w:rPr>
                <w:rFonts w:hint="eastAsia" w:ascii="彩虹粗仿宋" w:hAnsi="彩虹粗仿宋" w:eastAsia="彩虹粗仿宋" w:cs="彩虹粗仿宋"/>
                <w:szCs w:val="21"/>
              </w:rPr>
            </w:pPr>
            <w:r>
              <w:rPr>
                <w:rFonts w:hint="eastAsia" w:ascii="彩虹粗仿宋" w:hAnsi="彩虹粗仿宋" w:eastAsia="彩虹粗仿宋" w:cs="彩虹粗仿宋"/>
              </w:rPr>
              <w:t>2、管理需求（1）范围管理要求：本次项目除软件开发及部署外，需完成所有系统配置、测试及培训工作，并提供为期一年的维护服务。（2）供应商需提供详细的项目实施进度计划，周密做好系统各实施工作，确保项目实施工作的顺利完成。（3）为了保证本系统能按时高质地顺利完成，规避项目风险或将风险降至最低程度，供应商应制定项目质量管理方案，详细说明采取的质量保障措施；（4）供应商需为本项目建立完善的沟通机制，确保项目实施各个参与方之间信息沟通的顺畅，确保信息传达的及时性和准确性。</w:t>
            </w:r>
          </w:p>
        </w:tc>
      </w:tr>
      <w:tr w14:paraId="10403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0" w:type="auto"/>
            <w:vMerge w:val="continue"/>
            <w:tcBorders>
              <w:top w:val="nil"/>
              <w:right w:val="single" w:color="auto" w:sz="4" w:space="0"/>
            </w:tcBorders>
            <w:noWrap w:val="0"/>
            <w:vAlign w:val="center"/>
          </w:tcPr>
          <w:p w14:paraId="1729D04D">
            <w:pPr>
              <w:widowControl/>
              <w:jc w:val="left"/>
              <w:rPr>
                <w:rFonts w:hint="eastAsia" w:ascii="彩虹粗仿宋" w:hAnsi="彩虹粗仿宋" w:eastAsia="彩虹粗仿宋" w:cs="彩虹粗仿宋"/>
                <w:szCs w:val="21"/>
              </w:rPr>
            </w:pPr>
          </w:p>
        </w:tc>
        <w:tc>
          <w:tcPr>
            <w:tcW w:w="6752" w:type="dxa"/>
            <w:tcBorders>
              <w:top w:val="single" w:color="auto" w:sz="4" w:space="0"/>
              <w:left w:val="nil"/>
            </w:tcBorders>
            <w:noWrap w:val="0"/>
            <w:vAlign w:val="center"/>
          </w:tcPr>
          <w:p w14:paraId="72815ABA">
            <w:pPr>
              <w:adjustRightInd w:val="0"/>
              <w:snapToGrid w:val="0"/>
              <w:spacing w:line="360" w:lineRule="auto"/>
              <w:rPr>
                <w:rFonts w:hint="eastAsia" w:ascii="彩虹粗仿宋" w:hAnsi="彩虹粗仿宋" w:eastAsia="彩虹粗仿宋" w:cs="彩虹粗仿宋"/>
                <w:szCs w:val="21"/>
              </w:rPr>
            </w:pPr>
            <w:r>
              <w:rPr>
                <w:rFonts w:hint="eastAsia" w:ascii="彩虹粗仿宋" w:hAnsi="彩虹粗仿宋" w:eastAsia="彩虹粗仿宋" w:cs="彩虹粗仿宋"/>
              </w:rPr>
              <w:t>3、项目模块及数量:账户管理、电子交易、对账管理各一套</w:t>
            </w:r>
          </w:p>
        </w:tc>
      </w:tr>
    </w:tbl>
    <w:p w14:paraId="06882917">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二、现有的条件和环境配置简要说明。</w:t>
      </w:r>
    </w:p>
    <w:p w14:paraId="41EE6519">
      <w:pPr>
        <w:adjustRightInd w:val="0"/>
        <w:snapToGrid w:val="0"/>
        <w:spacing w:line="360" w:lineRule="auto"/>
        <w:ind w:firstLine="640" w:firstLineChars="200"/>
        <w:rPr>
          <w:rFonts w:hint="eastAsia" w:ascii="彩虹粗仿宋" w:hAnsi="宋体" w:eastAsia="彩虹粗仿宋" w:cs="黑体"/>
          <w:sz w:val="32"/>
          <w:szCs w:val="32"/>
          <w:lang w:eastAsia="zh-CN"/>
        </w:rPr>
      </w:pPr>
      <w:r>
        <w:rPr>
          <w:rFonts w:hint="eastAsia" w:ascii="彩虹粗仿宋" w:hAnsi="宋体" w:eastAsia="彩虹粗仿宋" w:cs="黑体"/>
          <w:sz w:val="32"/>
          <w:szCs w:val="32"/>
          <w:lang w:eastAsia="zh-CN"/>
        </w:rPr>
        <w:t>无。</w:t>
      </w:r>
    </w:p>
    <w:p w14:paraId="07046B51">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三、集成服务进度要求，可分阶段要求。</w:t>
      </w:r>
    </w:p>
    <w:p w14:paraId="0F06BF1A">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 需求理解要求</w:t>
      </w:r>
    </w:p>
    <w:p w14:paraId="75919C28">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供应商必须深刻理解医银直联系统的建设背景、建设目标等内容。对业务需求、业务流程等内容进行深入分析。</w:t>
      </w:r>
    </w:p>
    <w:p w14:paraId="18FCEC67">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2、 项目交付要求</w:t>
      </w:r>
    </w:p>
    <w:p w14:paraId="7B7396FA">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供应商须按照工期要求，提供可行的项目实施计划，制定项目进度计划表，保证在项目建设周期内高质量交付项目成果。</w:t>
      </w:r>
    </w:p>
    <w:p w14:paraId="15BD6329">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（1）项目工期要求：必须在合同签订之日起20天内完成系统实施工作。</w:t>
      </w:r>
    </w:p>
    <w:p w14:paraId="44DD68EA">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（2）交货地点：采购人指定地点。</w:t>
      </w:r>
    </w:p>
    <w:p w14:paraId="3D8E8857">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按项目建设功能要求完成整体交付，包括软件系统、技术资料、过程资料等。</w:t>
      </w:r>
    </w:p>
    <w:p w14:paraId="277E95BB">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3、部署实施要求</w:t>
      </w:r>
    </w:p>
    <w:p w14:paraId="2A920E49">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供应商须配合采购人及使用单位进行医银直联系统系统模块的集成工作，系统采用市集中部署，满足全市县医保部门、相关机构进行业务经办和事项办理。</w:t>
      </w:r>
    </w:p>
    <w:p w14:paraId="18F2079A">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4、系统测试要求</w:t>
      </w:r>
    </w:p>
    <w:p w14:paraId="56A1A11A">
      <w:pPr>
        <w:adjustRightInd w:val="0"/>
        <w:snapToGrid w:val="0"/>
        <w:spacing w:line="360" w:lineRule="auto"/>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提供详细的系统测试方案，详细说明在系统的功能测试、性能测试、压力测试、安全测试等方面的工作，保障上线系统的正确性和稳定性。</w:t>
      </w:r>
    </w:p>
    <w:p w14:paraId="150E9E91">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四、集成服务过程的责任界定和分工说明。</w:t>
      </w:r>
    </w:p>
    <w:p w14:paraId="70BE81D1">
      <w:pPr>
        <w:adjustRightInd w:val="0"/>
        <w:snapToGrid w:val="0"/>
        <w:spacing w:line="360" w:lineRule="auto"/>
        <w:ind w:firstLine="640" w:firstLineChars="200"/>
        <w:rPr>
          <w:rFonts w:hint="eastAsia" w:ascii="彩虹粗仿宋" w:hAnsi="宋体" w:eastAsia="彩虹粗仿宋" w:cs="黑体"/>
          <w:sz w:val="32"/>
          <w:szCs w:val="32"/>
          <w:lang w:eastAsia="zh-CN"/>
        </w:rPr>
      </w:pPr>
      <w:r>
        <w:rPr>
          <w:rFonts w:hint="eastAsia" w:ascii="彩虹粗仿宋" w:hAnsi="宋体" w:eastAsia="彩虹粗仿宋" w:cs="黑体"/>
          <w:sz w:val="32"/>
          <w:szCs w:val="32"/>
          <w:lang w:eastAsia="zh-CN"/>
        </w:rPr>
        <w:t>以合同约定为准。</w:t>
      </w:r>
    </w:p>
    <w:p w14:paraId="6B3E5222">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五、集成服务的最后提交件要求、验收标准等。</w:t>
      </w:r>
    </w:p>
    <w:p w14:paraId="6C24D43C">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本项目研究成果的所有权、使用权归采购人享有，未经采购人书面许可，成交供应商不得将本项目研究成果提供给第三方。供应商承诺对技术文件以及由采购人提供的所有资料和信息予以保密，未经采购人书面许可，供应商不得以任何形式向第三方透露本项目标书以及本项目的任何内容。供货商按照合同约定的产品类型、数量、参数进行安装、调试、测试工作，以满足业务工作需求，提供相关验收文档并进行验收。</w:t>
      </w:r>
    </w:p>
    <w:p w14:paraId="14ACA02C">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 xml:space="preserve">验收时间：在采购人客户要求的系统对接日期或系统对接成功后10个工作日内。 </w:t>
      </w:r>
    </w:p>
    <w:p w14:paraId="15DC38F0">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验收标准及方式：供应商开发的对接程序应根据采购人提供的数据满足采购人客户业务合作需要，各项功能正常使用或运行正常。供应商应提供验收依据，并在验收完成后提供验收报告。</w:t>
      </w:r>
    </w:p>
    <w:p w14:paraId="30C394F2">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六、对公司投入集成服务的人员数量、质量、经验等方面的要求。</w:t>
      </w:r>
    </w:p>
    <w:p w14:paraId="786AB2BD">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1、组织架构：为使工程保质、保量、按时及有序实施，成交供应商对本项目必须建立一个完善和稳定的管理组织机构。</w:t>
      </w:r>
    </w:p>
    <w:p w14:paraId="1884C96E">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2、建设期内，项目经理须处理问题或交流情况。须配备涵盖需求分析师、测试工程师、实施工程师在内的3人的项目团队，要求项目团队熟悉山东省医保业务流程、政策及系统现状。供应商所安排的项目团队成员必须专职于本项目的建设。</w:t>
      </w:r>
    </w:p>
    <w:p w14:paraId="539F5237">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3、本项目的项目经理必须具体负责项目的实施，在系统建设期内，供应商承诺的项目经理和开发实施的主要人员未经用户同意不得调整；供应商如中途更换项目经理和主要开发技术人员，必须提前提出书面申请，经按规定标准考核合格、经采购人认可后并进行过一定的适应性服务工作方可完成替换。</w:t>
      </w:r>
    </w:p>
    <w:p w14:paraId="6F39C826">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七、培训要求。</w:t>
      </w:r>
    </w:p>
    <w:p w14:paraId="32621AFC">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依据招标人培训需求，配合为系统使用部门提供培训服务，利用线上直播培训（包含录播服务）即时沟通交互或线下组织活动培训方式，培训操作使用。</w:t>
      </w:r>
    </w:p>
    <w:p w14:paraId="6E327B94">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八、技术支持和保修服务要求。</w:t>
      </w:r>
    </w:p>
    <w:p w14:paraId="6AEA41CD">
      <w:pPr>
        <w:adjustRightInd w:val="0"/>
        <w:snapToGrid w:val="0"/>
        <w:spacing w:line="360" w:lineRule="auto"/>
        <w:ind w:firstLine="640" w:firstLineChars="200"/>
        <w:rPr>
          <w:rFonts w:hint="eastAsia" w:ascii="彩虹粗仿宋" w:hAnsi="宋体" w:eastAsia="彩虹粗仿宋" w:cs="黑体"/>
          <w:sz w:val="32"/>
          <w:szCs w:val="32"/>
        </w:rPr>
      </w:pPr>
      <w:r>
        <w:rPr>
          <w:rFonts w:hint="eastAsia" w:ascii="彩虹粗仿宋" w:hAnsi="宋体" w:eastAsia="彩虹粗仿宋" w:cs="黑体"/>
          <w:sz w:val="32"/>
          <w:szCs w:val="32"/>
        </w:rPr>
        <w:t>供应商对我行采购产品按照合同约定进行安装调试，并负责后续的保修服务、技术支持等工作。服务内容包括：使用指导，对系统进行必须的修订和微调，对系统隐含的错误进行纠正；服务方式包括：电话解答，远程服务，必要时派技术人员到现场解决问题：响应时间：供应商保证7*24小时的技术支持和技术服务，对供应商所提供服务的系统使用中发生的问题，供应商承诺在得到通知后的60分钟内做出响应，12小时内完成需求处理。</w:t>
      </w:r>
    </w:p>
    <w:p w14:paraId="7DB8D07C">
      <w:pPr>
        <w:adjustRightInd w:val="0"/>
        <w:snapToGrid w:val="0"/>
        <w:spacing w:line="360" w:lineRule="auto"/>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九、报价要求，包括产品报价（可选）、集成服务报价、保修服务报价、人员报价、其他报价等。</w:t>
      </w:r>
    </w:p>
    <w:p w14:paraId="299CE63C">
      <w:pPr>
        <w:adjustRightInd w:val="0"/>
        <w:snapToGrid w:val="0"/>
        <w:spacing w:line="360" w:lineRule="auto"/>
        <w:ind w:firstLine="640" w:firstLineChars="200"/>
        <w:rPr>
          <w:rFonts w:hint="eastAsia" w:ascii="彩虹粗仿宋" w:hAnsi="宋体" w:eastAsia="彩虹粗仿宋" w:cs="黑体"/>
          <w:sz w:val="32"/>
          <w:szCs w:val="32"/>
          <w:lang w:eastAsia="zh-CN"/>
        </w:rPr>
      </w:pPr>
      <w:r>
        <w:rPr>
          <w:rFonts w:hint="eastAsia" w:ascii="彩虹粗仿宋" w:hAnsi="宋体" w:eastAsia="彩虹粗仿宋" w:cs="黑体"/>
          <w:sz w:val="32"/>
          <w:szCs w:val="32"/>
        </w:rPr>
        <w:t>3年期系统维护费用</w:t>
      </w:r>
      <w:r>
        <w:rPr>
          <w:rFonts w:hint="eastAsia" w:ascii="彩虹粗仿宋" w:hAnsi="宋体" w:eastAsia="彩虹粗仿宋" w:cs="黑体"/>
          <w:sz w:val="32"/>
          <w:szCs w:val="32"/>
          <w:lang w:val="en-US" w:eastAsia="zh-CN"/>
        </w:rPr>
        <w:t>49.</w:t>
      </w:r>
      <w:r>
        <w:rPr>
          <w:rFonts w:hint="eastAsia" w:ascii="彩虹粗仿宋" w:hAnsi="宋体" w:eastAsia="彩虹粗仿宋" w:cs="黑体"/>
          <w:sz w:val="32"/>
          <w:szCs w:val="32"/>
        </w:rPr>
        <w:t>50 万元</w:t>
      </w:r>
      <w:r>
        <w:rPr>
          <w:rFonts w:hint="eastAsia" w:ascii="彩虹粗仿宋" w:hAnsi="宋体" w:eastAsia="彩虹粗仿宋" w:cs="黑体"/>
          <w:sz w:val="32"/>
          <w:szCs w:val="32"/>
          <w:lang w:eastAsia="zh-CN"/>
        </w:rPr>
        <w:t>。</w:t>
      </w:r>
      <w:bookmarkStart w:id="0" w:name="_GoBack"/>
      <w:bookmarkEnd w:id="0"/>
    </w:p>
    <w:p w14:paraId="1BB2675C">
      <w:pPr>
        <w:ind w:firstLine="643" w:firstLineChars="200"/>
        <w:rPr>
          <w:rFonts w:hint="eastAsia" w:ascii="彩虹粗仿宋" w:hAnsi="宋体" w:eastAsia="彩虹粗仿宋" w:cs="黑体"/>
          <w:b/>
          <w:bCs/>
          <w:sz w:val="32"/>
          <w:szCs w:val="32"/>
        </w:rPr>
      </w:pPr>
      <w:r>
        <w:rPr>
          <w:rFonts w:hint="eastAsia" w:ascii="彩虹粗仿宋" w:hAnsi="宋体" w:eastAsia="彩虹粗仿宋" w:cs="黑体"/>
          <w:b/>
          <w:bCs/>
          <w:sz w:val="32"/>
          <w:szCs w:val="32"/>
        </w:rPr>
        <w:t>十、其他要求。</w:t>
      </w:r>
    </w:p>
    <w:p w14:paraId="328E3944">
      <w:pPr>
        <w:ind w:firstLine="640" w:firstLineChars="200"/>
        <w:rPr>
          <w:rFonts w:hint="eastAsia" w:ascii="彩虹粗仿宋" w:hAnsi="宋体" w:eastAsia="彩虹粗仿宋" w:cs="黑体"/>
          <w:sz w:val="32"/>
          <w:szCs w:val="32"/>
          <w:lang w:eastAsia="zh-CN"/>
        </w:rPr>
      </w:pPr>
      <w:r>
        <w:rPr>
          <w:rFonts w:hint="eastAsia" w:ascii="彩虹粗仿宋" w:hAnsi="宋体" w:eastAsia="彩虹粗仿宋" w:cs="黑体"/>
          <w:sz w:val="32"/>
          <w:szCs w:val="32"/>
          <w:lang w:eastAsia="zh-CN"/>
        </w:rPr>
        <w:t>无。</w:t>
      </w:r>
    </w:p>
    <w:p w14:paraId="4ACC7530"/>
    <w:p w14:paraId="50B4260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5561DA"/>
    <w:rsid w:val="0A3918E4"/>
    <w:rsid w:val="32132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2025-12-01T10:05:00Z</dcterms:created>
  <dc:creator>CCB</dc:creator>
  <cp:lastModifiedBy>苗文青</cp:lastModifiedBy>
  <dcterms:modified xsi:type="dcterms:W3CDTF">2025-12-05T01:02:14Z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C7661E5F8A6C45DA94333933EF699170_12</vt:lpwstr>
  </property>
</Properties>
</file>