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autoSpaceDE/>
        <w:autoSpaceDN/>
        <w:bidi w:val="0"/>
        <w:snapToGrid/>
        <w:spacing w:beforeLines="0" w:afterLines="0" w:line="560" w:lineRule="exact"/>
        <w:jc w:val="center"/>
        <w:rPr>
          <w:rFonts w:hint="eastAsia" w:ascii="华文中宋" w:hAnsi="华文中宋" w:eastAsia="华文中宋" w:cs="华文中宋"/>
          <w:b w:val="0"/>
          <w:bCs/>
          <w:color w:val="auto"/>
          <w:sz w:val="40"/>
          <w:szCs w:val="40"/>
          <w:highlight w:val="none"/>
        </w:rPr>
      </w:pPr>
      <w:bookmarkStart w:id="0" w:name="_Toc13475"/>
      <w:bookmarkStart w:id="1" w:name="_Toc11491"/>
    </w:p>
    <w:p>
      <w:pPr>
        <w:pageBreakBefore w:val="0"/>
        <w:kinsoku/>
        <w:overflowPunct/>
        <w:topLinePunct w:val="0"/>
        <w:autoSpaceDE/>
        <w:autoSpaceDN/>
        <w:bidi w:val="0"/>
        <w:snapToGrid/>
        <w:spacing w:beforeLines="0" w:afterLines="0" w:line="560" w:lineRule="exact"/>
        <w:jc w:val="center"/>
        <w:rPr>
          <w:rFonts w:hint="eastAsia" w:ascii="华文中宋" w:hAnsi="华文中宋" w:eastAsia="华文中宋" w:cs="华文中宋"/>
          <w:b w:val="0"/>
          <w:bCs/>
          <w:color w:val="auto"/>
          <w:sz w:val="40"/>
          <w:szCs w:val="40"/>
          <w:highlight w:val="none"/>
        </w:rPr>
      </w:pPr>
    </w:p>
    <w:p>
      <w:pPr>
        <w:pageBreakBefore w:val="0"/>
        <w:kinsoku/>
        <w:overflowPunct/>
        <w:topLinePunct w:val="0"/>
        <w:autoSpaceDE/>
        <w:autoSpaceDN/>
        <w:bidi w:val="0"/>
        <w:snapToGrid/>
        <w:spacing w:beforeLines="0" w:afterLines="0" w:line="560" w:lineRule="exact"/>
        <w:jc w:val="center"/>
        <w:rPr>
          <w:rFonts w:hint="eastAsia" w:ascii="华文中宋" w:hAnsi="华文中宋" w:eastAsia="华文中宋" w:cs="华文中宋"/>
          <w:b w:val="0"/>
          <w:bCs/>
          <w:color w:val="auto"/>
          <w:sz w:val="40"/>
          <w:szCs w:val="40"/>
          <w:highlight w:val="none"/>
        </w:rPr>
      </w:pPr>
    </w:p>
    <w:p>
      <w:pPr>
        <w:pStyle w:val="20"/>
        <w:spacing w:line="560" w:lineRule="exact"/>
        <w:rPr>
          <w:rFonts w:hint="eastAsia" w:ascii="华文中宋" w:hAnsi="华文中宋" w:eastAsia="华文中宋" w:cs="华文中宋"/>
          <w:b w:val="0"/>
          <w:bCs/>
          <w:color w:val="auto"/>
          <w:sz w:val="40"/>
          <w:szCs w:val="40"/>
          <w:highlight w:val="none"/>
        </w:rPr>
      </w:pPr>
    </w:p>
    <w:p>
      <w:pPr>
        <w:pStyle w:val="20"/>
        <w:spacing w:line="560" w:lineRule="exact"/>
        <w:ind w:firstLine="3200" w:firstLineChars="800"/>
        <w:jc w:val="center"/>
        <w:rPr>
          <w:rFonts w:hint="eastAsia" w:ascii="华文中宋" w:hAnsi="华文中宋" w:eastAsia="华文中宋" w:cs="华文中宋"/>
          <w:b w:val="0"/>
          <w:bCs/>
          <w:color w:val="auto"/>
          <w:sz w:val="40"/>
          <w:szCs w:val="40"/>
          <w:highlight w:val="none"/>
        </w:rPr>
      </w:pPr>
    </w:p>
    <w:p>
      <w:pPr>
        <w:pStyle w:val="20"/>
        <w:spacing w:line="560" w:lineRule="exact"/>
        <w:ind w:left="0" w:leftChars="0" w:firstLine="0" w:firstLineChars="0"/>
        <w:jc w:val="center"/>
        <w:rPr>
          <w:rFonts w:hint="eastAsia" w:ascii="华文中宋" w:hAnsi="华文中宋" w:eastAsia="华文中宋" w:cs="华文中宋"/>
          <w:b w:val="0"/>
          <w:bCs/>
          <w:color w:val="auto"/>
          <w:sz w:val="40"/>
          <w:szCs w:val="40"/>
          <w:highlight w:val="none"/>
        </w:rPr>
      </w:pPr>
      <w:r>
        <w:rPr>
          <w:rFonts w:hint="eastAsia" w:ascii="华文中宋" w:hAnsi="华文中宋" w:eastAsia="华文中宋" w:cs="华文中宋"/>
          <w:b w:val="0"/>
          <w:bCs/>
          <w:color w:val="auto"/>
          <w:sz w:val="40"/>
          <w:szCs w:val="40"/>
          <w:highlight w:val="none"/>
        </w:rPr>
        <w:t>中国进出口银行</w:t>
      </w:r>
    </w:p>
    <w:p>
      <w:pPr>
        <w:pStyle w:val="20"/>
        <w:spacing w:line="560" w:lineRule="exact"/>
        <w:ind w:left="0" w:leftChars="0" w:firstLine="0" w:firstLineChars="0"/>
        <w:jc w:val="center"/>
        <w:rPr>
          <w:rFonts w:hint="eastAsia" w:ascii="华文中宋" w:hAnsi="华文中宋" w:eastAsia="华文中宋" w:cs="华文中宋"/>
          <w:b w:val="0"/>
          <w:bCs/>
          <w:color w:val="auto"/>
          <w:sz w:val="40"/>
          <w:szCs w:val="40"/>
          <w:highlight w:val="none"/>
        </w:rPr>
      </w:pPr>
      <w:r>
        <w:rPr>
          <w:rFonts w:hint="eastAsia" w:ascii="华文中宋" w:hAnsi="华文中宋" w:eastAsia="华文中宋" w:cs="华文中宋"/>
          <w:b w:val="0"/>
          <w:bCs/>
          <w:color w:val="auto"/>
          <w:sz w:val="40"/>
          <w:szCs w:val="40"/>
          <w:highlight w:val="none"/>
          <w:lang w:val="en-US" w:eastAsia="zh-CN"/>
        </w:rPr>
        <w:t>批处理调度</w:t>
      </w:r>
      <w:r>
        <w:rPr>
          <w:rFonts w:hint="eastAsia" w:ascii="华文中宋" w:hAnsi="华文中宋" w:eastAsia="华文中宋" w:cs="华文中宋"/>
          <w:b w:val="0"/>
          <w:bCs/>
          <w:color w:val="auto"/>
          <w:sz w:val="40"/>
          <w:szCs w:val="40"/>
          <w:highlight w:val="none"/>
        </w:rPr>
        <w:t>系统信息技术应用创新</w:t>
      </w:r>
      <w:r>
        <w:rPr>
          <w:rFonts w:hint="eastAsia" w:ascii="华文中宋" w:hAnsi="华文中宋" w:eastAsia="华文中宋" w:cs="华文中宋"/>
          <w:b w:val="0"/>
          <w:bCs/>
          <w:color w:val="auto"/>
          <w:sz w:val="40"/>
          <w:szCs w:val="40"/>
          <w:highlight w:val="none"/>
          <w:lang w:eastAsia="zh-CN"/>
        </w:rPr>
        <w:t>改</w:t>
      </w:r>
      <w:r>
        <w:rPr>
          <w:rFonts w:hint="eastAsia" w:ascii="华文中宋" w:hAnsi="华文中宋" w:eastAsia="华文中宋" w:cs="华文中宋"/>
          <w:b w:val="0"/>
          <w:bCs/>
          <w:color w:val="auto"/>
          <w:sz w:val="40"/>
          <w:szCs w:val="40"/>
          <w:highlight w:val="none"/>
        </w:rPr>
        <w:t>造</w:t>
      </w:r>
    </w:p>
    <w:p>
      <w:pPr>
        <w:pStyle w:val="20"/>
        <w:spacing w:line="560" w:lineRule="exact"/>
        <w:ind w:left="0" w:leftChars="0" w:firstLine="0" w:firstLineChars="0"/>
        <w:jc w:val="center"/>
        <w:rPr>
          <w:rFonts w:hint="eastAsia" w:ascii="华文中宋" w:hAnsi="华文中宋" w:eastAsia="华文中宋" w:cs="华文中宋"/>
          <w:b w:val="0"/>
          <w:bCs/>
          <w:color w:val="auto"/>
          <w:sz w:val="40"/>
          <w:szCs w:val="40"/>
          <w:highlight w:val="none"/>
          <w:lang w:val="en-US" w:eastAsia="zh-CN"/>
        </w:rPr>
      </w:pPr>
      <w:r>
        <w:rPr>
          <w:rFonts w:hint="eastAsia" w:ascii="华文中宋" w:hAnsi="华文中宋" w:eastAsia="华文中宋" w:cs="华文中宋"/>
          <w:b w:val="0"/>
          <w:bCs/>
          <w:color w:val="auto"/>
          <w:sz w:val="40"/>
          <w:szCs w:val="40"/>
          <w:highlight w:val="none"/>
        </w:rPr>
        <w:t>项目项目</w:t>
      </w:r>
      <w:r>
        <w:rPr>
          <w:rFonts w:hint="eastAsia" w:ascii="华文中宋" w:hAnsi="华文中宋" w:eastAsia="华文中宋" w:cs="华文中宋"/>
          <w:b w:val="0"/>
          <w:bCs/>
          <w:color w:val="auto"/>
          <w:sz w:val="40"/>
          <w:szCs w:val="40"/>
          <w:highlight w:val="none"/>
          <w:lang w:val="en-US" w:eastAsia="zh-CN"/>
        </w:rPr>
        <w:t>需求</w:t>
      </w: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5409"/>
        </w:tabs>
        <w:bidi w:val="0"/>
        <w:jc w:val="left"/>
        <w:rPr>
          <w:rFonts w:hint="eastAsia"/>
          <w:lang w:val="en-US" w:eastAsia="zh-CN"/>
        </w:rPr>
        <w:sectPr>
          <w:pgSz w:w="11906" w:h="16838"/>
          <w:pgMar w:top="2098" w:right="1474" w:bottom="1984" w:left="1587" w:header="851" w:footer="1412" w:gutter="0"/>
          <w:pgBorders>
            <w:top w:val="none" w:sz="0" w:space="0"/>
            <w:left w:val="none" w:sz="0" w:space="0"/>
            <w:bottom w:val="none" w:sz="0" w:space="0"/>
            <w:right w:val="none" w:sz="0" w:space="0"/>
          </w:pgBorders>
          <w:pgNumType w:fmt="decimal" w:start="0"/>
          <w:cols w:space="720" w:num="1"/>
          <w:rtlGutter w:val="0"/>
          <w:docGrid w:type="lines" w:linePitch="318" w:charSpace="0"/>
        </w:sectPr>
      </w:pPr>
      <w:r>
        <w:rPr>
          <w:rFonts w:hint="eastAsia"/>
          <w:lang w:val="en-US" w:eastAsia="zh-CN"/>
        </w:rPr>
        <w:tab/>
      </w:r>
      <w:bookmarkStart w:id="76" w:name="_GoBack"/>
      <w:bookmarkEnd w:id="76"/>
    </w:p>
    <w:p>
      <w:pPr>
        <w:pStyle w:val="19"/>
        <w:spacing w:line="560" w:lineRule="exact"/>
        <w:rPr>
          <w:rFonts w:hint="eastAsia"/>
          <w:highlight w:val="none"/>
        </w:rPr>
      </w:pPr>
    </w:p>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目</w:t>
      </w:r>
      <w:r>
        <w:rPr>
          <w:rFonts w:hint="eastAsia" w:ascii="黑体" w:hAnsi="黑体" w:eastAsia="黑体" w:cs="黑体"/>
          <w:sz w:val="32"/>
          <w:szCs w:val="32"/>
          <w:highlight w:val="none"/>
          <w:lang w:val="en-US" w:eastAsia="zh-CN"/>
        </w:rPr>
        <w:t xml:space="preserve"> </w:t>
      </w:r>
      <w:r>
        <w:rPr>
          <w:rFonts w:hint="eastAsia" w:ascii="黑体" w:hAnsi="黑体" w:eastAsia="黑体" w:cs="黑体"/>
          <w:sz w:val="32"/>
          <w:szCs w:val="32"/>
          <w:highlight w:val="none"/>
        </w:rPr>
        <w:t>录</w:t>
      </w:r>
    </w:p>
    <w:p>
      <w:pPr>
        <w:pStyle w:val="14"/>
        <w:tabs>
          <w:tab w:val="right" w:leader="dot" w:pos="8845"/>
        </w:tabs>
        <w:rPr>
          <w:rFonts w:hint="eastAsia" w:ascii="仿宋_GB2312" w:hAnsi="仿宋_GB2312" w:eastAsia="仿宋_GB2312" w:cs="仿宋_GB2312"/>
          <w:sz w:val="32"/>
          <w:szCs w:val="32"/>
        </w:rPr>
      </w:pPr>
      <w:r>
        <w:rPr>
          <w:rFonts w:hint="eastAsia" w:ascii="黑体" w:hAnsi="黑体" w:eastAsia="黑体" w:cs="黑体"/>
          <w:sz w:val="32"/>
          <w:szCs w:val="32"/>
          <w:highlight w:val="none"/>
        </w:rPr>
        <w:fldChar w:fldCharType="begin"/>
      </w:r>
      <w:r>
        <w:rPr>
          <w:rFonts w:hint="eastAsia" w:ascii="黑体" w:hAnsi="黑体" w:eastAsia="黑体" w:cs="黑体"/>
          <w:sz w:val="32"/>
          <w:szCs w:val="32"/>
          <w:highlight w:val="none"/>
        </w:rPr>
        <w:instrText xml:space="preserve">TOC \o "1-1" \h \u </w:instrText>
      </w:r>
      <w:r>
        <w:rPr>
          <w:rFonts w:hint="eastAsia" w:ascii="黑体" w:hAnsi="黑体" w:eastAsia="黑体" w:cs="黑体"/>
          <w:sz w:val="32"/>
          <w:szCs w:val="32"/>
          <w:highlight w:val="none"/>
        </w:rPr>
        <w:fldChar w:fldCharType="separate"/>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_Toc4368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sz w:val="32"/>
          <w:szCs w:val="32"/>
          <w:highlight w:val="none"/>
        </w:rPr>
        <w:t>一、项目介绍</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_Toc4368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_Toc16566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sz w:val="32"/>
          <w:szCs w:val="32"/>
          <w:highlight w:val="none"/>
        </w:rPr>
        <w:t>二、服务一览表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_Toc16566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_Toc14385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sz w:val="32"/>
          <w:szCs w:val="32"/>
          <w:lang w:val="en-US" w:eastAsia="zh-CN"/>
        </w:rPr>
        <w:t>三</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业务</w:t>
      </w:r>
      <w:r>
        <w:rPr>
          <w:rFonts w:hint="eastAsia" w:ascii="仿宋_GB2312" w:hAnsi="仿宋_GB2312" w:eastAsia="仿宋_GB2312" w:cs="仿宋_GB2312"/>
          <w:bCs/>
          <w:sz w:val="32"/>
          <w:szCs w:val="32"/>
        </w:rPr>
        <w:t>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_Toc14385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_Toc19623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sz w:val="32"/>
          <w:szCs w:val="32"/>
          <w:lang w:val="en-US" w:eastAsia="zh-CN"/>
        </w:rPr>
        <w:t>四</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lang w:val="en-US" w:eastAsia="zh-CN"/>
        </w:rPr>
        <w:t>技术</w:t>
      </w:r>
      <w:r>
        <w:rPr>
          <w:rFonts w:hint="eastAsia" w:ascii="仿宋_GB2312" w:hAnsi="仿宋_GB2312" w:eastAsia="仿宋_GB2312" w:cs="仿宋_GB2312"/>
          <w:bCs/>
          <w:sz w:val="32"/>
          <w:szCs w:val="32"/>
          <w:highlight w:val="none"/>
        </w:rPr>
        <w:t>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_Toc19623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_Toc13314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lang w:val="en-US" w:eastAsia="zh-CN"/>
        </w:rPr>
        <w:t>五、服务要求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_Toc13314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_Toc3949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项目团队要求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_Toc3949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_Toc2473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US" w:eastAsia="zh-CN"/>
        </w:rPr>
        <w:t>七、安全要求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_Toc2473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_Toc29355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US" w:eastAsia="zh-CN"/>
        </w:rPr>
        <w:t>八</w:t>
      </w:r>
      <w:r>
        <w:rPr>
          <w:rFonts w:hint="eastAsia" w:ascii="仿宋_GB2312" w:hAnsi="仿宋_GB2312" w:eastAsia="仿宋_GB2312" w:cs="仿宋_GB2312"/>
          <w:bCs w:val="0"/>
          <w:sz w:val="32"/>
          <w:szCs w:val="32"/>
          <w:highlight w:val="none"/>
        </w:rPr>
        <w:t>、交付或实施时间、地点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_Toc29355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_Toc30959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九、 </w:t>
      </w:r>
      <w:r>
        <w:rPr>
          <w:rFonts w:hint="eastAsia" w:ascii="仿宋_GB2312" w:hAnsi="仿宋_GB2312" w:eastAsia="仿宋_GB2312" w:cs="仿宋_GB2312"/>
          <w:bCs w:val="0"/>
          <w:sz w:val="32"/>
          <w:szCs w:val="32"/>
          <w:highlight w:val="none"/>
        </w:rPr>
        <w:t>财务支付要求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_Toc30959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_Toc2294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US" w:eastAsia="zh-CN"/>
        </w:rPr>
        <w:t>十</w:t>
      </w:r>
      <w:r>
        <w:rPr>
          <w:rFonts w:hint="eastAsia" w:ascii="仿宋_GB2312" w:hAnsi="仿宋_GB2312" w:eastAsia="仿宋_GB2312" w:cs="仿宋_GB2312"/>
          <w:bCs w:val="0"/>
          <w:sz w:val="32"/>
          <w:szCs w:val="32"/>
          <w:highlight w:val="none"/>
        </w:rPr>
        <w:t>、履约验收方案</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_Toc2294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_Toc31834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US" w:eastAsia="zh-CN"/>
        </w:rPr>
        <w:t>十一、投标资质要求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_Toc31834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4"/>
        <w:tabs>
          <w:tab w:val="right" w:leader="dot" w:pos="8845"/>
        </w:tabs>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_Toc21490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highlight w:val="none"/>
          <w:lang w:val="en-US" w:eastAsia="zh-CN"/>
        </w:rPr>
        <w:t>十二、投标人及产品的技术、能力、认证等相关证书</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_Toc21490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20"/>
        <w:keepNext w:val="0"/>
        <w:keepLines w:val="0"/>
        <w:pageBreakBefore w:val="0"/>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sz w:val="32"/>
          <w:szCs w:val="32"/>
          <w:highlight w:val="none"/>
        </w:rPr>
      </w:pPr>
      <w:r>
        <w:rPr>
          <w:rFonts w:hint="eastAsia" w:ascii="黑体" w:hAnsi="黑体" w:eastAsia="黑体" w:cs="黑体"/>
          <w:szCs w:val="32"/>
          <w:highlight w:val="none"/>
        </w:rPr>
        <w:fldChar w:fldCharType="end"/>
      </w:r>
    </w:p>
    <w:p>
      <w:pPr>
        <w:spacing w:line="560" w:lineRule="exact"/>
        <w:rPr>
          <w:rFonts w:hint="eastAsia"/>
        </w:rPr>
      </w:pPr>
    </w:p>
    <w:p>
      <w:pPr>
        <w:tabs>
          <w:tab w:val="left" w:pos="7166"/>
        </w:tabs>
        <w:spacing w:line="560" w:lineRule="exact"/>
        <w:jc w:val="left"/>
        <w:rPr>
          <w:rFonts w:hint="eastAsia" w:eastAsia="宋体"/>
          <w:lang w:eastAsia="zh-CN"/>
        </w:rPr>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decimal" w:start="1"/>
          <w:cols w:space="720" w:num="1"/>
          <w:rtlGutter w:val="0"/>
          <w:docGrid w:type="lines" w:linePitch="318" w:charSpace="0"/>
        </w:sectPr>
      </w:pPr>
      <w:r>
        <w:rPr>
          <w:rFonts w:hint="eastAsia"/>
          <w:lang w:eastAsia="zh-CN"/>
        </w:rPr>
        <w:tab/>
      </w:r>
    </w:p>
    <w:p>
      <w:pPr>
        <w:pStyle w:val="4"/>
        <w:keepNext/>
        <w:keepLines/>
        <w:pageBreakBefore w:val="0"/>
        <w:widowControl w:val="0"/>
        <w:kinsoku/>
        <w:wordWrap/>
        <w:overflowPunct/>
        <w:topLinePunct w:val="0"/>
        <w:autoSpaceDE/>
        <w:autoSpaceDN/>
        <w:bidi w:val="0"/>
        <w:adjustRightInd w:val="0"/>
        <w:snapToGrid/>
        <w:spacing w:before="157" w:beforeLines="50" w:after="157" w:afterLines="50" w:line="560" w:lineRule="exact"/>
        <w:ind w:firstLine="640" w:firstLineChars="200"/>
        <w:jc w:val="left"/>
        <w:textAlignment w:val="baseline"/>
        <w:outlineLvl w:val="0"/>
        <w:rPr>
          <w:rFonts w:ascii="黑体" w:hAnsi="黑体" w:eastAsia="黑体" w:cs="Times New Roman"/>
          <w:b w:val="0"/>
          <w:bCs/>
          <w:color w:val="auto"/>
          <w:sz w:val="32"/>
          <w:highlight w:val="none"/>
        </w:rPr>
      </w:pPr>
      <w:bookmarkStart w:id="2" w:name="_Toc1826"/>
      <w:bookmarkStart w:id="3" w:name="_Toc4368"/>
      <w:r>
        <w:rPr>
          <w:rFonts w:ascii="黑体" w:hAnsi="黑体" w:eastAsia="黑体" w:cs="Times New Roman"/>
          <w:b w:val="0"/>
          <w:bCs/>
          <w:color w:val="auto"/>
          <w:sz w:val="32"/>
          <w:highlight w:val="none"/>
        </w:rPr>
        <w:t>一、</w:t>
      </w:r>
      <w:bookmarkEnd w:id="0"/>
      <w:r>
        <w:rPr>
          <w:rFonts w:ascii="黑体" w:hAnsi="黑体" w:eastAsia="黑体" w:cs="Times New Roman"/>
          <w:b w:val="0"/>
          <w:bCs/>
          <w:color w:val="auto"/>
          <w:sz w:val="32"/>
          <w:highlight w:val="none"/>
        </w:rPr>
        <w:t>项目介绍</w:t>
      </w:r>
      <w:bookmarkEnd w:id="1"/>
      <w:bookmarkEnd w:id="2"/>
      <w:bookmarkEnd w:id="3"/>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bookmarkStart w:id="4" w:name="_Toc14418"/>
      <w:bookmarkStart w:id="5" w:name="_Toc16185"/>
      <w:bookmarkStart w:id="6" w:name="_Toc5784"/>
      <w:r>
        <w:rPr>
          <w:rFonts w:hint="eastAsia" w:ascii="仿宋_GB2312" w:hAnsi="仿宋_GB2312" w:eastAsia="仿宋_GB2312" w:cs="仿宋_GB2312"/>
          <w:color w:val="auto"/>
          <w:sz w:val="32"/>
          <w:szCs w:val="32"/>
          <w:highlight w:val="none"/>
          <w:lang w:val="en-US" w:eastAsia="zh-CN"/>
        </w:rPr>
        <w:t>根据上级单位关于信息技术应用创新工作的指导意见，及我行信息技术应用创新工作安排，拟开展批处理调度系统全栈改造工作。</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批处理调度系统主要功能包括：对全行业务组件有批处理调度需求的应用提供统一的调度能力；展示作业调度状态；对失败的调度通过系统接口发送告警信息等。</w:t>
      </w:r>
    </w:p>
    <w:p>
      <w:pPr>
        <w:numPr>
          <w:ilvl w:val="0"/>
          <w:numId w:val="0"/>
        </w:numPr>
        <w:spacing w:line="560" w:lineRule="exact"/>
        <w:ind w:firstLine="640" w:firstLineChars="200"/>
        <w:jc w:val="both"/>
        <w:rPr>
          <w:rFonts w:hint="eastAsia" w:ascii="仿宋_GB2312" w:hAnsi="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val="en-US" w:eastAsia="zh-CN"/>
        </w:rPr>
        <w:t>项目目标包括：</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1.完成批处理调度系统自身信息技术应用创新改造及投产工作。</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批处理调度系统改造应满足我行提供的软硬件基础平台，包括但不限于服务器、操作系统、数据库、中间件等，要求支持主流国产产品，产品名录可参考中国信息安全测评中心发布的《安全可靠测评结果公布》，具体内容以我行提供的内容为准。</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3.完成改造后的批处理调度系统对我行已有软硬件基础平台的适配。包括但不限于业务系统组件、服务器、虚拟化软件、操作系统、数据库、中间件等。</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4.2026年完成系统适配实施改造并投产上线，系统上线稳定运行3个月通过验收后，提供1年的保修服务。</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5.配合完成上述系统的用户验收测试工作。</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6.完成上述系统的投产支持工作。</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7.配合完成上级管理单位的相关检查并按要求协助完成整改。</w:t>
      </w:r>
    </w:p>
    <w:p>
      <w:pPr>
        <w:pStyle w:val="4"/>
        <w:keepNext/>
        <w:keepLines/>
        <w:pageBreakBefore w:val="0"/>
        <w:widowControl w:val="0"/>
        <w:kinsoku/>
        <w:wordWrap/>
        <w:overflowPunct/>
        <w:topLinePunct w:val="0"/>
        <w:autoSpaceDE/>
        <w:autoSpaceDN/>
        <w:bidi w:val="0"/>
        <w:adjustRightInd w:val="0"/>
        <w:snapToGrid/>
        <w:spacing w:before="157" w:beforeLines="50" w:after="0" w:afterLines="0" w:line="560" w:lineRule="exact"/>
        <w:ind w:firstLine="640" w:firstLineChars="200"/>
        <w:jc w:val="left"/>
        <w:textAlignment w:val="baseline"/>
        <w:outlineLvl w:val="0"/>
        <w:rPr>
          <w:rFonts w:ascii="黑体" w:hAnsi="黑体" w:eastAsia="黑体" w:cs="Times New Roman"/>
          <w:b w:val="0"/>
          <w:bCs/>
          <w:color w:val="auto"/>
          <w:sz w:val="32"/>
          <w:highlight w:val="none"/>
        </w:rPr>
      </w:pPr>
      <w:bookmarkStart w:id="7" w:name="_Toc16566"/>
      <w:r>
        <w:rPr>
          <w:rFonts w:ascii="黑体" w:hAnsi="黑体" w:eastAsia="黑体" w:cs="Times New Roman"/>
          <w:b w:val="0"/>
          <w:bCs/>
          <w:color w:val="auto"/>
          <w:sz w:val="32"/>
          <w:highlight w:val="none"/>
        </w:rPr>
        <w:t>二、</w:t>
      </w:r>
      <w:bookmarkEnd w:id="4"/>
      <w:r>
        <w:rPr>
          <w:rFonts w:ascii="黑体" w:hAnsi="黑体" w:eastAsia="黑体" w:cs="Times New Roman"/>
          <w:b w:val="0"/>
          <w:bCs/>
          <w:color w:val="auto"/>
          <w:sz w:val="32"/>
          <w:highlight w:val="none"/>
        </w:rPr>
        <w:t>服务一览表</w:t>
      </w:r>
      <w:bookmarkEnd w:id="5"/>
      <w:bookmarkEnd w:id="6"/>
      <w:bookmarkEnd w:id="7"/>
    </w:p>
    <w:tbl>
      <w:tblPr>
        <w:tblStyle w:val="21"/>
        <w:tblW w:w="94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6"/>
        <w:gridCol w:w="1377"/>
        <w:gridCol w:w="6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76"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Lines="0" w:afterLines="0" w:line="560" w:lineRule="exact"/>
              <w:jc w:val="center"/>
              <w:rPr>
                <w:rFonts w:ascii="黑体" w:hAnsi="黑体" w:eastAsia="黑体" w:cs="黑体"/>
                <w:b/>
                <w:bCs/>
                <w:sz w:val="24"/>
              </w:rPr>
            </w:pPr>
            <w:bookmarkStart w:id="8" w:name="_Toc628"/>
            <w:bookmarkStart w:id="9" w:name="_Toc12222"/>
            <w:r>
              <w:rPr>
                <w:rFonts w:hint="eastAsia" w:ascii="黑体" w:hAnsi="黑体" w:eastAsia="黑体" w:cs="黑体"/>
                <w:b/>
                <w:bCs/>
                <w:sz w:val="24"/>
              </w:rPr>
              <w:t>序号</w:t>
            </w:r>
          </w:p>
        </w:tc>
        <w:tc>
          <w:tcPr>
            <w:tcW w:w="1377"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Lines="0" w:afterLines="0" w:line="560" w:lineRule="exact"/>
              <w:jc w:val="center"/>
              <w:rPr>
                <w:rFonts w:ascii="黑体" w:hAnsi="黑体" w:eastAsia="黑体" w:cs="黑体"/>
                <w:b/>
                <w:bCs/>
                <w:sz w:val="24"/>
              </w:rPr>
            </w:pPr>
            <w:r>
              <w:rPr>
                <w:rFonts w:hint="eastAsia" w:ascii="黑体" w:hAnsi="黑体" w:eastAsia="黑体" w:cs="黑体"/>
                <w:b/>
                <w:bCs/>
                <w:sz w:val="24"/>
              </w:rPr>
              <w:t>服务内容</w:t>
            </w:r>
          </w:p>
        </w:tc>
        <w:tc>
          <w:tcPr>
            <w:tcW w:w="6950"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Lines="0" w:afterLines="0" w:line="560" w:lineRule="exact"/>
              <w:jc w:val="center"/>
              <w:rPr>
                <w:rFonts w:ascii="黑体" w:hAnsi="黑体" w:eastAsia="黑体" w:cs="黑体"/>
                <w:b/>
                <w:bCs/>
                <w:sz w:val="24"/>
              </w:rPr>
            </w:pPr>
            <w:r>
              <w:rPr>
                <w:rFonts w:hint="eastAsia" w:ascii="黑体" w:hAnsi="黑体" w:eastAsia="黑体" w:cs="黑体"/>
                <w:b/>
                <w:bCs/>
                <w:sz w:val="24"/>
              </w:rPr>
              <w:t>主要工作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left"/>
              <w:rPr>
                <w:rFonts w:ascii="黑体" w:hAnsi="黑体" w:eastAsia="黑体" w:cs="黑体"/>
                <w:b/>
                <w:bCs/>
                <w:sz w:val="24"/>
              </w:rPr>
            </w:pPr>
          </w:p>
        </w:tc>
        <w:tc>
          <w:tcPr>
            <w:tcW w:w="137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left"/>
              <w:rPr>
                <w:rFonts w:ascii="黑体" w:hAnsi="黑体" w:eastAsia="黑体" w:cs="黑体"/>
                <w:b/>
                <w:bCs/>
                <w:sz w:val="24"/>
              </w:rPr>
            </w:pPr>
          </w:p>
        </w:tc>
        <w:tc>
          <w:tcPr>
            <w:tcW w:w="69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left"/>
              <w:rPr>
                <w:rFonts w:ascii="黑体" w:hAnsi="黑体" w:eastAsia="黑体" w:cs="黑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1076"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beforeLines="0" w:afterLines="0" w:line="560" w:lineRule="exact"/>
              <w:jc w:val="center"/>
              <w:rPr>
                <w:rFonts w:hint="eastAsia" w:ascii="仿宋_GB2312" w:hAnsi="仿宋_GB2312" w:cs="仿宋_GB2312"/>
                <w:sz w:val="24"/>
              </w:rPr>
            </w:pPr>
          </w:p>
        </w:tc>
        <w:tc>
          <w:tcPr>
            <w:tcW w:w="1377"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center"/>
              <w:rPr>
                <w:rFonts w:ascii="仿宋_GB2312" w:hAnsi="仿宋_GB2312" w:cs="仿宋_GB2312"/>
                <w:sz w:val="24"/>
              </w:rPr>
            </w:pPr>
            <w:r>
              <w:rPr>
                <w:rFonts w:hint="eastAsia" w:ascii="仿宋_GB2312" w:hAnsi="仿宋_GB2312" w:cs="仿宋_GB2312"/>
                <w:sz w:val="24"/>
              </w:rPr>
              <w:t>项目管理</w:t>
            </w:r>
          </w:p>
        </w:tc>
        <w:tc>
          <w:tcPr>
            <w:tcW w:w="6950" w:type="dxa"/>
            <w:tcBorders>
              <w:top w:val="single" w:color="auto" w:sz="4" w:space="0"/>
              <w:left w:val="single" w:color="auto" w:sz="4" w:space="0"/>
              <w:bottom w:val="single" w:color="auto" w:sz="4" w:space="0"/>
              <w:right w:val="single" w:color="auto" w:sz="4" w:space="0"/>
            </w:tcBorders>
            <w:noWrap w:val="0"/>
            <w:vAlign w:val="center"/>
          </w:tcPr>
          <w:p>
            <w:pPr>
              <w:pStyle w:val="9"/>
              <w:widowControl/>
              <w:spacing w:beforeLines="0" w:after="0" w:afterLines="0" w:line="560" w:lineRule="exact"/>
              <w:jc w:val="left"/>
              <w:rPr>
                <w:rFonts w:ascii="仿宋_GB2312" w:hAnsi="仿宋_GB2312" w:cs="仿宋_GB2312"/>
                <w:sz w:val="24"/>
              </w:rPr>
            </w:pPr>
            <w:r>
              <w:rPr>
                <w:rFonts w:hint="eastAsia" w:ascii="仿宋_GB2312" w:hAnsi="仿宋_GB2312" w:cs="仿宋_GB2312"/>
                <w:sz w:val="24"/>
                <w:szCs w:val="22"/>
              </w:rPr>
              <w:t>配合我行开展以下工作：制定项目计划，监督和控制项目进度；负责管理安排项目资源；开展实施项目配置和交付管理以及项目质量管理；开展项目问题管理和项目风险管理；按照要求定期进行工作报告等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076"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beforeLines="0" w:afterLines="0" w:line="560" w:lineRule="exact"/>
              <w:jc w:val="center"/>
              <w:rPr>
                <w:rFonts w:hint="eastAsia" w:ascii="仿宋_GB2312" w:hAnsi="仿宋_GB2312" w:cs="仿宋_GB2312"/>
                <w:sz w:val="24"/>
              </w:rPr>
            </w:pPr>
          </w:p>
        </w:tc>
        <w:tc>
          <w:tcPr>
            <w:tcW w:w="1377"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center"/>
              <w:rPr>
                <w:rFonts w:ascii="仿宋_GB2312" w:hAnsi="仿宋_GB2312" w:cs="仿宋_GB2312"/>
                <w:sz w:val="24"/>
              </w:rPr>
            </w:pPr>
            <w:r>
              <w:rPr>
                <w:rFonts w:hint="eastAsia" w:ascii="仿宋_GB2312" w:hAnsi="仿宋_GB2312" w:cs="仿宋_GB2312"/>
                <w:sz w:val="24"/>
              </w:rPr>
              <w:t>设  计</w:t>
            </w:r>
          </w:p>
        </w:tc>
        <w:tc>
          <w:tcPr>
            <w:tcW w:w="6950"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rPr>
                <w:rFonts w:ascii="仿宋_GB2312" w:hAnsi="仿宋_GB2312" w:cs="仿宋_GB2312"/>
                <w:sz w:val="24"/>
              </w:rPr>
            </w:pPr>
            <w:r>
              <w:rPr>
                <w:rFonts w:hint="eastAsia" w:ascii="仿宋_GB2312" w:hAnsi="仿宋_GB2312" w:eastAsia="仿宋_GB2312" w:cs="仿宋_GB2312"/>
                <w:sz w:val="24"/>
                <w:lang w:val="en-US" w:eastAsia="zh-CN"/>
              </w:rPr>
              <w:t>编写项目架构方案说明书</w:t>
            </w:r>
            <w:r>
              <w:rPr>
                <w:rFonts w:hint="eastAsia" w:ascii="仿宋_GB2312" w:hAnsi="仿宋_GB2312" w:cs="仿宋_GB2312"/>
                <w:sz w:val="24"/>
                <w:lang w:val="en-US" w:eastAsia="zh-CN"/>
              </w:rPr>
              <w:t>，</w:t>
            </w:r>
            <w:r>
              <w:rPr>
                <w:rFonts w:hint="eastAsia" w:ascii="仿宋_GB2312" w:hAnsi="仿宋_GB2312" w:cs="仿宋_GB2312"/>
                <w:sz w:val="24"/>
              </w:rPr>
              <w:t>完成项目整体改造方案，完成相关物理子系统的概要设计、详细设计等相关工作，形成相应设计说明书，并根据适配开发特点制定面向信息技术应用创新的开发工艺。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076"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beforeLines="0" w:afterLines="0" w:line="560" w:lineRule="exact"/>
              <w:jc w:val="center"/>
              <w:rPr>
                <w:rFonts w:hint="eastAsia" w:ascii="仿宋_GB2312" w:hAnsi="仿宋_GB2312" w:cs="仿宋_GB2312"/>
                <w:sz w:val="24"/>
              </w:rPr>
            </w:pPr>
          </w:p>
        </w:tc>
        <w:tc>
          <w:tcPr>
            <w:tcW w:w="1377"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center"/>
              <w:rPr>
                <w:rFonts w:ascii="仿宋_GB2312" w:hAnsi="仿宋_GB2312" w:cs="仿宋_GB2312"/>
                <w:sz w:val="24"/>
              </w:rPr>
            </w:pPr>
            <w:r>
              <w:rPr>
                <w:rFonts w:hint="eastAsia" w:ascii="仿宋_GB2312" w:hAnsi="仿宋_GB2312" w:cs="仿宋_GB2312"/>
                <w:sz w:val="24"/>
              </w:rPr>
              <w:t>开  发</w:t>
            </w:r>
          </w:p>
        </w:tc>
        <w:tc>
          <w:tcPr>
            <w:tcW w:w="6950"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rPr>
                <w:rFonts w:ascii="仿宋_GB2312" w:hAnsi="仿宋_GB2312" w:cs="仿宋_GB2312"/>
                <w:sz w:val="24"/>
              </w:rPr>
            </w:pPr>
            <w:r>
              <w:rPr>
                <w:rFonts w:hint="eastAsia" w:ascii="仿宋_GB2312" w:hAnsi="仿宋_GB2312" w:cs="仿宋_GB2312"/>
                <w:sz w:val="24"/>
              </w:rPr>
              <w:t>根据概要设计和详细设计按计划完成开发，实现设计功能，完成单元测试等工作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1076"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beforeLines="0" w:afterLines="0" w:line="560" w:lineRule="exact"/>
              <w:jc w:val="center"/>
              <w:rPr>
                <w:rFonts w:hint="eastAsia" w:ascii="仿宋_GB2312" w:hAnsi="仿宋_GB2312" w:cs="仿宋_GB2312"/>
                <w:sz w:val="24"/>
              </w:rPr>
            </w:pPr>
          </w:p>
        </w:tc>
        <w:tc>
          <w:tcPr>
            <w:tcW w:w="1377"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center"/>
              <w:rPr>
                <w:rFonts w:ascii="仿宋_GB2312" w:hAnsi="仿宋_GB2312" w:cs="仿宋_GB2312"/>
                <w:sz w:val="24"/>
              </w:rPr>
            </w:pPr>
            <w:r>
              <w:rPr>
                <w:rFonts w:hint="eastAsia" w:ascii="仿宋_GB2312" w:hAnsi="仿宋_GB2312" w:cs="仿宋_GB2312"/>
                <w:sz w:val="24"/>
              </w:rPr>
              <w:t>测  试</w:t>
            </w:r>
          </w:p>
        </w:tc>
        <w:tc>
          <w:tcPr>
            <w:tcW w:w="6950"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rPr>
                <w:rFonts w:ascii="仿宋_GB2312" w:hAnsi="仿宋_GB2312" w:cs="仿宋_GB2312"/>
                <w:sz w:val="24"/>
              </w:rPr>
            </w:pPr>
            <w:r>
              <w:rPr>
                <w:rFonts w:hint="eastAsia" w:ascii="仿宋_GB2312" w:hAnsi="仿宋_GB2312" w:cs="仿宋_GB2312"/>
                <w:sz w:val="24"/>
              </w:rPr>
              <w:t>开展产品、系统集成等测试工作，包括测试计划、准备和执行，完成测试案例、脚本及数据的编制和准备，及时组织系统修补和必要的回归测试，形成测试报告；协助开展用户验收测试相关工作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1076"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beforeLines="0" w:afterLines="0" w:line="560" w:lineRule="exact"/>
              <w:jc w:val="center"/>
              <w:rPr>
                <w:rFonts w:hint="eastAsia" w:ascii="仿宋_GB2312" w:hAnsi="仿宋_GB2312" w:cs="仿宋_GB2312"/>
                <w:sz w:val="24"/>
              </w:rPr>
            </w:pPr>
          </w:p>
        </w:tc>
        <w:tc>
          <w:tcPr>
            <w:tcW w:w="1377"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center"/>
              <w:rPr>
                <w:rFonts w:ascii="仿宋_GB2312" w:hAnsi="仿宋_GB2312" w:cs="仿宋_GB2312"/>
                <w:sz w:val="24"/>
              </w:rPr>
            </w:pPr>
            <w:r>
              <w:rPr>
                <w:rFonts w:hint="eastAsia" w:ascii="仿宋_GB2312" w:hAnsi="仿宋_GB2312" w:cs="仿宋_GB2312"/>
                <w:sz w:val="24"/>
              </w:rPr>
              <w:t>投产支持</w:t>
            </w:r>
          </w:p>
        </w:tc>
        <w:tc>
          <w:tcPr>
            <w:tcW w:w="6950"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rPr>
                <w:rFonts w:ascii="仿宋_GB2312" w:hAnsi="仿宋_GB2312" w:cs="仿宋_GB2312"/>
                <w:sz w:val="24"/>
              </w:rPr>
            </w:pPr>
            <w:r>
              <w:rPr>
                <w:rFonts w:hint="eastAsia" w:ascii="仿宋_GB2312" w:hAnsi="仿宋_GB2312" w:cs="仿宋_GB2312"/>
                <w:sz w:val="24"/>
              </w:rPr>
              <w:t>为系统投产提供必要支持，包括但不限于按需开展投产演练；提供投产操作手册、应急方案等必要投产文档；提供数据迁移方案和支持服务；根据投产内容调整用户手册、运维手册、应急预案等相关文档；提供投产日技术支持；提供投产总结支持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1076"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beforeLines="0" w:afterLines="0" w:line="560" w:lineRule="exact"/>
              <w:jc w:val="center"/>
              <w:rPr>
                <w:rFonts w:hint="eastAsia" w:ascii="仿宋_GB2312" w:hAnsi="仿宋_GB2312" w:cs="仿宋_GB2312"/>
                <w:sz w:val="24"/>
              </w:rPr>
            </w:pPr>
          </w:p>
        </w:tc>
        <w:tc>
          <w:tcPr>
            <w:tcW w:w="1377"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center"/>
              <w:rPr>
                <w:rFonts w:ascii="仿宋_GB2312" w:hAnsi="仿宋_GB2312" w:cs="仿宋_GB2312"/>
                <w:sz w:val="24"/>
              </w:rPr>
            </w:pPr>
            <w:r>
              <w:rPr>
                <w:rFonts w:hint="eastAsia" w:ascii="仿宋_GB2312" w:hAnsi="仿宋_GB2312" w:cs="仿宋_GB2312"/>
                <w:sz w:val="24"/>
              </w:rPr>
              <w:t>运维支持</w:t>
            </w:r>
          </w:p>
        </w:tc>
        <w:tc>
          <w:tcPr>
            <w:tcW w:w="6950"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rPr>
                <w:rFonts w:ascii="仿宋_GB2312" w:hAnsi="仿宋_GB2312" w:cs="仿宋_GB2312"/>
                <w:sz w:val="24"/>
              </w:rPr>
            </w:pPr>
            <w:r>
              <w:rPr>
                <w:rFonts w:hint="eastAsia" w:ascii="仿宋_GB2312" w:hAnsi="仿宋_GB2312" w:cs="仿宋_GB2312"/>
                <w:sz w:val="24"/>
              </w:rPr>
              <w:t>为系统运维提供必要支持，包括但不限于开展系统纳入监控工作支持工作等，满足我行运维管理要求；开展对现场人员支持及运维培训等工作。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1076"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beforeLines="0" w:afterLines="0" w:line="560" w:lineRule="exact"/>
              <w:jc w:val="center"/>
              <w:rPr>
                <w:rFonts w:hint="eastAsia" w:ascii="仿宋_GB2312" w:hAnsi="仿宋_GB2312" w:cs="仿宋_GB2312"/>
                <w:sz w:val="24"/>
              </w:rPr>
            </w:pPr>
          </w:p>
        </w:tc>
        <w:tc>
          <w:tcPr>
            <w:tcW w:w="1377"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jc w:val="center"/>
              <w:rPr>
                <w:rFonts w:ascii="仿宋_GB2312" w:hAnsi="仿宋_GB2312" w:cs="仿宋_GB2312"/>
                <w:sz w:val="24"/>
              </w:rPr>
            </w:pPr>
            <w:r>
              <w:rPr>
                <w:rFonts w:hint="eastAsia" w:ascii="仿宋_GB2312" w:hAnsi="仿宋_GB2312" w:cs="仿宋_GB2312"/>
                <w:sz w:val="24"/>
              </w:rPr>
              <w:t>培  训</w:t>
            </w:r>
          </w:p>
        </w:tc>
        <w:tc>
          <w:tcPr>
            <w:tcW w:w="6950" w:type="dxa"/>
            <w:tcBorders>
              <w:top w:val="single" w:color="auto" w:sz="4" w:space="0"/>
              <w:left w:val="single" w:color="auto" w:sz="4" w:space="0"/>
              <w:bottom w:val="single" w:color="auto" w:sz="4" w:space="0"/>
              <w:right w:val="single" w:color="auto" w:sz="4" w:space="0"/>
            </w:tcBorders>
            <w:noWrap w:val="0"/>
            <w:vAlign w:val="center"/>
          </w:tcPr>
          <w:p>
            <w:pPr>
              <w:widowControl/>
              <w:spacing w:beforeLines="0" w:afterLines="0" w:line="560" w:lineRule="exact"/>
              <w:rPr>
                <w:rFonts w:hint="eastAsia" w:ascii="仿宋_GB2312" w:hAnsi="仿宋_GB2312" w:cs="仿宋_GB2312"/>
              </w:rPr>
            </w:pPr>
            <w:r>
              <w:rPr>
                <w:rFonts w:hint="eastAsia" w:ascii="仿宋_GB2312" w:hAnsi="仿宋_GB2312" w:cs="仿宋_GB2312"/>
                <w:sz w:val="24"/>
              </w:rPr>
              <w:t>通过必要培训使相关人员熟悉系统内容和功能，以及使用权限划分与操作方式，包括系统架构、部署运维、参数配置等内容；提供完备的培训材料。</w:t>
            </w:r>
          </w:p>
        </w:tc>
      </w:tr>
    </w:tbl>
    <w:p>
      <w:pPr>
        <w:pStyle w:val="4"/>
        <w:keepNext/>
        <w:keepLines/>
        <w:pageBreakBefore w:val="0"/>
        <w:widowControl w:val="0"/>
        <w:kinsoku/>
        <w:wordWrap/>
        <w:overflowPunct/>
        <w:topLinePunct w:val="0"/>
        <w:autoSpaceDE/>
        <w:autoSpaceDN/>
        <w:bidi w:val="0"/>
        <w:adjustRightInd w:val="0"/>
        <w:snapToGrid/>
        <w:spacing w:before="157" w:beforeLines="50" w:after="0" w:afterLines="0" w:line="560" w:lineRule="exact"/>
        <w:ind w:firstLine="640" w:firstLineChars="200"/>
        <w:jc w:val="left"/>
        <w:textAlignment w:val="baseline"/>
        <w:outlineLvl w:val="0"/>
        <w:rPr>
          <w:rFonts w:ascii="黑体" w:hAnsi="黑体" w:eastAsia="黑体" w:cs="Times New Roman"/>
          <w:b w:val="0"/>
          <w:bCs/>
          <w:sz w:val="32"/>
        </w:rPr>
      </w:pPr>
      <w:bookmarkStart w:id="10" w:name="_Toc14385"/>
      <w:r>
        <w:rPr>
          <w:rFonts w:hint="default" w:ascii="黑体" w:hAnsi="黑体" w:eastAsia="黑体" w:cs="Times New Roman"/>
          <w:b w:val="0"/>
          <w:bCs/>
          <w:sz w:val="32"/>
          <w:lang w:val="en-US" w:eastAsia="zh-CN"/>
        </w:rPr>
        <w:t>三</w:t>
      </w:r>
      <w:r>
        <w:rPr>
          <w:rFonts w:ascii="黑体" w:hAnsi="黑体" w:eastAsia="黑体" w:cs="Times New Roman"/>
          <w:b w:val="0"/>
          <w:bCs/>
          <w:sz w:val="32"/>
        </w:rPr>
        <w:t>、</w:t>
      </w:r>
      <w:r>
        <w:rPr>
          <w:rFonts w:hint="eastAsia" w:ascii="黑体" w:hAnsi="黑体" w:eastAsia="黑体" w:cs="Times New Roman"/>
          <w:b w:val="0"/>
          <w:bCs/>
          <w:sz w:val="32"/>
          <w:lang w:val="en-US" w:eastAsia="zh-CN"/>
        </w:rPr>
        <w:t>业务</w:t>
      </w:r>
      <w:r>
        <w:rPr>
          <w:rFonts w:ascii="黑体" w:hAnsi="黑体" w:eastAsia="黑体" w:cs="Times New Roman"/>
          <w:b w:val="0"/>
          <w:bCs/>
          <w:sz w:val="32"/>
        </w:rPr>
        <w:t>要求</w:t>
      </w:r>
      <w:bookmarkEnd w:id="10"/>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本项目实施信息技术应用创新适配改造的同时还需满足以下要求：</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（一）在完成信息技术应用创新改造后，</w:t>
      </w:r>
      <w:r>
        <w:rPr>
          <w:rFonts w:hint="eastAsia" w:ascii="仿宋_GB2312" w:hAnsi="仿宋_GB2312" w:cs="仿宋_GB2312"/>
          <w:color w:val="auto"/>
          <w:sz w:val="32"/>
          <w:szCs w:val="32"/>
          <w:highlight w:val="none"/>
          <w:lang w:val="en-US" w:eastAsia="zh-CN"/>
        </w:rPr>
        <w:t>批处理调度系统</w:t>
      </w:r>
      <w:r>
        <w:rPr>
          <w:rFonts w:hint="eastAsia" w:ascii="仿宋_GB2312" w:hAnsi="仿宋_GB2312" w:eastAsia="仿宋_GB2312" w:cs="仿宋_GB2312"/>
          <w:color w:val="auto"/>
          <w:sz w:val="32"/>
          <w:szCs w:val="32"/>
          <w:highlight w:val="none"/>
          <w:lang w:val="en-US" w:eastAsia="zh-CN"/>
        </w:rPr>
        <w:t>原业务功能不受影响。</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（二）在完成信息技术应用创新改造后，</w:t>
      </w:r>
      <w:r>
        <w:rPr>
          <w:rFonts w:hint="eastAsia" w:ascii="仿宋_GB2312" w:hAnsi="仿宋_GB2312" w:cs="仿宋_GB2312"/>
          <w:color w:val="auto"/>
          <w:sz w:val="32"/>
          <w:szCs w:val="32"/>
          <w:highlight w:val="none"/>
          <w:lang w:val="en-US" w:eastAsia="zh-CN"/>
        </w:rPr>
        <w:t>批处理调度系统</w:t>
      </w:r>
      <w:r>
        <w:rPr>
          <w:rFonts w:hint="eastAsia" w:ascii="仿宋_GB2312" w:hAnsi="仿宋_GB2312" w:eastAsia="仿宋_GB2312" w:cs="仿宋_GB2312"/>
          <w:color w:val="auto"/>
          <w:sz w:val="32"/>
          <w:szCs w:val="32"/>
          <w:highlight w:val="none"/>
          <w:lang w:val="en-US" w:eastAsia="zh-CN"/>
        </w:rPr>
        <w:t>可适配我行在用业务系统，及后续增加的相关业务系统。</w:t>
      </w:r>
    </w:p>
    <w:p>
      <w:pPr>
        <w:pStyle w:val="4"/>
        <w:keepNext/>
        <w:keepLines/>
        <w:pageBreakBefore w:val="0"/>
        <w:widowControl w:val="0"/>
        <w:kinsoku/>
        <w:wordWrap/>
        <w:overflowPunct/>
        <w:topLinePunct w:val="0"/>
        <w:autoSpaceDE/>
        <w:autoSpaceDN/>
        <w:bidi w:val="0"/>
        <w:adjustRightInd w:val="0"/>
        <w:snapToGrid/>
        <w:spacing w:before="157" w:beforeLines="50" w:after="0" w:afterLines="0" w:line="560" w:lineRule="exact"/>
        <w:ind w:firstLine="640" w:firstLineChars="200"/>
        <w:jc w:val="left"/>
        <w:textAlignment w:val="baseline"/>
        <w:outlineLvl w:val="0"/>
        <w:rPr>
          <w:rFonts w:ascii="黑体" w:hAnsi="黑体" w:eastAsia="黑体" w:cs="Times New Roman"/>
          <w:b w:val="0"/>
          <w:bCs/>
          <w:color w:val="auto"/>
          <w:sz w:val="32"/>
          <w:highlight w:val="none"/>
        </w:rPr>
      </w:pPr>
      <w:bookmarkStart w:id="11" w:name="_Toc19623"/>
      <w:r>
        <w:rPr>
          <w:rFonts w:hint="eastAsia" w:ascii="黑体" w:hAnsi="黑体" w:eastAsia="黑体" w:cs="Times New Roman"/>
          <w:b w:val="0"/>
          <w:bCs/>
          <w:sz w:val="32"/>
          <w:lang w:val="en-US" w:eastAsia="zh-CN"/>
        </w:rPr>
        <w:t>四</w:t>
      </w:r>
      <w:r>
        <w:rPr>
          <w:rFonts w:ascii="黑体" w:hAnsi="黑体" w:eastAsia="黑体" w:cs="Times New Roman"/>
          <w:b w:val="0"/>
          <w:bCs/>
          <w:color w:val="auto"/>
          <w:sz w:val="32"/>
          <w:highlight w:val="none"/>
        </w:rPr>
        <w:t>、</w:t>
      </w:r>
      <w:r>
        <w:rPr>
          <w:rFonts w:hint="default" w:ascii="黑体" w:hAnsi="黑体" w:eastAsia="黑体" w:cs="Times New Roman"/>
          <w:b w:val="0"/>
          <w:bCs/>
          <w:color w:val="auto"/>
          <w:sz w:val="32"/>
          <w:highlight w:val="none"/>
          <w:lang w:val="en-US" w:eastAsia="zh-CN"/>
        </w:rPr>
        <w:t>技术</w:t>
      </w:r>
      <w:r>
        <w:rPr>
          <w:rFonts w:ascii="黑体" w:hAnsi="黑体" w:eastAsia="黑体" w:cs="Times New Roman"/>
          <w:b w:val="0"/>
          <w:bCs/>
          <w:color w:val="auto"/>
          <w:sz w:val="32"/>
          <w:highlight w:val="none"/>
        </w:rPr>
        <w:t>要求</w:t>
      </w:r>
      <w:bookmarkEnd w:id="8"/>
      <w:bookmarkEnd w:id="9"/>
      <w:bookmarkEnd w:id="11"/>
    </w:p>
    <w:p>
      <w:pPr>
        <w:adjustRightInd w:val="0"/>
        <w:spacing w:beforeLines="0" w:afterLines="0" w:line="560" w:lineRule="exact"/>
        <w:ind w:firstLine="640" w:firstLineChars="200"/>
        <w:jc w:val="left"/>
        <w:textAlignment w:val="baseline"/>
      </w:pPr>
      <w:bookmarkStart w:id="12" w:name="_Toc697"/>
      <w:bookmarkStart w:id="13" w:name="_Toc31595"/>
      <w:bookmarkStart w:id="14" w:name="_Toc11313"/>
      <w:bookmarkStart w:id="15" w:name="_Toc17775"/>
      <w:bookmarkStart w:id="16" w:name="_Toc26938"/>
      <w:bookmarkStart w:id="17" w:name="_Toc11995"/>
      <w:bookmarkStart w:id="18" w:name="_Toc13796"/>
      <w:bookmarkStart w:id="19" w:name="_Toc27488"/>
      <w:bookmarkStart w:id="20" w:name="_Toc22680"/>
      <w:bookmarkStart w:id="21" w:name="_Toc30172"/>
      <w:bookmarkStart w:id="22" w:name="_Toc5908"/>
      <w:bookmarkStart w:id="23" w:name="_Toc29578"/>
      <w:bookmarkStart w:id="24" w:name="_Toc1016637340"/>
      <w:bookmarkStart w:id="25" w:name="_Toc14678"/>
      <w:bookmarkStart w:id="26" w:name="_Toc16449"/>
      <w:bookmarkStart w:id="27" w:name="_Toc25611"/>
      <w:bookmarkStart w:id="28" w:name="_Toc26244"/>
      <w:bookmarkStart w:id="29" w:name="_Toc28298"/>
      <w:bookmarkStart w:id="30" w:name="_Toc18319"/>
      <w:bookmarkStart w:id="31" w:name="_Toc22256"/>
      <w:bookmarkStart w:id="32" w:name="_Toc8882"/>
      <w:bookmarkStart w:id="33" w:name="_Toc1603"/>
      <w:bookmarkStart w:id="34" w:name="_Toc18403"/>
      <w:r>
        <w:rPr>
          <w:rFonts w:hint="eastAsia" w:ascii="仿宋_GB2312" w:hAnsi="仿宋_GB2312" w:eastAsia="仿宋_GB2312" w:cs="仿宋_GB2312"/>
          <w:color w:val="auto"/>
          <w:sz w:val="32"/>
          <w:szCs w:val="32"/>
          <w:highlight w:val="none"/>
          <w:lang w:val="en-US" w:eastAsia="zh-CN"/>
        </w:rPr>
        <w:t>系统改造应满足我行提供的软硬件基础平台，要求支持主流国产产品，产品名录可参考中国信息安全测评中心发布的《安全可靠测评结</w:t>
      </w:r>
      <w:r>
        <w:rPr>
          <w:rFonts w:hint="eastAsia" w:ascii="仿宋_GB2312" w:hAnsi="宋体" w:eastAsia="仿宋_GB2312" w:cs="宋体"/>
          <w:iCs/>
          <w:kern w:val="0"/>
          <w:sz w:val="32"/>
          <w:szCs w:val="32"/>
          <w:highlight w:val="none"/>
          <w:lang w:val="en-US" w:eastAsia="zh-CN"/>
        </w:rPr>
        <w:t>果公告》，具体内容以我行提供的内容为准。</w:t>
      </w:r>
    </w:p>
    <w:p>
      <w:pPr>
        <w:pStyle w:val="17"/>
        <w:numPr>
          <w:ilvl w:val="0"/>
          <w:numId w:val="4"/>
        </w:numPr>
        <w:adjustRightInd w:val="0"/>
        <w:spacing w:before="0" w:beforeLines="0" w:after="0" w:afterLines="0" w:line="560" w:lineRule="exact"/>
        <w:textAlignment w:val="baseline"/>
        <w:rPr>
          <w:rFonts w:ascii="楷体_GB2312" w:hAnsi="楷体_GB2312" w:eastAsia="楷体_GB2312" w:cs="楷体_GB2312"/>
          <w:sz w:val="32"/>
        </w:rPr>
      </w:pPr>
      <w:r>
        <w:rPr>
          <w:rFonts w:ascii="楷体_GB2312" w:hAnsi="楷体_GB2312" w:eastAsia="楷体_GB2312" w:cs="楷体_GB2312"/>
          <w:sz w:val="32"/>
        </w:rPr>
        <w:t>数据库适配</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需为关系型数据库，不采用开源软件，要求适配包括但不限于goldenDB、达梦、TDSql及GaussDB/openGauss等国内主流数据库软件。完成数据库适配改造，包括库表结构DDL改造、SQL语句调整、映射替换、重构SQL语句、重构存储过程改造等工作。</w:t>
      </w:r>
    </w:p>
    <w:p>
      <w:pPr>
        <w:pStyle w:val="17"/>
        <w:numPr>
          <w:ilvl w:val="0"/>
          <w:numId w:val="4"/>
        </w:numPr>
        <w:adjustRightInd w:val="0"/>
        <w:spacing w:before="0" w:beforeLines="0" w:after="0" w:afterLines="0" w:line="560" w:lineRule="exact"/>
        <w:textAlignment w:val="baseline"/>
        <w:rPr>
          <w:rFonts w:ascii="楷体_GB2312" w:hAnsi="楷体_GB2312" w:eastAsia="楷体_GB2312" w:cs="楷体_GB2312"/>
          <w:sz w:val="32"/>
        </w:rPr>
      </w:pPr>
      <w:r>
        <w:rPr>
          <w:rFonts w:ascii="楷体_GB2312" w:hAnsi="楷体_GB2312" w:eastAsia="楷体_GB2312" w:cs="楷体_GB2312"/>
          <w:sz w:val="32"/>
        </w:rPr>
        <w:t>中间件适配</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完成国产中间件适配改造，要求适配包括但不限于东方通、宝蓝德等国内主流中间件软件。</w:t>
      </w:r>
    </w:p>
    <w:p>
      <w:pPr>
        <w:pStyle w:val="17"/>
        <w:numPr>
          <w:ilvl w:val="0"/>
          <w:numId w:val="4"/>
        </w:numPr>
        <w:adjustRightInd w:val="0"/>
        <w:spacing w:before="0" w:beforeLines="0" w:after="0" w:afterLines="0" w:line="560" w:lineRule="exact"/>
        <w:textAlignment w:val="baseline"/>
        <w:rPr>
          <w:rFonts w:ascii="楷体_GB2312" w:hAnsi="楷体_GB2312" w:eastAsia="楷体_GB2312" w:cs="楷体_GB2312"/>
          <w:sz w:val="32"/>
        </w:rPr>
      </w:pPr>
      <w:r>
        <w:rPr>
          <w:rFonts w:ascii="楷体_GB2312" w:hAnsi="楷体_GB2312" w:eastAsia="楷体_GB2312" w:cs="楷体_GB2312"/>
          <w:sz w:val="32"/>
        </w:rPr>
        <w:t>浏览器适配</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要求兼容但不限于奇安信安全浏览器个人版和360安全浏览器个人版，同时需支持Windows操作系统终端的Chrome浏览器等。</w:t>
      </w:r>
    </w:p>
    <w:p>
      <w:pPr>
        <w:pStyle w:val="17"/>
        <w:numPr>
          <w:ilvl w:val="0"/>
          <w:numId w:val="4"/>
        </w:numPr>
        <w:adjustRightInd w:val="0"/>
        <w:spacing w:before="0" w:beforeLines="0" w:after="0" w:afterLines="0" w:line="560" w:lineRule="exact"/>
        <w:textAlignment w:val="baseline"/>
        <w:rPr>
          <w:rFonts w:ascii="楷体_GB2312" w:hAnsi="楷体_GB2312" w:eastAsia="楷体_GB2312" w:cs="楷体_GB2312"/>
          <w:sz w:val="32"/>
        </w:rPr>
      </w:pPr>
      <w:r>
        <w:rPr>
          <w:rFonts w:ascii="楷体_GB2312" w:hAnsi="楷体_GB2312" w:eastAsia="楷体_GB2312" w:cs="楷体_GB2312"/>
          <w:sz w:val="32"/>
        </w:rPr>
        <w:t>硬件及操作系统</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服务器：包括但不限于基于鲲鹏ARM、海光X86等架构的硬件产品。</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桌面终端：包括但不限于飞腾和兆芯CPU等架构终端。</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服务器操作系统：包括但不限于麒麟KYLIN Linux Advanced Server V10或统信UOS V20。</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桌面操作系统：包括但不限于银河麒麟桌面操作系统 V10 SP1 2203及以上版本和统信桌面操作系统 V20 专业版1050及以上版本。</w:t>
      </w:r>
    </w:p>
    <w:p>
      <w:pPr>
        <w:pStyle w:val="17"/>
        <w:numPr>
          <w:ilvl w:val="0"/>
          <w:numId w:val="4"/>
        </w:numPr>
        <w:adjustRightInd w:val="0"/>
        <w:spacing w:before="0" w:beforeLines="0" w:after="0" w:afterLines="0" w:line="560" w:lineRule="exact"/>
        <w:textAlignment w:val="baseline"/>
        <w:rPr>
          <w:rFonts w:ascii="楷体_GB2312" w:hAnsi="楷体_GB2312" w:eastAsia="楷体_GB2312" w:cs="楷体_GB2312"/>
          <w:sz w:val="32"/>
        </w:rPr>
      </w:pPr>
      <w:r>
        <w:rPr>
          <w:rFonts w:hint="eastAsia" w:ascii="楷体_GB2312" w:hAnsi="楷体_GB2312" w:eastAsia="楷体_GB2312" w:cs="楷体_GB2312"/>
          <w:sz w:val="32"/>
        </w:rPr>
        <w:t>具体</w:t>
      </w:r>
      <w:r>
        <w:rPr>
          <w:rFonts w:ascii="楷体_GB2312" w:hAnsi="楷体_GB2312" w:eastAsia="楷体_GB2312" w:cs="楷体_GB2312"/>
          <w:sz w:val="32"/>
        </w:rPr>
        <w:t>软硬件版本以入场后甲方实际情况为准。</w:t>
      </w:r>
    </w:p>
    <w:p>
      <w:pPr>
        <w:pStyle w:val="17"/>
        <w:numPr>
          <w:ilvl w:val="0"/>
          <w:numId w:val="4"/>
        </w:numPr>
        <w:adjustRightInd w:val="0"/>
        <w:spacing w:before="0" w:beforeLines="0" w:after="0" w:afterLines="0" w:line="560" w:lineRule="exact"/>
        <w:textAlignment w:val="baseline"/>
        <w:rPr>
          <w:rFonts w:ascii="楷体_GB2312" w:hAnsi="楷体_GB2312" w:eastAsia="楷体_GB2312" w:cs="楷体_GB2312"/>
          <w:sz w:val="32"/>
        </w:rPr>
      </w:pPr>
      <w:r>
        <w:rPr>
          <w:rFonts w:ascii="楷体_GB2312" w:hAnsi="楷体_GB2312" w:eastAsia="楷体_GB2312" w:cs="楷体_GB2312"/>
          <w:sz w:val="32"/>
        </w:rPr>
        <w:t>数据迁移</w:t>
      </w:r>
    </w:p>
    <w:p>
      <w:pPr>
        <w:numPr>
          <w:ilvl w:val="0"/>
          <w:numId w:val="0"/>
        </w:numPr>
        <w:spacing w:line="56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完成数据迁移方案制定、工具开发、数据迁移等工作。</w:t>
      </w:r>
    </w:p>
    <w:p>
      <w:pPr>
        <w:pStyle w:val="4"/>
        <w:bidi w:val="0"/>
        <w:spacing w:line="560" w:lineRule="exact"/>
        <w:ind w:left="0" w:firstLine="720"/>
        <w:jc w:val="left"/>
        <w:rPr>
          <w:rFonts w:hint="eastAsia" w:ascii="黑体" w:hAnsi="黑体" w:eastAsia="黑体" w:cs="Times New Roman"/>
          <w:b w:val="0"/>
          <w:sz w:val="32"/>
          <w:lang w:val="en-US" w:eastAsia="zh-CN"/>
        </w:rPr>
      </w:pPr>
      <w:bookmarkStart w:id="35" w:name="_Toc13314"/>
      <w:r>
        <w:rPr>
          <w:rFonts w:hint="eastAsia" w:ascii="黑体" w:hAnsi="黑体" w:eastAsia="黑体" w:cs="Times New Roman"/>
          <w:b w:val="0"/>
          <w:sz w:val="32"/>
          <w:lang w:val="en-US" w:eastAsia="zh-CN"/>
        </w:rPr>
        <w:t>五、服务要求</w:t>
      </w:r>
      <w:bookmarkEnd w:id="35"/>
    </w:p>
    <w:p>
      <w:pPr>
        <w:keepLines w:val="0"/>
        <w:pageBreakBefore w:val="0"/>
        <w:widowControl w:val="0"/>
        <w:numPr>
          <w:ilvl w:val="0"/>
          <w:numId w:val="0"/>
        </w:numPr>
        <w:kinsoku/>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bookmarkStart w:id="36" w:name="_Toc36545096"/>
      <w:r>
        <w:rPr>
          <w:rFonts w:hint="eastAsia" w:ascii="仿宋_GB2312" w:hAnsi="仿宋_GB2312" w:eastAsia="仿宋_GB2312" w:cs="仿宋_GB2312"/>
          <w:color w:val="auto"/>
          <w:sz w:val="32"/>
          <w:szCs w:val="32"/>
          <w:lang w:val="en-US" w:eastAsia="zh-CN"/>
        </w:rPr>
        <w:t>供应商应</w:t>
      </w:r>
      <w:r>
        <w:rPr>
          <w:rFonts w:hint="eastAsia" w:ascii="仿宋_GB2312" w:hAnsi="仿宋_GB2312" w:cs="仿宋_GB2312"/>
          <w:color w:val="auto"/>
          <w:sz w:val="32"/>
          <w:szCs w:val="32"/>
          <w:lang w:val="en-US" w:eastAsia="zh-CN"/>
        </w:rPr>
        <w:t>为产品原厂商或</w:t>
      </w:r>
      <w:r>
        <w:rPr>
          <w:rFonts w:hint="eastAsia" w:ascii="仿宋_GB2312" w:hAnsi="仿宋_GB2312" w:cs="仿宋_GB2312"/>
          <w:color w:val="auto"/>
          <w:kern w:val="2"/>
          <w:sz w:val="32"/>
          <w:szCs w:val="32"/>
          <w:highlight w:val="none"/>
          <w:lang w:val="en-US" w:eastAsia="zh-CN" w:bidi="ar-SA"/>
        </w:rPr>
        <w:t>或原厂商对</w:t>
      </w:r>
      <w:r>
        <w:rPr>
          <w:rFonts w:hint="eastAsia" w:ascii="仿宋_GB2312" w:hAnsi="仿宋_GB2312" w:eastAsia="仿宋_GB2312" w:cs="仿宋_GB2312"/>
          <w:color w:val="auto"/>
          <w:kern w:val="2"/>
          <w:sz w:val="32"/>
          <w:szCs w:val="32"/>
          <w:highlight w:val="none"/>
          <w:lang w:val="en-US" w:eastAsia="zh-CN" w:bidi="ar-SA"/>
        </w:rPr>
        <w:t>该产品的授权经销商</w:t>
      </w:r>
      <w:r>
        <w:rPr>
          <w:rFonts w:hint="eastAsia" w:ascii="仿宋_GB2312" w:hAnsi="仿宋_GB2312" w:cs="仿宋_GB2312"/>
          <w:color w:val="auto"/>
          <w:kern w:val="2"/>
          <w:sz w:val="32"/>
          <w:szCs w:val="32"/>
          <w:highlight w:val="none"/>
          <w:lang w:val="en-US" w:eastAsia="zh-CN" w:bidi="ar-SA"/>
        </w:rPr>
        <w:t>并</w:t>
      </w:r>
      <w:r>
        <w:rPr>
          <w:rFonts w:hint="eastAsia" w:ascii="仿宋_GB2312" w:hAnsi="仿宋_GB2312" w:eastAsia="仿宋_GB2312" w:cs="仿宋_GB2312"/>
          <w:color w:val="auto"/>
          <w:kern w:val="2"/>
          <w:sz w:val="32"/>
          <w:szCs w:val="32"/>
          <w:highlight w:val="none"/>
          <w:lang w:val="en-US" w:eastAsia="zh-CN" w:bidi="ar-SA"/>
        </w:rPr>
        <w:t>有原厂商对</w:t>
      </w:r>
      <w:r>
        <w:rPr>
          <w:rFonts w:hint="eastAsia" w:ascii="仿宋_GB2312" w:hAnsi="仿宋_GB2312" w:cs="仿宋_GB2312"/>
          <w:color w:val="auto"/>
          <w:kern w:val="2"/>
          <w:sz w:val="32"/>
          <w:szCs w:val="32"/>
          <w:highlight w:val="none"/>
          <w:lang w:val="en-US" w:eastAsia="zh-CN" w:bidi="ar-SA"/>
        </w:rPr>
        <w:t>此次项目</w:t>
      </w:r>
      <w:r>
        <w:rPr>
          <w:rFonts w:hint="eastAsia" w:ascii="仿宋_GB2312" w:hAnsi="仿宋_GB2312" w:eastAsia="仿宋_GB2312" w:cs="仿宋_GB2312"/>
          <w:color w:val="auto"/>
          <w:kern w:val="2"/>
          <w:sz w:val="32"/>
          <w:szCs w:val="32"/>
          <w:highlight w:val="none"/>
          <w:lang w:val="en-US" w:eastAsia="zh-CN" w:bidi="ar-SA"/>
        </w:rPr>
        <w:t>的书面授权。（第三方授权有关信息应明确告知</w:t>
      </w:r>
      <w:r>
        <w:rPr>
          <w:rFonts w:hint="eastAsia" w:ascii="仿宋_GB2312" w:hAnsi="仿宋_GB2312" w:cs="仿宋_GB2312"/>
          <w:color w:val="auto"/>
          <w:kern w:val="2"/>
          <w:sz w:val="32"/>
          <w:szCs w:val="32"/>
          <w:highlight w:val="none"/>
          <w:lang w:val="en-US" w:eastAsia="zh-CN" w:bidi="ar-SA"/>
        </w:rPr>
        <w:t>中国进出口银行</w:t>
      </w:r>
      <w:r>
        <w:rPr>
          <w:rFonts w:hint="eastAsia" w:ascii="仿宋_GB2312" w:hAnsi="仿宋_GB2312" w:eastAsia="仿宋_GB2312" w:cs="仿宋_GB2312"/>
          <w:color w:val="auto"/>
          <w:kern w:val="2"/>
          <w:sz w:val="32"/>
          <w:szCs w:val="32"/>
          <w:highlight w:val="none"/>
          <w:lang w:val="en-US" w:eastAsia="zh-CN" w:bidi="ar-SA"/>
        </w:rPr>
        <w:t>，包括被授权产品名称，授权方式，授权期限等）。</w:t>
      </w:r>
    </w:p>
    <w:p>
      <w:pPr>
        <w:keepLines w:val="0"/>
        <w:pageBreakBefore w:val="0"/>
        <w:widowControl w:val="0"/>
        <w:numPr>
          <w:ilvl w:val="0"/>
          <w:numId w:val="0"/>
        </w:numPr>
        <w:kinsoku/>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供应商应确保我行享有对核心产品软件系统拥有永久的、不可撤销的、不可转让的修改权、复制权及其他使用权，以及对客户化软件及核心产品软件系统中客户化部分的全部知识产权。为实现上述目的，供应商应向我行提供客户化软件及核心产品系统中客户化部分的目标程序及源代码。源代码提供方式双方协商确定。</w:t>
      </w:r>
    </w:p>
    <w:p>
      <w:pPr>
        <w:pageBreakBefore w:val="0"/>
        <w:widowControl/>
        <w:kinsoku/>
        <w:overflowPunct/>
        <w:topLinePunct w:val="0"/>
        <w:autoSpaceDE/>
        <w:autoSpaceDN/>
        <w:bidi w:val="0"/>
        <w:snapToGrid/>
        <w:spacing w:beforeLines="0" w:afterLines="0" w:line="560" w:lineRule="exact"/>
        <w:ind w:left="0" w:leftChars="0"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保证能够满足项目实施全生命周期中对开发、测试的要求，并支持通过开发实现对未来业务和技术功能的扩展。</w:t>
      </w:r>
    </w:p>
    <w:p>
      <w:pPr>
        <w:pageBreakBefore w:val="0"/>
        <w:widowControl/>
        <w:kinsoku/>
        <w:overflowPunct/>
        <w:topLinePunct w:val="0"/>
        <w:autoSpaceDE/>
        <w:autoSpaceDN/>
        <w:bidi w:val="0"/>
        <w:snapToGrid/>
        <w:spacing w:beforeLines="0" w:afterLines="0" w:line="560" w:lineRule="exact"/>
        <w:ind w:left="0" w:leftChars="0" w:firstLine="640" w:firstLineChars="200"/>
        <w:jc w:val="left"/>
        <w:rPr>
          <w:rFonts w:hint="eastAsia" w:ascii="仿宋_GB2312" w:hAnsi="仿宋_GB2312" w:eastAsia="仿宋_GB2312" w:cs="仿宋_GB2312"/>
          <w:color w:val="auto"/>
          <w:sz w:val="32"/>
          <w:szCs w:val="28"/>
          <w:lang w:val="en-US" w:eastAsia="zh-CN"/>
        </w:rPr>
      </w:pPr>
      <w:r>
        <w:rPr>
          <w:rFonts w:hint="default" w:hAnsi="楷体" w:eastAsia="仿宋_GB2312" w:cs="Times New Roman"/>
          <w:color w:val="auto"/>
          <w:sz w:val="32"/>
          <w:szCs w:val="28"/>
          <w:lang w:val="en-US" w:eastAsia="zh-CN"/>
        </w:rPr>
        <w:t>为项目配备具有相关资质、技能和经验的技术服务人员，提供所需的信息技术服务。</w:t>
      </w:r>
      <w:r>
        <w:rPr>
          <w:rFonts w:hint="eastAsia" w:ascii="仿宋_GB2312" w:hAnsi="仿宋_GB2312" w:eastAsia="仿宋_GB2312" w:cs="仿宋_GB2312"/>
          <w:color w:val="auto"/>
          <w:sz w:val="32"/>
          <w:szCs w:val="28"/>
          <w:lang w:val="en-US" w:eastAsia="zh-CN"/>
        </w:rPr>
        <w:t>在人员供给方面，应高效及时提供满足我行要求的高质量人力资源，并且公司应该具备此类人力资源的储备，保证满足我行各项业务需求的开发质量及时间要求。在人员稳定性方面，应有效保障服务队伍的稳定性，以确保服务质量。在人员培训方面，应定期对服务人员进行内部培训，以使人员不断补充提高服务技能。</w:t>
      </w:r>
    </w:p>
    <w:bookmarkEnd w:id="36"/>
    <w:p>
      <w:pPr>
        <w:widowControl/>
        <w:adjustRightInd/>
        <w:spacing w:beforeLines="0" w:afterLines="0" w:line="560" w:lineRule="exact"/>
        <w:ind w:firstLine="640" w:firstLineChars="200"/>
        <w:rPr>
          <w:rFonts w:hint="eastAsia" w:ascii="楷体_GB2312" w:hAnsi="楷体_GB2312" w:eastAsia="楷体_GB2312" w:cs="楷体_GB2312"/>
          <w:szCs w:val="28"/>
        </w:rPr>
      </w:pPr>
      <w:r>
        <w:rPr>
          <w:rFonts w:hint="default" w:ascii="Times New Roman" w:hAnsi="楷体" w:eastAsia="仿宋_GB2312"/>
          <w:color w:val="auto"/>
          <w:sz w:val="32"/>
          <w:szCs w:val="28"/>
          <w:lang w:eastAsia="zh-CN"/>
        </w:rPr>
        <w:t>供应商</w:t>
      </w:r>
      <w:r>
        <w:rPr>
          <w:rFonts w:hint="default" w:ascii="Times New Roman" w:hAnsi="楷体" w:eastAsia="仿宋_GB2312"/>
          <w:color w:val="auto"/>
          <w:sz w:val="32"/>
          <w:szCs w:val="28"/>
        </w:rPr>
        <w:t>通过电话、电子邮件、传真等</w:t>
      </w:r>
      <w:r>
        <w:rPr>
          <w:rFonts w:hint="eastAsia" w:hAnsi="楷体" w:eastAsia="仿宋_GB2312"/>
          <w:color w:val="auto"/>
          <w:sz w:val="32"/>
          <w:szCs w:val="28"/>
          <w:lang w:val="en-US" w:eastAsia="zh-CN"/>
        </w:rPr>
        <w:t>可能必要</w:t>
      </w:r>
      <w:r>
        <w:rPr>
          <w:rFonts w:hint="default" w:ascii="Times New Roman" w:hAnsi="楷体" w:eastAsia="仿宋_GB2312"/>
          <w:color w:val="auto"/>
          <w:sz w:val="32"/>
          <w:szCs w:val="28"/>
        </w:rPr>
        <w:t>方式向</w:t>
      </w:r>
      <w:r>
        <w:rPr>
          <w:rFonts w:hint="eastAsia" w:hAnsi="楷体" w:eastAsia="仿宋_GB2312"/>
          <w:color w:val="auto"/>
          <w:sz w:val="32"/>
          <w:szCs w:val="28"/>
          <w:lang w:val="en-US" w:eastAsia="zh-CN"/>
        </w:rPr>
        <w:t>我</w:t>
      </w:r>
      <w:r>
        <w:rPr>
          <w:rFonts w:hint="default" w:ascii="Times New Roman" w:hAnsi="楷体" w:eastAsia="仿宋_GB2312"/>
          <w:color w:val="auto"/>
          <w:sz w:val="32"/>
          <w:szCs w:val="28"/>
        </w:rPr>
        <w:t>行提供远程技术支持，</w:t>
      </w:r>
      <w:r>
        <w:rPr>
          <w:rFonts w:hint="eastAsia" w:hAnsi="楷体" w:eastAsia="仿宋_GB2312"/>
          <w:color w:val="auto"/>
          <w:sz w:val="32"/>
          <w:szCs w:val="28"/>
          <w:lang w:val="en-US" w:eastAsia="zh-CN"/>
        </w:rPr>
        <w:t>及时</w:t>
      </w:r>
      <w:r>
        <w:rPr>
          <w:rFonts w:hint="default" w:ascii="Times New Roman" w:hAnsi="楷体" w:eastAsia="仿宋_GB2312"/>
          <w:color w:val="auto"/>
          <w:sz w:val="32"/>
          <w:szCs w:val="28"/>
        </w:rPr>
        <w:t>响应</w:t>
      </w:r>
      <w:r>
        <w:rPr>
          <w:rFonts w:hint="eastAsia" w:hAnsi="楷体" w:eastAsia="仿宋_GB2312"/>
          <w:color w:val="auto"/>
          <w:sz w:val="32"/>
          <w:szCs w:val="28"/>
          <w:lang w:val="en-US" w:eastAsia="zh-CN"/>
        </w:rPr>
        <w:t>我行</w:t>
      </w:r>
      <w:r>
        <w:rPr>
          <w:rFonts w:hint="default" w:ascii="Times New Roman" w:hAnsi="楷体" w:eastAsia="仿宋_GB2312"/>
          <w:color w:val="auto"/>
          <w:sz w:val="32"/>
          <w:szCs w:val="28"/>
        </w:rPr>
        <w:t>服务请求</w:t>
      </w:r>
      <w:r>
        <w:rPr>
          <w:rFonts w:hint="eastAsia" w:ascii="Times New Roman" w:hAnsi="楷体" w:eastAsia="仿宋_GB2312"/>
          <w:color w:val="auto"/>
          <w:sz w:val="32"/>
          <w:szCs w:val="28"/>
          <w:lang w:eastAsia="zh-CN"/>
        </w:rPr>
        <w:t>，</w:t>
      </w:r>
      <w:r>
        <w:rPr>
          <w:rFonts w:hint="default" w:ascii="Times New Roman" w:hAnsi="楷体" w:eastAsia="仿宋_GB2312"/>
          <w:color w:val="auto"/>
          <w:sz w:val="32"/>
          <w:szCs w:val="28"/>
        </w:rPr>
        <w:t>必要时协商提供人员现场服务支持</w:t>
      </w:r>
      <w:r>
        <w:rPr>
          <w:rFonts w:hint="eastAsia" w:hAnsi="楷体" w:eastAsia="仿宋_GB2312"/>
          <w:color w:val="auto"/>
          <w:sz w:val="32"/>
          <w:szCs w:val="28"/>
          <w:lang w:eastAsia="zh-CN"/>
        </w:rPr>
        <w:t>。</w:t>
      </w:r>
    </w:p>
    <w:p>
      <w:pPr>
        <w:spacing w:beforeLines="0" w:afterLines="0" w:line="560" w:lineRule="exact"/>
        <w:ind w:firstLine="420" w:firstLineChars="200"/>
        <w:rPr>
          <w:rFonts w:ascii="楷体_GB2312" w:hAnsi="楷体_GB2312" w:eastAsia="楷体_GB2312" w:cs="楷体_GB2312"/>
          <w:bCs/>
          <w:szCs w:val="22"/>
        </w:rPr>
      </w:pPr>
      <w:r>
        <w:rPr>
          <w:rFonts w:hint="eastAsia" w:ascii="楷体_GB2312" w:hAnsi="楷体_GB2312" w:eastAsia="楷体_GB2312" w:cs="楷体_GB2312"/>
          <w:szCs w:val="28"/>
        </w:rPr>
        <w:t>（二）主要交付物</w:t>
      </w:r>
    </w:p>
    <w:p>
      <w:pPr>
        <w:numPr>
          <w:ilvl w:val="0"/>
          <w:numId w:val="0"/>
        </w:numPr>
        <w:spacing w:beforeLines="0" w:afterLines="0" w:line="560" w:lineRule="exact"/>
        <w:ind w:firstLine="640" w:firstLineChars="200"/>
        <w:textAlignment w:val="baseline"/>
        <w:rPr>
          <w:rFonts w:hint="eastAsia" w:ascii="仿宋_GB2312" w:hAnsi="仿宋_GB2312" w:cs="仿宋_GB2312"/>
          <w:sz w:val="32"/>
          <w:szCs w:val="32"/>
        </w:rPr>
      </w:pPr>
      <w:r>
        <w:rPr>
          <w:rFonts w:hint="eastAsia" w:ascii="仿宋_GB2312" w:hAnsi="仿宋_GB2312" w:cs="仿宋_GB2312"/>
          <w:sz w:val="32"/>
          <w:szCs w:val="32"/>
        </w:rPr>
        <w:t>在项目工作</w:t>
      </w:r>
      <w:r>
        <w:rPr>
          <w:rFonts w:hint="eastAsia" w:ascii="仿宋_GB2312" w:hAnsi="仿宋_GB2312" w:cs="仿宋_GB2312"/>
          <w:sz w:val="32"/>
          <w:szCs w:val="32"/>
          <w:lang w:eastAsia="zh-CN"/>
        </w:rPr>
        <w:t>说明</w:t>
      </w:r>
      <w:r>
        <w:rPr>
          <w:rFonts w:hint="eastAsia" w:ascii="仿宋_GB2312" w:hAnsi="仿宋_GB2312" w:cs="仿宋_GB2312"/>
          <w:sz w:val="32"/>
          <w:szCs w:val="32"/>
        </w:rPr>
        <w:t>书中明确交付物类型、内容及交付形式。</w:t>
      </w:r>
    </w:p>
    <w:tbl>
      <w:tblPr>
        <w:tblStyle w:val="21"/>
        <w:tblW w:w="51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4"/>
        <w:gridCol w:w="7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24" w:type="pct"/>
            <w:shd w:val="clear" w:color="auto" w:fill="BEBEBE"/>
            <w:noWrap w:val="0"/>
            <w:vAlign w:val="center"/>
          </w:tcPr>
          <w:p>
            <w:pPr>
              <w:spacing w:beforeLines="0" w:afterLines="0" w:line="560" w:lineRule="exact"/>
              <w:jc w:val="center"/>
              <w:rPr>
                <w:rFonts w:ascii="仿宋_GB2312" w:hAnsi="仿宋_GB2312" w:cs="仿宋_GB2312"/>
                <w:b/>
                <w:sz w:val="24"/>
                <w:szCs w:val="24"/>
              </w:rPr>
            </w:pPr>
            <w:r>
              <w:rPr>
                <w:rFonts w:hint="eastAsia" w:ascii="仿宋_GB2312" w:hAnsi="仿宋_GB2312" w:cs="仿宋_GB2312"/>
                <w:b/>
                <w:sz w:val="24"/>
                <w:szCs w:val="24"/>
              </w:rPr>
              <w:t>过程域</w:t>
            </w:r>
          </w:p>
        </w:tc>
        <w:tc>
          <w:tcPr>
            <w:tcW w:w="4175" w:type="pct"/>
            <w:shd w:val="clear" w:color="auto" w:fill="BEBEBE"/>
            <w:noWrap w:val="0"/>
            <w:vAlign w:val="center"/>
          </w:tcPr>
          <w:p>
            <w:pPr>
              <w:spacing w:beforeLines="0" w:afterLines="0" w:line="560" w:lineRule="exact"/>
              <w:jc w:val="center"/>
              <w:rPr>
                <w:rFonts w:ascii="仿宋_GB2312" w:hAnsi="仿宋_GB2312" w:cs="仿宋_GB2312"/>
                <w:b/>
                <w:sz w:val="24"/>
                <w:szCs w:val="24"/>
              </w:rPr>
            </w:pPr>
            <w:r>
              <w:rPr>
                <w:rFonts w:hint="eastAsia" w:ascii="仿宋_GB2312" w:hAnsi="仿宋_GB2312" w:cs="仿宋_GB2312"/>
                <w:b/>
                <w:sz w:val="24"/>
                <w:szCs w:val="24"/>
              </w:rPr>
              <w:t>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restar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项目管理</w:t>
            </w:r>
          </w:p>
        </w:tc>
        <w:tc>
          <w:tcPr>
            <w:tcW w:w="4175" w:type="pc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《项目详细实施计划》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《项目质量审计报告》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《关键人员简历》</w:t>
            </w:r>
            <w:r>
              <w:rPr>
                <w:rFonts w:hint="eastAsia" w:ascii="仿宋_GB2312" w:hAnsi="仿宋_GB2312" w:cs="仿宋_GB2312"/>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《关键人员人力资源变动报告》（如有）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项目状态报告：日常管理采用周报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noWrap w:val="0"/>
            <w:vAlign w:val="center"/>
          </w:tcPr>
          <w:p>
            <w:pPr>
              <w:spacing w:beforeLines="0" w:afterLines="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val="en-US" w:eastAsia="zh-CN"/>
              </w:rPr>
              <w:t>架构管理</w:t>
            </w:r>
          </w:p>
        </w:tc>
        <w:tc>
          <w:tcPr>
            <w:tcW w:w="4175" w:type="pct"/>
            <w:noWrap w:val="0"/>
            <w:vAlign w:val="top"/>
          </w:tcPr>
          <w:p>
            <w:pPr>
              <w:spacing w:beforeLines="0" w:afterLines="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val="en-US" w:eastAsia="zh-CN"/>
              </w:rPr>
              <w:t>项目架构方案说明书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restar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需求分析</w:t>
            </w: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《功能需求规格说明书》</w:t>
            </w:r>
            <w:r>
              <w:rPr>
                <w:rFonts w:hint="eastAsia" w:ascii="仿宋_GB2312" w:hAnsi="仿宋_GB2312" w:cs="仿宋_GB2312"/>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《非功能需求规格说明书》（如有）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4" w:type="pct"/>
            <w:vMerge w:val="restar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设计</w:t>
            </w: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lang w:eastAsia="zh-CN"/>
              </w:rPr>
              <w:t>信息技术应用创新</w:t>
            </w:r>
            <w:r>
              <w:rPr>
                <w:rFonts w:hint="eastAsia" w:ascii="仿宋_GB2312" w:hAnsi="仿宋_GB2312" w:cs="仿宋_GB2312"/>
                <w:sz w:val="24"/>
                <w:szCs w:val="24"/>
              </w:rPr>
              <w:t>改造方案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《概要设计说明书》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《详细设计说明书》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应用系统部署架构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基础软硬件配置清单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restar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开发</w:t>
            </w: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《单元测试案例》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《系统内集成测试案例》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《系统内集成测试报告》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restar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测试</w:t>
            </w: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《应用组装测试案例》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《应用组装测试报告》</w:t>
            </w:r>
            <w:r>
              <w:rPr>
                <w:rFonts w:hint="eastAsia" w:ascii="仿宋_GB2312" w:hAnsi="仿宋_GB2312" w:cs="仿宋_GB2312"/>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hint="eastAsia" w:ascii="仿宋_GB2312" w:hAnsi="仿宋_GB2312" w:eastAsia="仿宋_GB2312" w:cs="仿宋_GB2312"/>
                <w:sz w:val="24"/>
                <w:szCs w:val="24"/>
                <w:lang w:eastAsia="zh-CN"/>
              </w:rPr>
            </w:pPr>
            <w:r>
              <w:rPr>
                <w:rFonts w:hint="eastAsia" w:ascii="仿宋_GB2312" w:hAnsi="仿宋_GB2312" w:cs="仿宋_GB2312"/>
                <w:sz w:val="24"/>
                <w:szCs w:val="24"/>
              </w:rPr>
              <w:t>通过用户验收测试后的</w:t>
            </w:r>
            <w:r>
              <w:rPr>
                <w:rFonts w:hint="eastAsia" w:ascii="仿宋_GB2312" w:hAnsi="仿宋_GB2312" w:cs="仿宋_GB2312"/>
                <w:sz w:val="24"/>
                <w:szCs w:val="24"/>
                <w:lang w:eastAsia="zh-CN"/>
              </w:rPr>
              <w:t>运维工具全部</w:t>
            </w:r>
            <w:r>
              <w:rPr>
                <w:rFonts w:hint="eastAsia" w:ascii="仿宋_GB2312" w:hAnsi="仿宋_GB2312" w:cs="仿宋_GB2312"/>
                <w:sz w:val="24"/>
                <w:szCs w:val="24"/>
              </w:rPr>
              <w:t>源代码</w:t>
            </w:r>
            <w:r>
              <w:rPr>
                <w:rFonts w:hint="eastAsia" w:ascii="仿宋_GB2312" w:hAnsi="仿宋_GB2312" w:cs="仿宋_GB231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技术培训</w:t>
            </w: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《培训讲义》</w:t>
            </w:r>
            <w:r>
              <w:rPr>
                <w:rFonts w:hint="eastAsia" w:ascii="仿宋_GB2312" w:hAnsi="仿宋_GB2312" w:eastAsia="仿宋_GB2312" w:cs="仿宋_GB2312"/>
                <w:sz w:val="24"/>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restar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投产上线</w:t>
            </w: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《操作控制表》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hint="eastAsia" w:ascii="仿宋_GB2312" w:hAnsi="仿宋_GB2312" w:cs="仿宋_GB2312"/>
                <w:sz w:val="24"/>
                <w:szCs w:val="24"/>
              </w:rPr>
            </w:pPr>
          </w:p>
        </w:tc>
        <w:tc>
          <w:tcPr>
            <w:tcW w:w="4175" w:type="pct"/>
            <w:noWrap w:val="0"/>
            <w:vAlign w:val="top"/>
          </w:tcPr>
          <w:p>
            <w:pPr>
              <w:spacing w:beforeLines="0" w:afterLines="0" w:line="560" w:lineRule="exact"/>
              <w:rPr>
                <w:rFonts w:hint="eastAsia" w:ascii="仿宋_GB2312" w:hAnsi="仿宋_GB2312" w:cs="仿宋_GB2312"/>
                <w:sz w:val="24"/>
                <w:szCs w:val="24"/>
              </w:rPr>
            </w:pPr>
            <w:r>
              <w:rPr>
                <w:rFonts w:hint="eastAsia" w:ascii="仿宋_GB2312" w:hAnsi="仿宋_GB2312" w:eastAsia="仿宋_GB2312" w:cs="仿宋_GB2312"/>
                <w:sz w:val="24"/>
              </w:rPr>
              <w:t>待投产的应用程序版本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《投产报告》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《运维手册》、《日志报错代码表》、《监控手册》、《知识库》（如有）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restart"/>
            <w:noWrap w:val="0"/>
            <w:vAlign w:val="center"/>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系统应用维护</w:t>
            </w: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知识转移文档：《运维手册》（含《日志存储备份清理方案》等日常运维的必要件）、《日志报错代码表》、《监控手册》（如有）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知识库（包含《上线运行问题报告和问题跟踪表》、《重大问题分析报告》（如有））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《维护期总结报告》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4" w:type="pct"/>
            <w:vMerge w:val="continue"/>
            <w:noWrap w:val="0"/>
            <w:vAlign w:val="center"/>
          </w:tcPr>
          <w:p>
            <w:pPr>
              <w:spacing w:beforeLines="0" w:afterLines="0" w:line="560" w:lineRule="exact"/>
              <w:rPr>
                <w:rFonts w:ascii="仿宋_GB2312" w:hAnsi="仿宋_GB2312" w:cs="仿宋_GB2312"/>
                <w:sz w:val="24"/>
                <w:szCs w:val="24"/>
              </w:rPr>
            </w:pPr>
          </w:p>
        </w:tc>
        <w:tc>
          <w:tcPr>
            <w:tcW w:w="4175" w:type="pct"/>
            <w:noWrap w:val="0"/>
            <w:vAlign w:val="top"/>
          </w:tcPr>
          <w:p>
            <w:pPr>
              <w:spacing w:beforeLines="0" w:afterLines="0" w:line="560" w:lineRule="exact"/>
              <w:rPr>
                <w:rFonts w:ascii="仿宋_GB2312" w:hAnsi="仿宋_GB2312" w:cs="仿宋_GB2312"/>
                <w:sz w:val="24"/>
                <w:szCs w:val="24"/>
              </w:rPr>
            </w:pPr>
            <w:r>
              <w:rPr>
                <w:rFonts w:hint="eastAsia" w:ascii="仿宋_GB2312" w:hAnsi="仿宋_GB2312" w:cs="仿宋_GB2312"/>
                <w:sz w:val="24"/>
                <w:szCs w:val="24"/>
              </w:rPr>
              <w:t>《月度运行维护报告》</w:t>
            </w:r>
          </w:p>
        </w:tc>
      </w:tr>
    </w:tbl>
    <w:p>
      <w:pPr>
        <w:pStyle w:val="4"/>
        <w:bidi w:val="0"/>
        <w:spacing w:line="560" w:lineRule="exact"/>
        <w:ind w:left="0" w:firstLine="720"/>
        <w:jc w:val="left"/>
        <w:rPr>
          <w:rFonts w:hint="default" w:ascii="黑体" w:hAnsi="黑体" w:eastAsia="黑体"/>
          <w:b w:val="0"/>
          <w:sz w:val="32"/>
          <w:lang w:val="en-US" w:eastAsia="zh-CN"/>
        </w:rPr>
      </w:pPr>
      <w:bookmarkStart w:id="37" w:name="_Toc3949"/>
      <w:r>
        <w:rPr>
          <w:rFonts w:hint="eastAsia" w:ascii="黑体" w:hAnsi="黑体" w:eastAsia="黑体" w:cs="Times New Roman"/>
          <w:b w:val="0"/>
          <w:sz w:val="32"/>
          <w:lang w:val="en-US" w:eastAsia="zh-CN"/>
        </w:rPr>
        <w:t>六、</w:t>
      </w:r>
      <w:r>
        <w:rPr>
          <w:rFonts w:ascii="黑体" w:hAnsi="黑体" w:eastAsia="黑体" w:cs="Times New Roman"/>
          <w:b w:val="0"/>
          <w:sz w:val="32"/>
        </w:rPr>
        <w:t>项目团队要求</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7"/>
      <w:r>
        <w:rPr>
          <w:rFonts w:hint="default" w:ascii="黑体" w:hAnsi="黑体" w:eastAsia="黑体" w:cs="Times New Roman"/>
          <w:b w:val="0"/>
          <w:sz w:val="32"/>
          <w:lang w:eastAsia="zh-CN"/>
        </w:rPr>
        <w:tab/>
      </w:r>
      <w:bookmarkEnd w:id="33"/>
    </w:p>
    <w:bookmarkEnd w:id="34"/>
    <w:p>
      <w:pPr>
        <w:keepLines w:val="0"/>
        <w:pageBreakBefore w:val="0"/>
        <w:widowControl w:val="0"/>
        <w:numPr>
          <w:ilvl w:val="0"/>
          <w:numId w:val="0"/>
        </w:numPr>
        <w:kinsoku/>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bookmarkStart w:id="38" w:name="_Toc1526"/>
      <w:bookmarkStart w:id="39" w:name="_Toc19430"/>
      <w:r>
        <w:rPr>
          <w:rFonts w:hint="eastAsia" w:ascii="仿宋_GB2312" w:hAnsi="仿宋_GB2312" w:eastAsia="仿宋_GB2312" w:cs="仿宋_GB2312"/>
          <w:color w:val="auto"/>
          <w:sz w:val="32"/>
          <w:szCs w:val="32"/>
          <w:highlight w:val="none"/>
          <w:lang w:val="en-US" w:eastAsia="zh-CN"/>
        </w:rPr>
        <w:t>熟悉我行</w:t>
      </w:r>
      <w:r>
        <w:rPr>
          <w:rFonts w:hint="eastAsia" w:ascii="仿宋_GB2312" w:hAnsi="仿宋_GB2312" w:cs="仿宋_GB2312"/>
          <w:color w:val="auto"/>
          <w:sz w:val="32"/>
          <w:szCs w:val="32"/>
          <w:highlight w:val="none"/>
          <w:lang w:val="en-US" w:eastAsia="zh-CN"/>
        </w:rPr>
        <w:t>批处理调度</w:t>
      </w:r>
      <w:r>
        <w:rPr>
          <w:rFonts w:hint="eastAsia" w:ascii="仿宋_GB2312" w:hAnsi="仿宋_GB2312" w:eastAsia="仿宋_GB2312" w:cs="仿宋_GB2312"/>
          <w:color w:val="auto"/>
          <w:sz w:val="32"/>
          <w:szCs w:val="32"/>
          <w:highlight w:val="none"/>
          <w:lang w:val="en-US" w:eastAsia="zh-CN"/>
        </w:rPr>
        <w:t>系统实施现状，具有项目系统相关实施经验；具备完成服务范围内各项工作的能力；团队中关键核心岗位人员（如项目经理）不得外包。</w:t>
      </w:r>
    </w:p>
    <w:p>
      <w:pPr>
        <w:spacing w:beforeLines="0" w:afterLines="0" w:line="560" w:lineRule="exact"/>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1.项目经理、关键技术人员应具有</w:t>
      </w:r>
      <w:r>
        <w:rPr>
          <w:rFonts w:hint="eastAsia" w:ascii="仿宋_GB2312" w:hAnsi="仿宋_GB2312" w:eastAsia="仿宋_GB2312" w:cs="仿宋_GB2312"/>
          <w:sz w:val="32"/>
          <w:szCs w:val="28"/>
          <w:highlight w:val="none"/>
          <w:lang w:val="en-US" w:eastAsia="zh-CN"/>
        </w:rPr>
        <w:t>服务建设银行或其输出客户同类项目的工作经验，提供</w:t>
      </w:r>
      <w:r>
        <w:rPr>
          <w:rFonts w:hint="eastAsia" w:ascii="仿宋_GB2312" w:hAnsi="仿宋_GB2312" w:eastAsia="仿宋_GB2312" w:cs="仿宋_GB2312"/>
          <w:sz w:val="32"/>
          <w:szCs w:val="28"/>
          <w:highlight w:val="none"/>
        </w:rPr>
        <w:t>人员简历</w:t>
      </w:r>
      <w:r>
        <w:rPr>
          <w:rFonts w:hint="eastAsia" w:ascii="仿宋_GB2312" w:hAnsi="仿宋_GB2312" w:eastAsia="仿宋_GB2312" w:cs="仿宋_GB2312"/>
          <w:sz w:val="32"/>
          <w:szCs w:val="28"/>
          <w:highlight w:val="none"/>
          <w:lang w:val="en-US" w:eastAsia="zh-CN"/>
        </w:rPr>
        <w:t>。如发生更换，对替代人员的工作经验要求相同。</w:t>
      </w:r>
    </w:p>
    <w:p>
      <w:pPr>
        <w:pageBreakBefore w:val="0"/>
        <w:kinsoku/>
        <w:overflowPunct/>
        <w:topLinePunct w:val="0"/>
        <w:autoSpaceDE/>
        <w:autoSpaceDN/>
        <w:bidi w:val="0"/>
        <w:snapToGrid/>
        <w:spacing w:beforeLines="0" w:afterLines="0" w:line="560" w:lineRule="exact"/>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承诺已进入项目组的</w:t>
      </w:r>
      <w:r>
        <w:rPr>
          <w:rFonts w:hint="eastAsia" w:ascii="仿宋_GB2312" w:hAnsi="仿宋_GB2312" w:eastAsia="仿宋_GB2312" w:cs="仿宋_GB2312"/>
          <w:sz w:val="32"/>
          <w:szCs w:val="32"/>
          <w:highlight w:val="none"/>
          <w:lang w:val="en-US" w:eastAsia="zh-CN"/>
        </w:rPr>
        <w:t>关键核心岗位</w:t>
      </w:r>
      <w:r>
        <w:rPr>
          <w:rFonts w:hint="eastAsia" w:ascii="仿宋_GB2312" w:hAnsi="仿宋_GB2312" w:eastAsia="仿宋_GB2312" w:cs="仿宋_GB2312"/>
          <w:sz w:val="32"/>
          <w:szCs w:val="32"/>
          <w:highlight w:val="none"/>
        </w:rPr>
        <w:t>人员不得随意更换。如确实需要更换人员须经过甲方审核通过后方可换人。同时要求新换人员必须通过甲方的审核，且由</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保证人员更换期间工作的连续性。</w:t>
      </w:r>
      <w:r>
        <w:rPr>
          <w:rFonts w:hint="eastAsia" w:ascii="仿宋_GB2312" w:hAnsi="仿宋_GB2312" w:eastAsia="仿宋_GB2312" w:cs="仿宋_GB2312"/>
          <w:sz w:val="32"/>
          <w:szCs w:val="32"/>
          <w:highlight w:val="none"/>
          <w:lang w:val="en-US" w:eastAsia="zh-CN"/>
        </w:rPr>
        <w:t>其他岗位人员如有更换需书面告知甲方，并承诺不因此降低服务质量。</w:t>
      </w:r>
    </w:p>
    <w:p>
      <w:pPr>
        <w:pageBreakBefore w:val="0"/>
        <w:kinsoku/>
        <w:overflowPunct/>
        <w:topLinePunct w:val="0"/>
        <w:autoSpaceDE/>
        <w:autoSpaceDN/>
        <w:bidi w:val="0"/>
        <w:snapToGrid/>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承诺已进入项目组的</w:t>
      </w:r>
      <w:r>
        <w:rPr>
          <w:rFonts w:hint="eastAsia" w:ascii="仿宋_GB2312" w:hAnsi="仿宋_GB2312" w:eastAsia="仿宋_GB2312" w:cs="仿宋_GB2312"/>
          <w:strike w:val="0"/>
          <w:dstrike w:val="0"/>
          <w:sz w:val="32"/>
          <w:szCs w:val="32"/>
          <w:highlight w:val="none"/>
          <w:lang w:val="en-US" w:eastAsia="zh-CN"/>
        </w:rPr>
        <w:t>服务</w:t>
      </w:r>
      <w:r>
        <w:rPr>
          <w:rFonts w:hint="eastAsia" w:ascii="仿宋_GB2312" w:hAnsi="仿宋_GB2312" w:eastAsia="仿宋_GB2312" w:cs="仿宋_GB2312"/>
          <w:strike w:val="0"/>
          <w:dstrike w:val="0"/>
          <w:sz w:val="32"/>
          <w:szCs w:val="32"/>
          <w:highlight w:val="none"/>
        </w:rPr>
        <w:t>人员</w:t>
      </w:r>
      <w:r>
        <w:rPr>
          <w:rFonts w:hint="eastAsia" w:ascii="仿宋_GB2312" w:hAnsi="仿宋_GB2312" w:eastAsia="仿宋_GB2312" w:cs="仿宋_GB2312"/>
          <w:sz w:val="32"/>
          <w:szCs w:val="32"/>
          <w:highlight w:val="none"/>
          <w:lang w:eastAsia="zh-CN"/>
        </w:rPr>
        <w:t>，</w:t>
      </w:r>
      <w:r>
        <w:rPr>
          <w:rFonts w:hint="eastAsia" w:ascii="仿宋" w:hAnsi="仿宋" w:eastAsia="仿宋" w:cs="仿宋"/>
          <w:sz w:val="32"/>
          <w:szCs w:val="32"/>
          <w:highlight w:val="none"/>
          <w:lang w:val="en-US" w:eastAsia="zh-CN"/>
        </w:rPr>
        <w:t>要提供人员简历、学历证明复印件及人员相关认证资质复印件，</w:t>
      </w:r>
      <w:r>
        <w:rPr>
          <w:rFonts w:hint="eastAsia" w:ascii="仿宋" w:hAnsi="仿宋" w:eastAsia="仿宋" w:cs="仿宋"/>
          <w:sz w:val="32"/>
          <w:szCs w:val="32"/>
          <w:highlight w:val="none"/>
        </w:rPr>
        <w:t>签署安全保密承诺书</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并</w:t>
      </w:r>
      <w:r>
        <w:rPr>
          <w:rFonts w:hint="eastAsia" w:ascii="仿宋_GB2312" w:hAnsi="仿宋_GB2312" w:eastAsia="仿宋_GB2312" w:cs="仿宋_GB2312"/>
          <w:sz w:val="32"/>
          <w:szCs w:val="32"/>
          <w:highlight w:val="none"/>
          <w:lang w:val="en-US" w:eastAsia="zh-CN"/>
        </w:rPr>
        <w:t>满足甲方</w:t>
      </w:r>
      <w:r>
        <w:rPr>
          <w:rFonts w:hint="eastAsia" w:ascii="仿宋_GB2312" w:hAnsi="仿宋_GB2312" w:eastAsia="仿宋_GB2312" w:cs="仿宋_GB2312"/>
          <w:sz w:val="32"/>
          <w:szCs w:val="32"/>
          <w:highlight w:val="none"/>
        </w:rPr>
        <w:t>管理</w:t>
      </w:r>
      <w:r>
        <w:rPr>
          <w:rFonts w:hint="eastAsia" w:ascii="仿宋_GB2312" w:hAnsi="仿宋_GB2312" w:eastAsia="仿宋_GB2312" w:cs="仿宋_GB2312"/>
          <w:sz w:val="32"/>
          <w:szCs w:val="32"/>
          <w:highlight w:val="none"/>
          <w:lang w:val="en-US" w:eastAsia="zh-CN"/>
        </w:rPr>
        <w:t>要求：</w:t>
      </w:r>
    </w:p>
    <w:p>
      <w:pPr>
        <w:pageBreakBefore w:val="0"/>
        <w:kinsoku/>
        <w:overflowPunct/>
        <w:topLinePunct w:val="0"/>
        <w:autoSpaceDE/>
        <w:autoSpaceDN/>
        <w:bidi w:val="0"/>
        <w:snapToGrid/>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（1）驻场服务人员</w:t>
      </w:r>
      <w:r>
        <w:rPr>
          <w:rFonts w:hint="eastAsia" w:ascii="仿宋_GB2312" w:hAnsi="仿宋_GB2312" w:cs="仿宋_GB2312"/>
          <w:sz w:val="32"/>
          <w:szCs w:val="32"/>
          <w:highlight w:val="none"/>
          <w:lang w:eastAsia="zh-CN"/>
        </w:rPr>
        <w:t>（如有）</w:t>
      </w:r>
      <w:r>
        <w:rPr>
          <w:rFonts w:hint="eastAsia" w:ascii="仿宋_GB2312" w:hAnsi="仿宋_GB2312" w:eastAsia="仿宋_GB2312" w:cs="仿宋_GB2312"/>
          <w:sz w:val="32"/>
          <w:szCs w:val="32"/>
          <w:highlight w:val="none"/>
        </w:rPr>
        <w:t>必须遵守</w:t>
      </w:r>
      <w:r>
        <w:rPr>
          <w:rFonts w:hint="eastAsia" w:ascii="仿宋_GB2312" w:hAnsi="仿宋_GB2312" w:eastAsia="仿宋_GB2312" w:cs="仿宋_GB2312"/>
          <w:sz w:val="32"/>
          <w:szCs w:val="32"/>
          <w:highlight w:val="none"/>
          <w:lang w:val="en-US" w:eastAsia="zh-CN"/>
        </w:rPr>
        <w:t>甲方</w:t>
      </w:r>
      <w:r>
        <w:rPr>
          <w:rFonts w:hint="eastAsia" w:ascii="仿宋_GB2312" w:hAnsi="仿宋_GB2312" w:eastAsia="仿宋_GB2312" w:cs="仿宋_GB2312"/>
          <w:sz w:val="32"/>
          <w:szCs w:val="32"/>
          <w:highlight w:val="none"/>
        </w:rPr>
        <w:t>作息制度和相关工作制度规定，提供5*8小时驻场服务。</w:t>
      </w:r>
    </w:p>
    <w:p>
      <w:pPr>
        <w:pageBreakBefore w:val="0"/>
        <w:kinsoku/>
        <w:overflowPunct/>
        <w:topLinePunct w:val="0"/>
        <w:autoSpaceDE/>
        <w:autoSpaceDN/>
        <w:bidi w:val="0"/>
        <w:snapToGrid/>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（2）驻场服务期间</w:t>
      </w:r>
      <w:r>
        <w:rPr>
          <w:rFonts w:hint="eastAsia" w:ascii="仿宋_GB2312" w:hAnsi="仿宋_GB2312" w:cs="仿宋_GB2312"/>
          <w:sz w:val="32"/>
          <w:szCs w:val="32"/>
          <w:highlight w:val="none"/>
          <w:lang w:eastAsia="zh-CN"/>
        </w:rPr>
        <w:t>（如有）</w:t>
      </w:r>
      <w:r>
        <w:rPr>
          <w:rFonts w:hint="eastAsia" w:ascii="仿宋_GB2312" w:hAnsi="仿宋_GB2312" w:eastAsia="仿宋_GB2312" w:cs="仿宋_GB2312"/>
          <w:sz w:val="32"/>
          <w:szCs w:val="32"/>
          <w:highlight w:val="none"/>
        </w:rPr>
        <w:t>，所有驻场服务人员必须严格按照</w:t>
      </w:r>
      <w:r>
        <w:rPr>
          <w:rFonts w:hint="eastAsia" w:ascii="仿宋_GB2312" w:hAnsi="仿宋_GB2312" w:eastAsia="仿宋_GB2312" w:cs="仿宋_GB2312"/>
          <w:sz w:val="32"/>
          <w:szCs w:val="32"/>
          <w:highlight w:val="none"/>
          <w:lang w:val="en-US" w:eastAsia="zh-CN"/>
        </w:rPr>
        <w:t>甲方</w:t>
      </w:r>
      <w:r>
        <w:rPr>
          <w:rFonts w:hint="eastAsia" w:ascii="仿宋_GB2312" w:hAnsi="仿宋_GB2312" w:eastAsia="仿宋_GB2312" w:cs="仿宋_GB2312"/>
          <w:sz w:val="32"/>
          <w:szCs w:val="32"/>
          <w:highlight w:val="none"/>
        </w:rPr>
        <w:t>各项规章制度合规开展工作；驻场服务地点</w:t>
      </w:r>
      <w:r>
        <w:rPr>
          <w:rFonts w:hint="eastAsia" w:ascii="仿宋_GB2312" w:hAnsi="仿宋_GB2312" w:eastAsia="仿宋_GB2312" w:cs="仿宋_GB2312"/>
          <w:strike w:val="0"/>
          <w:dstrike w:val="0"/>
          <w:sz w:val="32"/>
          <w:szCs w:val="32"/>
          <w:highlight w:val="none"/>
          <w:lang w:val="en-US" w:eastAsia="zh-CN"/>
        </w:rPr>
        <w:t>双方协商确定</w:t>
      </w:r>
      <w:r>
        <w:rPr>
          <w:rFonts w:hint="eastAsia" w:ascii="仿宋_GB2312" w:hAnsi="仿宋_GB2312" w:eastAsia="仿宋_GB2312" w:cs="仿宋_GB2312"/>
          <w:sz w:val="32"/>
          <w:szCs w:val="32"/>
          <w:highlight w:val="none"/>
        </w:rPr>
        <w:t>。</w:t>
      </w:r>
    </w:p>
    <w:p>
      <w:pPr>
        <w:pageBreakBefore w:val="0"/>
        <w:kinsoku/>
        <w:overflowPunct/>
        <w:topLinePunct w:val="0"/>
        <w:autoSpaceDE/>
        <w:autoSpaceDN/>
        <w:bidi w:val="0"/>
        <w:snapToGrid/>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（3）任何</w:t>
      </w:r>
      <w:r>
        <w:rPr>
          <w:rFonts w:hint="eastAsia" w:ascii="仿宋_GB2312" w:hAnsi="仿宋_GB2312" w:eastAsia="仿宋_GB2312" w:cs="仿宋_GB2312"/>
          <w:sz w:val="32"/>
          <w:szCs w:val="32"/>
          <w:highlight w:val="none"/>
          <w:lang w:val="en-US" w:eastAsia="zh-CN"/>
        </w:rPr>
        <w:t>服务</w:t>
      </w:r>
      <w:r>
        <w:rPr>
          <w:rFonts w:hint="eastAsia" w:ascii="仿宋_GB2312" w:hAnsi="仿宋_GB2312" w:eastAsia="仿宋_GB2312" w:cs="仿宋_GB2312"/>
          <w:sz w:val="32"/>
          <w:szCs w:val="32"/>
          <w:highlight w:val="none"/>
        </w:rPr>
        <w:t>人员不得随意更换。如果更换人员则</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应提前</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个月通知</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rPr>
        <w:t>，并经过</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rPr>
        <w:t>审核通过后方可换人。同时要求新换人员必须通过</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rPr>
        <w:t>的审核，且由</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保证人员更换期间支持工作的连续性；</w:t>
      </w:r>
    </w:p>
    <w:p>
      <w:pPr>
        <w:pageBreakBefore w:val="0"/>
        <w:kinsoku/>
        <w:overflowPunct/>
        <w:topLinePunct w:val="0"/>
        <w:autoSpaceDE/>
        <w:autoSpaceDN/>
        <w:bidi w:val="0"/>
        <w:snapToGrid/>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（4）如果支持人员因违反</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rPr>
        <w:t>工作纪律或相关运行制度，并给</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rPr>
        <w:t>造成了损失，则</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有责任进行赔偿，具体赔偿标准见合同。</w:t>
      </w:r>
    </w:p>
    <w:p>
      <w:pPr>
        <w:pageBreakBefore w:val="0"/>
        <w:kinsoku/>
        <w:overflowPunct/>
        <w:topLinePunct w:val="0"/>
        <w:autoSpaceDE/>
        <w:autoSpaceDN/>
        <w:bidi w:val="0"/>
        <w:snapToGrid/>
        <w:spacing w:beforeLines="0" w:afterLines="0" w:line="560" w:lineRule="exact"/>
        <w:ind w:firstLine="640" w:firstLineChars="200"/>
        <w:rPr>
          <w:rFonts w:ascii="Times New Roman" w:hAnsi="黑体" w:eastAsia="黑体"/>
          <w:b w:val="0"/>
          <w:bCs w:val="0"/>
          <w:sz w:val="32"/>
          <w:highlight w:val="none"/>
        </w:rPr>
      </w:pPr>
      <w:r>
        <w:rPr>
          <w:rFonts w:hint="eastAsia" w:ascii="仿宋_GB2312" w:hAnsi="仿宋_GB2312" w:eastAsia="仿宋_GB2312" w:cs="仿宋_GB2312"/>
          <w:sz w:val="32"/>
          <w:szCs w:val="32"/>
          <w:highlight w:val="none"/>
        </w:rPr>
        <w:t>（5）根据支持效果，对于不能够胜任支持工作的人员，</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rPr>
        <w:t>有权利要求</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重新进行调换。同时</w:t>
      </w:r>
      <w:r>
        <w:rPr>
          <w:rFonts w:hint="eastAsia" w:ascii="仿宋_GB2312" w:hAnsi="仿宋_GB2312" w:eastAsia="仿宋_GB2312" w:cs="仿宋_GB2312"/>
          <w:sz w:val="32"/>
          <w:szCs w:val="32"/>
          <w:highlight w:val="none"/>
          <w:lang w:val="en-US" w:eastAsia="zh-CN"/>
        </w:rPr>
        <w:t>由供应商</w:t>
      </w:r>
      <w:r>
        <w:rPr>
          <w:rFonts w:hint="eastAsia" w:ascii="仿宋_GB2312" w:hAnsi="仿宋_GB2312" w:eastAsia="仿宋_GB2312" w:cs="仿宋_GB2312"/>
          <w:sz w:val="32"/>
          <w:szCs w:val="32"/>
          <w:highlight w:val="none"/>
        </w:rPr>
        <w:t>保证人员更换期间支持工作的连续性。</w:t>
      </w:r>
    </w:p>
    <w:p>
      <w:pPr>
        <w:pStyle w:val="17"/>
        <w:keepNext/>
        <w:keepLines/>
        <w:pageBreakBefore w:val="0"/>
        <w:widowControl w:val="0"/>
        <w:kinsoku/>
        <w:wordWrap/>
        <w:overflowPunct/>
        <w:topLinePunct w:val="0"/>
        <w:autoSpaceDE/>
        <w:autoSpaceDN/>
        <w:bidi w:val="0"/>
        <w:adjustRightInd w:val="0"/>
        <w:snapToGrid/>
        <w:spacing w:before="0" w:beforeLines="0" w:after="0" w:afterLines="0" w:line="560" w:lineRule="exact"/>
        <w:ind w:firstLine="640" w:firstLineChars="200"/>
        <w:textAlignment w:val="baseline"/>
        <w:outlineLvl w:val="0"/>
        <w:rPr>
          <w:rFonts w:hint="eastAsia" w:ascii="Times New Roman" w:hAnsi="黑体" w:eastAsia="黑体" w:cs="Times New Roman"/>
          <w:b w:val="0"/>
          <w:bCs w:val="0"/>
          <w:color w:val="auto"/>
          <w:sz w:val="32"/>
          <w:highlight w:val="none"/>
          <w:lang w:val="en-US" w:eastAsia="zh-CN"/>
        </w:rPr>
      </w:pPr>
      <w:bookmarkStart w:id="40" w:name="_Toc2473"/>
      <w:r>
        <w:rPr>
          <w:rFonts w:hint="eastAsia" w:ascii="Times New Roman" w:hAnsi="黑体" w:eastAsia="黑体" w:cs="Times New Roman"/>
          <w:b w:val="0"/>
          <w:bCs w:val="0"/>
          <w:color w:val="auto"/>
          <w:sz w:val="32"/>
          <w:highlight w:val="none"/>
          <w:lang w:val="en-US" w:eastAsia="zh-CN"/>
        </w:rPr>
        <w:t>七、安全要求</w:t>
      </w:r>
      <w:bookmarkEnd w:id="38"/>
      <w:bookmarkEnd w:id="39"/>
      <w:bookmarkEnd w:id="40"/>
    </w:p>
    <w:p>
      <w:pPr>
        <w:spacing w:beforeLines="0" w:afterLines="0" w:line="560" w:lineRule="exact"/>
        <w:ind w:firstLine="640" w:firstLineChars="200"/>
        <w:rPr>
          <w:rFonts w:hint="eastAsia" w:ascii="仿宋_GB2312" w:hAnsi="仿宋_GB2312" w:eastAsia="仿宋_GB2312" w:cs="仿宋_GB2312"/>
          <w:sz w:val="32"/>
          <w:szCs w:val="32"/>
          <w:highlight w:val="none"/>
        </w:rPr>
      </w:pPr>
      <w:bookmarkStart w:id="41" w:name="_Toc7482"/>
      <w:bookmarkStart w:id="42" w:name="_Toc21831"/>
      <w:r>
        <w:rPr>
          <w:rFonts w:hint="eastAsia" w:ascii="仿宋_GB2312" w:hAnsi="仿宋_GB2312" w:eastAsia="仿宋_GB2312" w:cs="仿宋_GB2312"/>
          <w:sz w:val="32"/>
          <w:szCs w:val="32"/>
          <w:highlight w:val="none"/>
        </w:rPr>
        <w:t>供应商必须保证所提供的人员能够严格遵守各项规章制度，主要包括但不限于以下内容：</w:t>
      </w:r>
    </w:p>
    <w:p>
      <w:pPr>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法律合规方面，应有效规避服务过程中给我行带来的法律风险。</w:t>
      </w:r>
    </w:p>
    <w:p>
      <w:pPr>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信息保密方面，公司应有效规避因服务人员导致的银行信息（如业务数据和商务信息等）泄漏风险。</w:t>
      </w:r>
    </w:p>
    <w:p>
      <w:pPr>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生产安全方面，公司应严格规避因人员操作不当，导致的银行系统出现安全性和稳定性风险事件。</w:t>
      </w:r>
    </w:p>
    <w:p>
      <w:pPr>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安全审计方面，公司应确保针对银行设备的相关操作留有纸质或视频记录。</w:t>
      </w:r>
    </w:p>
    <w:p>
      <w:pPr>
        <w:spacing w:beforeLines="0" w:afterLines="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五</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保密/知识产权要求，供应商对项目实施中涉及到的相关数据、资料、文档等具有保密的义务，并应按照相应保密规定执行。本项目所形成的数据成果及相关过程文件归采购人所有。未经采购人同意，供应商不得以商业目的使用该资料或者开发和生产其他产品。</w:t>
      </w:r>
    </w:p>
    <w:p>
      <w:pPr>
        <w:pStyle w:val="17"/>
        <w:keepNext/>
        <w:keepLines/>
        <w:pageBreakBefore w:val="0"/>
        <w:widowControl w:val="0"/>
        <w:kinsoku/>
        <w:wordWrap/>
        <w:overflowPunct/>
        <w:topLinePunct w:val="0"/>
        <w:autoSpaceDE/>
        <w:autoSpaceDN/>
        <w:bidi w:val="0"/>
        <w:adjustRightInd w:val="0"/>
        <w:snapToGrid/>
        <w:spacing w:before="157" w:beforeLines="50" w:after="0" w:afterLines="0" w:line="560" w:lineRule="exact"/>
        <w:ind w:firstLine="640" w:firstLineChars="200"/>
        <w:textAlignment w:val="baseline"/>
        <w:outlineLvl w:val="0"/>
        <w:rPr>
          <w:rFonts w:ascii="Times New Roman" w:hAnsi="Times New Roman" w:eastAsia="黑体"/>
          <w:b w:val="0"/>
          <w:bCs w:val="0"/>
          <w:color w:val="auto"/>
          <w:sz w:val="32"/>
          <w:highlight w:val="none"/>
        </w:rPr>
      </w:pPr>
      <w:bookmarkStart w:id="43" w:name="_Toc29355"/>
      <w:r>
        <w:rPr>
          <w:rFonts w:hint="eastAsia" w:ascii="Times New Roman" w:hAnsi="黑体" w:eastAsia="黑体"/>
          <w:b w:val="0"/>
          <w:bCs w:val="0"/>
          <w:color w:val="auto"/>
          <w:sz w:val="32"/>
          <w:highlight w:val="none"/>
          <w:lang w:val="en-US" w:eastAsia="zh-CN"/>
        </w:rPr>
        <w:t>八</w:t>
      </w:r>
      <w:r>
        <w:rPr>
          <w:rFonts w:ascii="Times New Roman" w:hAnsi="黑体" w:eastAsia="黑体"/>
          <w:b w:val="0"/>
          <w:bCs w:val="0"/>
          <w:color w:val="auto"/>
          <w:sz w:val="32"/>
          <w:highlight w:val="none"/>
        </w:rPr>
        <w:t>、交付或实施时间、地点</w:t>
      </w:r>
      <w:bookmarkEnd w:id="41"/>
      <w:bookmarkEnd w:id="42"/>
      <w:bookmarkEnd w:id="43"/>
    </w:p>
    <w:p>
      <w:pPr>
        <w:spacing w:beforeLines="0" w:afterLines="0" w:line="560" w:lineRule="exact"/>
        <w:ind w:firstLine="640" w:firstLineChars="200"/>
        <w:rPr>
          <w:rFonts w:hint="eastAsia" w:ascii="仿宋_GB2312" w:hAnsi="仿宋_GB2312" w:eastAsia="仿宋_GB2312" w:cs="仿宋_GB2312"/>
          <w:sz w:val="32"/>
          <w:szCs w:val="32"/>
          <w:highlight w:val="none"/>
          <w:lang w:eastAsia="zh-CN"/>
        </w:rPr>
      </w:pPr>
      <w:bookmarkStart w:id="44" w:name="_Toc2325"/>
      <w:bookmarkStart w:id="45" w:name="_Toc27829"/>
      <w:r>
        <w:rPr>
          <w:rFonts w:hint="eastAsia" w:ascii="仿宋_GB2312" w:hAnsi="仿宋_GB2312" w:eastAsia="仿宋_GB2312" w:cs="仿宋_GB2312"/>
          <w:sz w:val="32"/>
          <w:szCs w:val="32"/>
          <w:highlight w:val="none"/>
          <w:lang w:eastAsia="zh-CN"/>
        </w:rPr>
        <w:t>（一）项目实施进度：</w:t>
      </w:r>
    </w:p>
    <w:tbl>
      <w:tblPr>
        <w:tblStyle w:val="22"/>
        <w:tblW w:w="9179" w:type="dxa"/>
        <w:tblInd w:w="1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2524"/>
        <w:gridCol w:w="5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spacing w:beforeLines="0" w:afterLines="0" w:line="560" w:lineRule="exac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序号</w:t>
            </w:r>
          </w:p>
        </w:tc>
        <w:tc>
          <w:tcPr>
            <w:tcW w:w="2524" w:type="dxa"/>
            <w:noWrap w:val="0"/>
            <w:vAlign w:val="top"/>
          </w:tcPr>
          <w:p>
            <w:pPr>
              <w:spacing w:beforeLines="0" w:afterLines="0" w:line="560" w:lineRule="exac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实施阶段</w:t>
            </w:r>
          </w:p>
        </w:tc>
        <w:tc>
          <w:tcPr>
            <w:tcW w:w="5726" w:type="dxa"/>
            <w:noWrap w:val="0"/>
            <w:vAlign w:val="top"/>
          </w:tcPr>
          <w:p>
            <w:pPr>
              <w:spacing w:beforeLines="0" w:afterLines="0" w:line="56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项目周期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9" w:type="dxa"/>
            <w:noWrap w:val="0"/>
            <w:vAlign w:val="center"/>
          </w:tcPr>
          <w:p>
            <w:pPr>
              <w:spacing w:beforeLines="0" w:afterLines="0" w:line="560" w:lineRule="exac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1</w:t>
            </w:r>
          </w:p>
        </w:tc>
        <w:tc>
          <w:tcPr>
            <w:tcW w:w="2524" w:type="dxa"/>
            <w:noWrap w:val="0"/>
            <w:vAlign w:val="center"/>
          </w:tcPr>
          <w:p>
            <w:pPr>
              <w:spacing w:beforeLines="0" w:afterLines="0" w:line="560" w:lineRule="exac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开发实施阶段</w:t>
            </w:r>
          </w:p>
        </w:tc>
        <w:tc>
          <w:tcPr>
            <w:tcW w:w="5726" w:type="dxa"/>
            <w:noWrap w:val="0"/>
            <w:vAlign w:val="top"/>
          </w:tcPr>
          <w:p>
            <w:pPr>
              <w:spacing w:beforeLines="0" w:afterLines="0" w:line="560" w:lineRule="exac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合同签订后</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个月内完成投产上线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spacing w:beforeLines="0" w:afterLines="0" w:line="560" w:lineRule="exac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2</w:t>
            </w:r>
          </w:p>
        </w:tc>
        <w:tc>
          <w:tcPr>
            <w:tcW w:w="2524" w:type="dxa"/>
            <w:noWrap w:val="0"/>
            <w:vAlign w:val="center"/>
          </w:tcPr>
          <w:p>
            <w:pPr>
              <w:spacing w:beforeLines="0" w:afterLines="0" w:line="560" w:lineRule="exac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免费运维阶段</w:t>
            </w:r>
          </w:p>
        </w:tc>
        <w:tc>
          <w:tcPr>
            <w:tcW w:w="5726" w:type="dxa"/>
            <w:noWrap w:val="0"/>
            <w:vAlign w:val="top"/>
          </w:tcPr>
          <w:p>
            <w:pPr>
              <w:spacing w:beforeLines="0" w:afterLines="0" w:line="560" w:lineRule="exac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投产上线完成并稳定运行满3个月通过甲方验收后12个月</w:t>
            </w:r>
          </w:p>
        </w:tc>
      </w:tr>
    </w:tbl>
    <w:p>
      <w:pPr>
        <w:spacing w:beforeLines="0" w:afterLines="0" w:line="560" w:lineRule="exact"/>
        <w:ind w:firstLine="640" w:firstLineChars="200"/>
        <w:rPr>
          <w:rFonts w:hint="default"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（二）服务地点：</w:t>
      </w:r>
      <w:r>
        <w:rPr>
          <w:rFonts w:hint="eastAsia" w:ascii="仿宋_GB2312" w:hAnsi="仿宋_GB2312" w:eastAsia="仿宋_GB2312" w:cs="仿宋_GB2312"/>
          <w:sz w:val="32"/>
          <w:szCs w:val="32"/>
          <w:highlight w:val="none"/>
          <w:lang w:val="en-US" w:eastAsia="zh-CN"/>
        </w:rPr>
        <w:t>中国</w:t>
      </w:r>
      <w:r>
        <w:rPr>
          <w:rFonts w:hint="eastAsia" w:ascii="仿宋_GB2312" w:hAnsi="仿宋_GB2312" w:eastAsia="仿宋_GB2312" w:cs="仿宋_GB2312"/>
          <w:sz w:val="32"/>
          <w:szCs w:val="32"/>
          <w:highlight w:val="none"/>
          <w:lang w:eastAsia="zh-CN"/>
        </w:rPr>
        <w:t>进出口银行总行</w:t>
      </w:r>
      <w:r>
        <w:rPr>
          <w:rFonts w:hint="eastAsia" w:ascii="仿宋_GB2312" w:hAnsi="仿宋_GB2312" w:eastAsia="仿宋_GB2312" w:cs="仿宋_GB2312"/>
          <w:sz w:val="32"/>
          <w:szCs w:val="32"/>
          <w:highlight w:val="none"/>
          <w:lang w:val="en-US" w:eastAsia="zh-CN"/>
        </w:rPr>
        <w:t>或甲方指定地点。</w:t>
      </w:r>
    </w:p>
    <w:p>
      <w:pPr>
        <w:spacing w:beforeLines="0" w:afterLines="0" w:line="56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（三）服务期限：自合同签订到投产</w:t>
      </w:r>
      <w:r>
        <w:rPr>
          <w:rFonts w:hint="eastAsia" w:ascii="仿宋_GB2312" w:hAnsi="仿宋_GB2312" w:eastAsia="仿宋_GB2312" w:cs="仿宋_GB2312"/>
          <w:sz w:val="32"/>
          <w:szCs w:val="32"/>
          <w:highlight w:val="none"/>
          <w:lang w:val="en-US" w:eastAsia="zh-CN"/>
        </w:rPr>
        <w:t>验收</w:t>
      </w:r>
      <w:r>
        <w:rPr>
          <w:rFonts w:hint="eastAsia" w:ascii="仿宋_GB2312" w:hAnsi="仿宋_GB2312" w:eastAsia="仿宋_GB2312" w:cs="仿宋_GB2312"/>
          <w:sz w:val="32"/>
          <w:szCs w:val="32"/>
          <w:highlight w:val="none"/>
          <w:lang w:eastAsia="zh-CN"/>
        </w:rPr>
        <w:t>后12个月。</w:t>
      </w:r>
    </w:p>
    <w:p>
      <w:pPr>
        <w:pStyle w:val="17"/>
        <w:keepNext/>
        <w:keepLines/>
        <w:pageBreakBefore w:val="0"/>
        <w:widowControl w:val="0"/>
        <w:numPr>
          <w:ilvl w:val="0"/>
          <w:numId w:val="5"/>
        </w:numPr>
        <w:kinsoku/>
        <w:wordWrap/>
        <w:overflowPunct/>
        <w:topLinePunct w:val="0"/>
        <w:autoSpaceDE/>
        <w:autoSpaceDN/>
        <w:bidi w:val="0"/>
        <w:adjustRightInd w:val="0"/>
        <w:snapToGrid/>
        <w:spacing w:before="157" w:beforeLines="50" w:after="0" w:afterLines="0" w:line="560" w:lineRule="exact"/>
        <w:ind w:firstLine="640" w:firstLineChars="200"/>
        <w:textAlignment w:val="baseline"/>
        <w:outlineLvl w:val="0"/>
        <w:rPr>
          <w:rFonts w:ascii="Times New Roman" w:hAnsi="黑体" w:eastAsia="黑体"/>
          <w:b w:val="0"/>
          <w:bCs w:val="0"/>
          <w:color w:val="auto"/>
          <w:sz w:val="32"/>
          <w:highlight w:val="none"/>
        </w:rPr>
      </w:pPr>
      <w:bookmarkStart w:id="46" w:name="_Toc30959"/>
      <w:r>
        <w:rPr>
          <w:rFonts w:ascii="Times New Roman" w:hAnsi="黑体" w:eastAsia="黑体"/>
          <w:b w:val="0"/>
          <w:bCs w:val="0"/>
          <w:color w:val="auto"/>
          <w:sz w:val="32"/>
          <w:highlight w:val="none"/>
        </w:rPr>
        <w:t>财务支付要求</w:t>
      </w:r>
      <w:bookmarkEnd w:id="44"/>
      <w:bookmarkEnd w:id="46"/>
    </w:p>
    <w:bookmarkEnd w:id="45"/>
    <w:tbl>
      <w:tblPr>
        <w:tblStyle w:val="21"/>
        <w:tblW w:w="82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281"/>
        <w:gridCol w:w="4296"/>
        <w:gridCol w:w="2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485" w:type="dxa"/>
            <w:noWrap w:val="0"/>
            <w:vAlign w:val="center"/>
          </w:tcPr>
          <w:p>
            <w:pPr>
              <w:pageBreakBefore w:val="0"/>
              <w:widowControl/>
              <w:kinsoku/>
              <w:overflowPunct/>
              <w:topLinePunct w:val="0"/>
              <w:autoSpaceDE/>
              <w:autoSpaceDN/>
              <w:bidi w:val="0"/>
              <w:adjustRightInd w:val="0"/>
              <w:snapToGrid/>
              <w:spacing w:beforeLines="0" w:afterLines="0" w:line="560" w:lineRule="exact"/>
              <w:ind w:firstLine="0" w:firstLineChars="0"/>
              <w:jc w:val="center"/>
              <w:textAlignment w:val="baseline"/>
              <w:rPr>
                <w:rFonts w:hint="eastAsia" w:ascii="黑体" w:hAnsi="黑体" w:eastAsia="黑体" w:cs="黑体"/>
                <w:b w:val="0"/>
                <w:bCs w:val="0"/>
                <w:color w:val="auto"/>
                <w:sz w:val="24"/>
                <w:szCs w:val="24"/>
              </w:rPr>
            </w:pPr>
            <w:bookmarkStart w:id="47" w:name="_Toc8242"/>
            <w:bookmarkStart w:id="48" w:name="_Toc29815"/>
            <w:bookmarkStart w:id="49" w:name="_Toc32301"/>
            <w:r>
              <w:rPr>
                <w:rFonts w:hint="eastAsia" w:ascii="黑体" w:hAnsi="黑体" w:eastAsia="黑体" w:cs="黑体"/>
                <w:b w:val="0"/>
                <w:bCs w:val="0"/>
                <w:color w:val="auto"/>
                <w:sz w:val="24"/>
                <w:szCs w:val="24"/>
              </w:rPr>
              <w:t>序号</w:t>
            </w:r>
          </w:p>
        </w:tc>
        <w:tc>
          <w:tcPr>
            <w:tcW w:w="1281" w:type="dxa"/>
            <w:noWrap w:val="0"/>
            <w:vAlign w:val="center"/>
          </w:tcPr>
          <w:p>
            <w:pPr>
              <w:pageBreakBefore w:val="0"/>
              <w:widowControl/>
              <w:kinsoku/>
              <w:overflowPunct/>
              <w:topLinePunct w:val="0"/>
              <w:autoSpaceDE/>
              <w:autoSpaceDN/>
              <w:bidi w:val="0"/>
              <w:adjustRightInd w:val="0"/>
              <w:snapToGrid/>
              <w:spacing w:beforeLines="0" w:afterLines="0" w:line="560" w:lineRule="exact"/>
              <w:ind w:firstLine="0" w:firstLineChars="0"/>
              <w:jc w:val="center"/>
              <w:textAlignment w:val="baseline"/>
              <w:rPr>
                <w:rFonts w:hint="eastAsia" w:ascii="黑体" w:hAnsi="黑体" w:eastAsia="黑体" w:cs="黑体"/>
                <w:b w:val="0"/>
                <w:bCs w:val="0"/>
                <w:color w:val="auto"/>
                <w:sz w:val="24"/>
                <w:szCs w:val="24"/>
              </w:rPr>
            </w:pPr>
            <w:r>
              <w:rPr>
                <w:rFonts w:hint="eastAsia" w:ascii="黑体" w:hAnsi="黑体" w:eastAsia="黑体" w:cs="黑体"/>
                <w:b w:val="0"/>
                <w:bCs w:val="0"/>
                <w:color w:val="auto"/>
                <w:sz w:val="24"/>
                <w:szCs w:val="24"/>
              </w:rPr>
              <w:t>付款节点</w:t>
            </w:r>
          </w:p>
        </w:tc>
        <w:tc>
          <w:tcPr>
            <w:tcW w:w="4296" w:type="dxa"/>
            <w:noWrap w:val="0"/>
            <w:vAlign w:val="center"/>
          </w:tcPr>
          <w:p>
            <w:pPr>
              <w:pageBreakBefore w:val="0"/>
              <w:widowControl/>
              <w:kinsoku/>
              <w:overflowPunct/>
              <w:topLinePunct w:val="0"/>
              <w:autoSpaceDE/>
              <w:autoSpaceDN/>
              <w:bidi w:val="0"/>
              <w:adjustRightInd w:val="0"/>
              <w:snapToGrid/>
              <w:spacing w:beforeLines="0" w:afterLines="0" w:line="560" w:lineRule="exact"/>
              <w:ind w:firstLine="0" w:firstLineChars="0"/>
              <w:jc w:val="center"/>
              <w:textAlignment w:val="baseline"/>
              <w:rPr>
                <w:rFonts w:hint="eastAsia" w:ascii="黑体" w:hAnsi="黑体" w:eastAsia="黑体" w:cs="黑体"/>
                <w:b w:val="0"/>
                <w:bCs w:val="0"/>
                <w:color w:val="auto"/>
                <w:sz w:val="24"/>
                <w:szCs w:val="24"/>
              </w:rPr>
            </w:pPr>
            <w:r>
              <w:rPr>
                <w:rFonts w:hint="eastAsia" w:ascii="黑体" w:hAnsi="黑体" w:eastAsia="黑体" w:cs="黑体"/>
                <w:b w:val="0"/>
                <w:bCs w:val="0"/>
                <w:color w:val="auto"/>
                <w:sz w:val="24"/>
                <w:szCs w:val="24"/>
              </w:rPr>
              <w:t>付款条件</w:t>
            </w:r>
          </w:p>
        </w:tc>
        <w:tc>
          <w:tcPr>
            <w:tcW w:w="2187" w:type="dxa"/>
            <w:noWrap w:val="0"/>
            <w:vAlign w:val="center"/>
          </w:tcPr>
          <w:p>
            <w:pPr>
              <w:pageBreakBefore w:val="0"/>
              <w:widowControl/>
              <w:kinsoku/>
              <w:overflowPunct/>
              <w:topLinePunct w:val="0"/>
              <w:autoSpaceDE/>
              <w:autoSpaceDN/>
              <w:bidi w:val="0"/>
              <w:adjustRightInd w:val="0"/>
              <w:snapToGrid/>
              <w:spacing w:beforeLines="0" w:afterLines="0" w:line="560" w:lineRule="exact"/>
              <w:ind w:firstLine="0" w:firstLineChars="0"/>
              <w:jc w:val="center"/>
              <w:textAlignment w:val="baseline"/>
              <w:rPr>
                <w:rFonts w:hint="eastAsia" w:ascii="黑体" w:hAnsi="黑体" w:eastAsia="黑体" w:cs="黑体"/>
                <w:b w:val="0"/>
                <w:bCs w:val="0"/>
                <w:color w:val="auto"/>
                <w:sz w:val="24"/>
                <w:szCs w:val="24"/>
              </w:rPr>
            </w:pPr>
            <w:r>
              <w:rPr>
                <w:rFonts w:hint="eastAsia" w:ascii="黑体" w:hAnsi="黑体" w:eastAsia="黑体" w:cs="黑体"/>
                <w:b w:val="0"/>
                <w:bCs w:val="0"/>
                <w:color w:val="auto"/>
                <w:sz w:val="24"/>
                <w:szCs w:val="24"/>
              </w:rPr>
              <w:t>付款比例(或金额)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485"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eastAsia="仿宋_GB2312"/>
                <w:color w:val="auto"/>
                <w:sz w:val="24"/>
                <w:szCs w:val="22"/>
              </w:rPr>
            </w:pPr>
            <w:r>
              <w:rPr>
                <w:rFonts w:hAnsi="楷体" w:eastAsia="仿宋_GB2312"/>
                <w:color w:val="auto"/>
                <w:sz w:val="24"/>
                <w:szCs w:val="22"/>
              </w:rPr>
              <w:t>１</w:t>
            </w:r>
          </w:p>
        </w:tc>
        <w:tc>
          <w:tcPr>
            <w:tcW w:w="1281"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hAnsi="楷体" w:eastAsia="仿宋_GB2312"/>
                <w:color w:val="auto"/>
                <w:sz w:val="24"/>
                <w:szCs w:val="22"/>
              </w:rPr>
            </w:pPr>
            <w:r>
              <w:rPr>
                <w:rFonts w:hAnsi="楷体" w:eastAsia="仿宋_GB2312"/>
                <w:color w:val="auto"/>
                <w:sz w:val="24"/>
                <w:szCs w:val="22"/>
              </w:rPr>
              <w:t>首付款</w:t>
            </w:r>
          </w:p>
        </w:tc>
        <w:tc>
          <w:tcPr>
            <w:tcW w:w="4296"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left"/>
              <w:textAlignment w:val="auto"/>
              <w:rPr>
                <w:rFonts w:hint="default" w:hAnsi="楷体" w:eastAsia="仿宋_GB2312"/>
                <w:color w:val="auto"/>
                <w:sz w:val="24"/>
                <w:szCs w:val="22"/>
                <w:lang w:val="en-US" w:eastAsia="zh-CN"/>
              </w:rPr>
            </w:pPr>
            <w:r>
              <w:rPr>
                <w:rFonts w:hint="eastAsia" w:hAnsi="楷体" w:eastAsia="仿宋_GB2312" w:cs="Times New Roman"/>
                <w:color w:val="auto"/>
                <w:kern w:val="2"/>
                <w:sz w:val="24"/>
                <w:szCs w:val="22"/>
                <w:lang w:val="en-US" w:eastAsia="zh-CN"/>
              </w:rPr>
              <w:t>合同签署</w:t>
            </w:r>
            <w:r>
              <w:rPr>
                <w:rFonts w:hint="default" w:ascii="Times New Roman" w:hAnsi="楷体" w:eastAsia="仿宋_GB2312" w:cs="Times New Roman"/>
                <w:color w:val="auto"/>
                <w:kern w:val="2"/>
                <w:sz w:val="24"/>
                <w:szCs w:val="22"/>
              </w:rPr>
              <w:t>后，甲方在收到乙方出具的付款申请及相应金额经甲方认可的合法有效发票之日起</w:t>
            </w:r>
            <w:r>
              <w:rPr>
                <w:rFonts w:hint="eastAsia" w:hAnsi="楷体" w:eastAsia="仿宋_GB2312" w:cs="Times New Roman"/>
                <w:color w:val="auto"/>
                <w:kern w:val="2"/>
                <w:sz w:val="24"/>
                <w:szCs w:val="22"/>
                <w:lang w:val="en-US" w:eastAsia="zh-CN"/>
              </w:rPr>
              <w:t>20个工作</w:t>
            </w:r>
            <w:r>
              <w:rPr>
                <w:rFonts w:hint="default" w:ascii="Times New Roman" w:hAnsi="楷体" w:eastAsia="仿宋_GB2312" w:cs="Times New Roman"/>
                <w:color w:val="auto"/>
                <w:kern w:val="2"/>
                <w:sz w:val="24"/>
                <w:szCs w:val="22"/>
              </w:rPr>
              <w:t>日内</w:t>
            </w:r>
          </w:p>
        </w:tc>
        <w:tc>
          <w:tcPr>
            <w:tcW w:w="2187"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left"/>
              <w:textAlignment w:val="auto"/>
              <w:rPr>
                <w:rFonts w:hAnsi="楷体" w:eastAsia="仿宋_GB2312"/>
                <w:color w:val="auto"/>
                <w:sz w:val="24"/>
                <w:szCs w:val="22"/>
              </w:rPr>
            </w:pPr>
            <w:r>
              <w:rPr>
                <w:rFonts w:hint="eastAsia" w:hAnsi="楷体" w:eastAsia="仿宋_GB2312" w:cs="Times New Roman"/>
                <w:color w:val="auto"/>
                <w:sz w:val="24"/>
                <w:szCs w:val="22"/>
                <w:lang w:val="en-US" w:eastAsia="zh-CN"/>
              </w:rPr>
              <w:t>付款至</w:t>
            </w:r>
            <w:r>
              <w:rPr>
                <w:rFonts w:hint="default" w:ascii="Times New Roman" w:hAnsi="楷体" w:eastAsia="仿宋_GB2312" w:cs="Times New Roman"/>
                <w:color w:val="auto"/>
                <w:sz w:val="24"/>
                <w:szCs w:val="22"/>
                <w:lang w:val="en-US" w:eastAsia="zh-CN"/>
              </w:rPr>
              <w:t>合同金额的</w:t>
            </w:r>
            <w:r>
              <w:rPr>
                <w:rFonts w:hint="eastAsia" w:hAnsi="楷体" w:eastAsia="仿宋_GB2312" w:cs="Times New Roman"/>
                <w:color w:val="auto"/>
                <w:sz w:val="24"/>
                <w:szCs w:val="22"/>
                <w:lang w:val="en-US" w:eastAsia="zh-CN"/>
              </w:rPr>
              <w:t>50</w:t>
            </w:r>
            <w:r>
              <w:rPr>
                <w:rFonts w:hint="default" w:ascii="Times New Roman" w:hAnsi="楷体" w:eastAsia="仿宋_GB2312" w:cs="Times New Roman"/>
                <w:color w:val="auto"/>
                <w:sz w:val="24"/>
                <w:szCs w:val="2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485"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hAnsi="楷体" w:eastAsia="仿宋_GB2312"/>
                <w:color w:val="auto"/>
                <w:sz w:val="24"/>
                <w:szCs w:val="22"/>
              </w:rPr>
            </w:pPr>
            <w:r>
              <w:rPr>
                <w:rFonts w:eastAsia="仿宋_GB2312"/>
                <w:color w:val="auto"/>
                <w:sz w:val="24"/>
                <w:szCs w:val="22"/>
              </w:rPr>
              <w:t>2</w:t>
            </w:r>
          </w:p>
        </w:tc>
        <w:tc>
          <w:tcPr>
            <w:tcW w:w="128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default" w:hAnsi="楷体" w:eastAsia="仿宋_GB2312"/>
                <w:color w:val="auto"/>
                <w:sz w:val="24"/>
                <w:szCs w:val="22"/>
                <w:lang w:val="en-US" w:eastAsia="zh-CN"/>
              </w:rPr>
            </w:pPr>
            <w:r>
              <w:rPr>
                <w:rFonts w:hint="eastAsia" w:hAnsi="楷体" w:eastAsia="仿宋_GB2312"/>
                <w:color w:val="auto"/>
                <w:sz w:val="24"/>
                <w:szCs w:val="22"/>
                <w:lang w:val="en-US" w:eastAsia="zh-CN"/>
              </w:rPr>
              <w:t>验收款</w:t>
            </w:r>
          </w:p>
        </w:tc>
        <w:tc>
          <w:tcPr>
            <w:tcW w:w="4296"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left"/>
              <w:textAlignment w:val="auto"/>
              <w:rPr>
                <w:rFonts w:hint="default" w:ascii="Times New Roman" w:hAnsi="楷体" w:eastAsia="仿宋_GB2312" w:cs="Times New Roman"/>
                <w:color w:val="auto"/>
                <w:kern w:val="2"/>
                <w:sz w:val="24"/>
                <w:szCs w:val="22"/>
                <w:lang w:val="en-US"/>
              </w:rPr>
            </w:pPr>
            <w:r>
              <w:rPr>
                <w:rFonts w:hint="default" w:ascii="Times New Roman" w:hAnsi="楷体" w:eastAsia="仿宋_GB2312" w:cs="Times New Roman"/>
                <w:color w:val="auto"/>
                <w:kern w:val="2"/>
                <w:sz w:val="24"/>
                <w:szCs w:val="22"/>
                <w:lang w:val="en-US" w:eastAsia="zh-CN"/>
              </w:rPr>
              <w:t>系统通过</w:t>
            </w:r>
            <w:r>
              <w:rPr>
                <w:rFonts w:hint="eastAsia" w:hAnsi="楷体" w:eastAsia="仿宋_GB2312" w:cs="Times New Roman"/>
                <w:color w:val="auto"/>
                <w:kern w:val="2"/>
                <w:sz w:val="24"/>
                <w:szCs w:val="22"/>
                <w:lang w:val="en-US" w:eastAsia="zh-CN"/>
              </w:rPr>
              <w:t>我行</w:t>
            </w:r>
            <w:r>
              <w:rPr>
                <w:rFonts w:hint="default" w:ascii="Times New Roman" w:hAnsi="楷体" w:eastAsia="仿宋_GB2312" w:cs="Times New Roman"/>
                <w:color w:val="auto"/>
                <w:kern w:val="2"/>
                <w:sz w:val="24"/>
                <w:szCs w:val="22"/>
                <w:lang w:val="en-US" w:eastAsia="zh-CN"/>
              </w:rPr>
              <w:t>验收后，甲方自收到乙方出具的付款申请及相应金额经甲方认可的合法有效发票之日起20个工作日内</w:t>
            </w:r>
          </w:p>
        </w:tc>
        <w:tc>
          <w:tcPr>
            <w:tcW w:w="2187"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left"/>
              <w:textAlignment w:val="auto"/>
              <w:rPr>
                <w:rFonts w:hint="eastAsia" w:hAnsi="楷体" w:eastAsia="仿宋_GB2312" w:cs="Times New Roman"/>
                <w:color w:val="auto"/>
                <w:sz w:val="24"/>
                <w:szCs w:val="22"/>
                <w:lang w:val="en-US" w:eastAsia="zh-CN"/>
              </w:rPr>
            </w:pPr>
            <w:r>
              <w:rPr>
                <w:rFonts w:hint="eastAsia" w:hAnsi="楷体" w:eastAsia="仿宋_GB2312" w:cs="Times New Roman"/>
                <w:color w:val="auto"/>
                <w:sz w:val="24"/>
                <w:szCs w:val="22"/>
                <w:lang w:val="en-US" w:eastAsia="zh-CN"/>
              </w:rPr>
              <w:t>付款至</w:t>
            </w:r>
            <w:r>
              <w:rPr>
                <w:rFonts w:hint="default" w:ascii="Times New Roman" w:hAnsi="楷体" w:eastAsia="仿宋_GB2312" w:cs="Times New Roman"/>
                <w:color w:val="auto"/>
                <w:sz w:val="24"/>
                <w:szCs w:val="22"/>
                <w:lang w:val="en-US" w:eastAsia="zh-CN"/>
              </w:rPr>
              <w:t>合同金额的</w:t>
            </w:r>
            <w:r>
              <w:rPr>
                <w:rFonts w:hint="eastAsia" w:hAnsi="楷体" w:eastAsia="仿宋_GB2312" w:cs="Times New Roman"/>
                <w:color w:val="auto"/>
                <w:sz w:val="24"/>
                <w:szCs w:val="22"/>
                <w:lang w:val="en-US" w:eastAsia="zh-CN"/>
              </w:rPr>
              <w:t>7</w:t>
            </w:r>
            <w:r>
              <w:rPr>
                <w:rFonts w:hint="default" w:ascii="Times New Roman" w:hAnsi="楷体" w:eastAsia="仿宋_GB2312" w:cs="Times New Roman"/>
                <w:color w:val="auto"/>
                <w:sz w:val="24"/>
                <w:szCs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485"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hint="eastAsia" w:eastAsia="仿宋_GB2312"/>
                <w:color w:val="auto"/>
                <w:sz w:val="24"/>
                <w:szCs w:val="22"/>
                <w:lang w:val="en-US" w:eastAsia="zh-CN"/>
              </w:rPr>
            </w:pPr>
            <w:r>
              <w:rPr>
                <w:rFonts w:hint="eastAsia" w:eastAsia="仿宋_GB2312"/>
                <w:color w:val="auto"/>
                <w:sz w:val="24"/>
                <w:szCs w:val="22"/>
                <w:lang w:val="en-US" w:eastAsia="zh-CN"/>
              </w:rPr>
              <w:t>3</w:t>
            </w:r>
          </w:p>
        </w:tc>
        <w:tc>
          <w:tcPr>
            <w:tcW w:w="1281" w:type="dxa"/>
            <w:noWrap w:val="0"/>
            <w:vAlign w:val="center"/>
          </w:tcPr>
          <w:p>
            <w:pPr>
              <w:pageBreakBefore w:val="0"/>
              <w:kinsoku/>
              <w:overflowPunct/>
              <w:topLinePunct w:val="0"/>
              <w:autoSpaceDE/>
              <w:autoSpaceDN/>
              <w:bidi w:val="0"/>
              <w:snapToGrid/>
              <w:spacing w:beforeLines="0" w:afterLines="0" w:line="560" w:lineRule="exact"/>
              <w:ind w:firstLine="0" w:firstLineChars="0"/>
              <w:jc w:val="center"/>
              <w:rPr>
                <w:rFonts w:hint="default" w:hAnsi="楷体" w:eastAsia="仿宋_GB2312"/>
                <w:color w:val="auto"/>
                <w:sz w:val="24"/>
                <w:szCs w:val="22"/>
                <w:lang w:eastAsia="zh-CN"/>
              </w:rPr>
            </w:pPr>
            <w:r>
              <w:rPr>
                <w:rFonts w:hint="default" w:hAnsi="楷体" w:eastAsia="仿宋_GB2312"/>
                <w:color w:val="auto"/>
                <w:sz w:val="24"/>
                <w:szCs w:val="22"/>
                <w:lang w:val="en-US" w:eastAsia="zh-CN"/>
              </w:rPr>
              <w:t>尾</w:t>
            </w:r>
            <w:r>
              <w:rPr>
                <w:rFonts w:hint="eastAsia" w:hAnsi="楷体" w:eastAsia="仿宋_GB2312"/>
                <w:color w:val="auto"/>
                <w:sz w:val="24"/>
                <w:szCs w:val="22"/>
                <w:lang w:val="en-US" w:eastAsia="zh-CN"/>
              </w:rPr>
              <w:t xml:space="preserve">  </w:t>
            </w:r>
            <w:r>
              <w:rPr>
                <w:rFonts w:hint="default" w:hAnsi="楷体" w:eastAsia="仿宋_GB2312"/>
                <w:color w:val="auto"/>
                <w:sz w:val="24"/>
                <w:szCs w:val="22"/>
                <w:lang w:val="en-US" w:eastAsia="zh-CN"/>
              </w:rPr>
              <w:t>款</w:t>
            </w:r>
          </w:p>
        </w:tc>
        <w:tc>
          <w:tcPr>
            <w:tcW w:w="4296"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both"/>
              <w:textAlignment w:val="auto"/>
              <w:rPr>
                <w:rFonts w:hint="default" w:hAnsi="楷体" w:eastAsia="仿宋_GB2312"/>
                <w:color w:val="auto"/>
                <w:sz w:val="24"/>
                <w:szCs w:val="22"/>
                <w:lang w:eastAsia="zh-CN"/>
              </w:rPr>
            </w:pPr>
            <w:r>
              <w:rPr>
                <w:rFonts w:hint="eastAsia" w:hAnsi="楷体" w:eastAsia="仿宋_GB2312"/>
                <w:color w:val="auto"/>
                <w:sz w:val="24"/>
                <w:szCs w:val="22"/>
                <w:lang w:val="en-US" w:eastAsia="zh-CN"/>
              </w:rPr>
              <w:t>维护期结束，乙方提交保修期总结报告并得到甲方书面确认后，甲方在收到乙方出具的付款申请及相应金额经甲方认可的合法有效发票之日起20</w:t>
            </w:r>
            <w:r>
              <w:rPr>
                <w:rFonts w:hint="default" w:hAnsi="楷体" w:eastAsia="仿宋_GB2312"/>
                <w:color w:val="auto"/>
                <w:sz w:val="24"/>
                <w:szCs w:val="22"/>
                <w:lang w:eastAsia="zh-CN"/>
              </w:rPr>
              <w:t>个工作日内</w:t>
            </w:r>
          </w:p>
        </w:tc>
        <w:tc>
          <w:tcPr>
            <w:tcW w:w="2187"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left"/>
              <w:textAlignment w:val="auto"/>
              <w:rPr>
                <w:rFonts w:hAnsi="楷体" w:eastAsia="仿宋_GB2312"/>
                <w:color w:val="auto"/>
                <w:sz w:val="24"/>
                <w:szCs w:val="22"/>
              </w:rPr>
            </w:pPr>
            <w:r>
              <w:rPr>
                <w:rFonts w:hint="eastAsia" w:hAnsi="楷体" w:eastAsia="仿宋_GB2312" w:cs="Times New Roman"/>
                <w:color w:val="auto"/>
                <w:sz w:val="24"/>
                <w:szCs w:val="22"/>
                <w:lang w:val="en-US" w:eastAsia="zh-CN"/>
              </w:rPr>
              <w:t>付款至</w:t>
            </w:r>
            <w:r>
              <w:rPr>
                <w:rFonts w:hint="default" w:ascii="Times New Roman" w:hAnsi="楷体" w:eastAsia="仿宋_GB2312" w:cs="Times New Roman"/>
                <w:color w:val="auto"/>
                <w:sz w:val="24"/>
                <w:szCs w:val="22"/>
                <w:lang w:val="en-US" w:eastAsia="zh-CN"/>
              </w:rPr>
              <w:t>合同金额的</w:t>
            </w:r>
            <w:r>
              <w:rPr>
                <w:rFonts w:hint="eastAsia" w:hAnsi="楷体" w:eastAsia="仿宋_GB2312" w:cs="Times New Roman"/>
                <w:color w:val="auto"/>
                <w:sz w:val="24"/>
                <w:szCs w:val="22"/>
                <w:lang w:val="en-US" w:eastAsia="zh-CN"/>
              </w:rPr>
              <w:t>10</w:t>
            </w:r>
            <w:r>
              <w:rPr>
                <w:rFonts w:hint="default" w:ascii="Times New Roman" w:hAnsi="楷体" w:eastAsia="仿宋_GB2312" w:cs="Times New Roman"/>
                <w:color w:val="auto"/>
                <w:sz w:val="24"/>
                <w:szCs w:val="22"/>
                <w:lang w:val="en-US" w:eastAsia="zh-CN"/>
              </w:rPr>
              <w:t>0%</w:t>
            </w:r>
          </w:p>
        </w:tc>
      </w:tr>
    </w:tbl>
    <w:p>
      <w:pPr>
        <w:pStyle w:val="17"/>
        <w:keepNext/>
        <w:keepLines/>
        <w:pageBreakBefore w:val="0"/>
        <w:widowControl w:val="0"/>
        <w:kinsoku/>
        <w:wordWrap/>
        <w:overflowPunct/>
        <w:topLinePunct w:val="0"/>
        <w:autoSpaceDE/>
        <w:autoSpaceDN/>
        <w:bidi w:val="0"/>
        <w:adjustRightInd w:val="0"/>
        <w:snapToGrid/>
        <w:spacing w:before="157" w:beforeLines="50" w:after="0" w:afterLines="0" w:line="560" w:lineRule="exact"/>
        <w:ind w:firstLine="640" w:firstLineChars="200"/>
        <w:textAlignment w:val="baseline"/>
        <w:outlineLvl w:val="0"/>
        <w:rPr>
          <w:rFonts w:ascii="Times New Roman" w:hAnsi="Times New Roman" w:eastAsia="黑体"/>
          <w:b w:val="0"/>
          <w:bCs w:val="0"/>
          <w:color w:val="auto"/>
          <w:sz w:val="32"/>
          <w:highlight w:val="none"/>
        </w:rPr>
      </w:pPr>
      <w:bookmarkStart w:id="50" w:name="_Toc2294"/>
      <w:r>
        <w:rPr>
          <w:rFonts w:hint="eastAsia" w:ascii="Times New Roman" w:hAnsi="黑体" w:eastAsia="黑体"/>
          <w:b w:val="0"/>
          <w:bCs w:val="0"/>
          <w:color w:val="auto"/>
          <w:sz w:val="32"/>
          <w:highlight w:val="none"/>
          <w:lang w:val="en-US" w:eastAsia="zh-CN"/>
        </w:rPr>
        <w:t>十</w:t>
      </w:r>
      <w:r>
        <w:rPr>
          <w:rFonts w:ascii="Times New Roman" w:hAnsi="黑体" w:eastAsia="黑体"/>
          <w:b w:val="0"/>
          <w:bCs w:val="0"/>
          <w:color w:val="auto"/>
          <w:sz w:val="32"/>
          <w:highlight w:val="none"/>
        </w:rPr>
        <w:t>、履约验收方案</w:t>
      </w:r>
      <w:bookmarkEnd w:id="47"/>
      <w:bookmarkEnd w:id="48"/>
      <w:bookmarkEnd w:id="49"/>
      <w:bookmarkEnd w:id="50"/>
    </w:p>
    <w:p>
      <w:pPr>
        <w:pageBreakBefore w:val="0"/>
        <w:kinsoku/>
        <w:overflowPunct/>
        <w:topLinePunct w:val="0"/>
        <w:autoSpaceDE/>
        <w:autoSpaceDN/>
        <w:bidi w:val="0"/>
        <w:adjustRightInd w:val="0"/>
        <w:snapToGrid/>
        <w:spacing w:beforeLines="0" w:afterLines="0" w:line="560" w:lineRule="exact"/>
        <w:ind w:firstLine="640" w:firstLineChars="200"/>
        <w:textAlignment w:val="baseline"/>
        <w:rPr>
          <w:rFonts w:hint="eastAsia" w:ascii="楷体_GB2312" w:hAnsi="楷体_GB2312" w:eastAsia="楷体_GB2312" w:cs="楷体_GB2312"/>
          <w:color w:val="auto"/>
          <w:sz w:val="32"/>
          <w:szCs w:val="22"/>
        </w:rPr>
      </w:pPr>
      <w:bookmarkStart w:id="51" w:name="_Toc11360"/>
      <w:bookmarkStart w:id="52" w:name="_Toc20402"/>
      <w:bookmarkStart w:id="53" w:name="_Toc6272"/>
      <w:r>
        <w:rPr>
          <w:rFonts w:hint="eastAsia" w:ascii="楷体_GB2312" w:hAnsi="楷体_GB2312" w:eastAsia="楷体_GB2312" w:cs="楷体_GB2312"/>
          <w:color w:val="auto"/>
          <w:sz w:val="32"/>
          <w:szCs w:val="22"/>
          <w:lang w:val="en-US" w:eastAsia="zh-CN"/>
        </w:rPr>
        <w:t>（一）</w:t>
      </w:r>
      <w:r>
        <w:rPr>
          <w:rFonts w:hint="eastAsia" w:ascii="楷体_GB2312" w:hAnsi="楷体_GB2312" w:eastAsia="楷体_GB2312" w:cs="楷体_GB2312"/>
          <w:color w:val="auto"/>
          <w:sz w:val="32"/>
          <w:szCs w:val="22"/>
        </w:rPr>
        <w:t>履约验收的主体、时间、程序</w:t>
      </w:r>
    </w:p>
    <w:p>
      <w:pPr>
        <w:keepNext w:val="0"/>
        <w:keepLines w:val="0"/>
        <w:pageBreakBefore w:val="0"/>
        <w:widowControl/>
        <w:numPr>
          <w:ilvl w:val="0"/>
          <w:numId w:val="0"/>
        </w:numPr>
        <w:kinsoku/>
        <w:wordWrap/>
        <w:overflowPunct w:val="0"/>
        <w:topLinePunct w:val="0"/>
        <w:autoSpaceDE w:val="0"/>
        <w:autoSpaceDN w:val="0"/>
        <w:bidi w:val="0"/>
        <w:adjustRightInd/>
        <w:snapToGrid/>
        <w:spacing w:beforeLines="0" w:afterLines="0" w:line="560" w:lineRule="exact"/>
        <w:ind w:left="0" w:lef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验收</w:t>
      </w:r>
      <w:r>
        <w:rPr>
          <w:rFonts w:hint="eastAsia" w:ascii="仿宋_GB2312" w:hAnsi="仿宋_GB2312" w:eastAsia="仿宋_GB2312" w:cs="仿宋_GB2312"/>
          <w:color w:val="auto"/>
          <w:sz w:val="32"/>
          <w:szCs w:val="32"/>
          <w:lang w:val="en-US" w:eastAsia="zh-CN"/>
        </w:rPr>
        <w:t>主体</w:t>
      </w:r>
    </w:p>
    <w:p>
      <w:pPr>
        <w:keepNext w:val="0"/>
        <w:keepLines w:val="0"/>
        <w:pageBreakBefore w:val="0"/>
        <w:widowControl/>
        <w:numPr>
          <w:ilvl w:val="0"/>
          <w:numId w:val="0"/>
        </w:numPr>
        <w:kinsoku/>
        <w:wordWrap/>
        <w:overflowPunct w:val="0"/>
        <w:topLinePunct w:val="0"/>
        <w:autoSpaceDE w:val="0"/>
        <w:autoSpaceDN w:val="0"/>
        <w:bidi w:val="0"/>
        <w:adjustRightInd/>
        <w:snapToGrid/>
        <w:spacing w:beforeLines="0" w:afterLines="0" w:line="560" w:lineRule="exact"/>
        <w:ind w:left="0" w:lef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我行</w:t>
      </w:r>
      <w:r>
        <w:rPr>
          <w:rFonts w:hint="eastAsia" w:ascii="仿宋_GB2312" w:hAnsi="仿宋_GB2312" w:eastAsia="仿宋_GB2312" w:cs="仿宋_GB2312"/>
          <w:color w:val="auto"/>
          <w:sz w:val="32"/>
          <w:szCs w:val="32"/>
        </w:rPr>
        <w:t>组织验收。</w:t>
      </w:r>
    </w:p>
    <w:p>
      <w:pPr>
        <w:keepNext w:val="0"/>
        <w:keepLines w:val="0"/>
        <w:pageBreakBefore w:val="0"/>
        <w:widowControl/>
        <w:numPr>
          <w:ilvl w:val="0"/>
          <w:numId w:val="0"/>
        </w:numPr>
        <w:kinsoku/>
        <w:wordWrap/>
        <w:overflowPunct w:val="0"/>
        <w:topLinePunct w:val="0"/>
        <w:autoSpaceDE w:val="0"/>
        <w:autoSpaceDN w:val="0"/>
        <w:bidi w:val="0"/>
        <w:adjustRightInd/>
        <w:snapToGrid/>
        <w:spacing w:beforeLines="0" w:afterLines="0" w:line="560" w:lineRule="exact"/>
        <w:ind w:left="0" w:lef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2.验收时间及程序</w:t>
      </w:r>
    </w:p>
    <w:p>
      <w:pPr>
        <w:keepNext w:val="0"/>
        <w:keepLines w:val="0"/>
        <w:pageBreakBefore w:val="0"/>
        <w:widowControl/>
        <w:numPr>
          <w:ilvl w:val="0"/>
          <w:numId w:val="0"/>
        </w:numPr>
        <w:kinsoku/>
        <w:wordWrap/>
        <w:overflowPunct w:val="0"/>
        <w:topLinePunct w:val="0"/>
        <w:autoSpaceDE w:val="0"/>
        <w:autoSpaceDN w:val="0"/>
        <w:bidi w:val="0"/>
        <w:adjustRightInd/>
        <w:snapToGrid/>
        <w:spacing w:beforeLines="0" w:afterLines="0" w:line="560" w:lineRule="exact"/>
        <w:ind w:left="0" w:lef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所有改造系统投产上线完成并稳定运行满3个月，各项功能满足验收标准，进出口银行分批组织验收。</w:t>
      </w:r>
    </w:p>
    <w:p>
      <w:pPr>
        <w:widowControl/>
        <w:numPr>
          <w:ilvl w:val="0"/>
          <w:numId w:val="0"/>
        </w:numPr>
        <w:overflowPunct w:val="0"/>
        <w:autoSpaceDE w:val="0"/>
        <w:autoSpaceDN w:val="0"/>
        <w:spacing w:beforeLines="0" w:afterLines="0" w:line="560" w:lineRule="exact"/>
        <w:jc w:val="left"/>
        <w:outlineLvl w:val="9"/>
        <w:rPr>
          <w:rFonts w:hint="eastAsia" w:ascii="仿宋_GB2312" w:hAnsi="仿宋_GB2312" w:cs="仿宋_GB2312"/>
          <w:color w:val="auto"/>
          <w:szCs w:val="32"/>
          <w:lang w:val="en-US" w:eastAsia="zh-CN"/>
        </w:rPr>
      </w:pPr>
      <w:r>
        <w:rPr>
          <w:rFonts w:hint="eastAsia" w:ascii="仿宋_GB2312" w:hAnsi="仿宋_GB2312" w:eastAsia="仿宋_GB2312" w:cs="仿宋_GB2312"/>
          <w:color w:val="auto"/>
          <w:kern w:val="2"/>
          <w:sz w:val="32"/>
          <w:szCs w:val="32"/>
          <w:lang w:val="en-US" w:eastAsia="zh-CN" w:bidi="ar-SA"/>
        </w:rPr>
        <w:t>具备验收条件后，由供应商向我行提出验收申请，我行收到申请后，自行或授权第三方监理依照合同及本工作说明书对其工作进行验收评估，如验收评估中发现其工作存在瑕疵、问题或遗漏，供应商须按照甲方要求限时解决，解决后我行再次进行验收。验收通过后，我行出具验收报告。</w:t>
      </w:r>
    </w:p>
    <w:p>
      <w:pPr>
        <w:pageBreakBefore w:val="0"/>
        <w:kinsoku/>
        <w:overflowPunct/>
        <w:topLinePunct w:val="0"/>
        <w:autoSpaceDE/>
        <w:autoSpaceDN/>
        <w:bidi w:val="0"/>
        <w:adjustRightInd w:val="0"/>
        <w:snapToGrid/>
        <w:spacing w:beforeLines="0" w:afterLines="0" w:line="560" w:lineRule="exact"/>
        <w:ind w:firstLine="640" w:firstLineChars="200"/>
        <w:textAlignment w:val="baseline"/>
        <w:rPr>
          <w:rFonts w:hint="eastAsia" w:ascii="楷体_GB2312" w:hAnsi="楷体_GB2312" w:eastAsia="楷体_GB2312" w:cs="楷体_GB2312"/>
          <w:color w:val="auto"/>
          <w:sz w:val="32"/>
          <w:szCs w:val="22"/>
        </w:rPr>
      </w:pPr>
      <w:r>
        <w:rPr>
          <w:rFonts w:hint="eastAsia" w:ascii="楷体_GB2312" w:hAnsi="楷体_GB2312" w:eastAsia="楷体_GB2312" w:cs="楷体_GB2312"/>
          <w:color w:val="auto"/>
          <w:sz w:val="32"/>
          <w:szCs w:val="22"/>
          <w:lang w:val="en-US" w:eastAsia="zh-CN"/>
        </w:rPr>
        <w:t>（二）</w:t>
      </w:r>
      <w:r>
        <w:rPr>
          <w:rFonts w:hint="eastAsia" w:ascii="楷体_GB2312" w:hAnsi="楷体_GB2312" w:eastAsia="楷体_GB2312" w:cs="楷体_GB2312"/>
          <w:color w:val="auto"/>
          <w:sz w:val="32"/>
          <w:szCs w:val="22"/>
        </w:rPr>
        <w:t>履约验收内容和标准</w:t>
      </w:r>
    </w:p>
    <w:p>
      <w:pPr>
        <w:keepLines w:val="0"/>
        <w:pageBreakBefore w:val="0"/>
        <w:numPr>
          <w:ilvl w:val="0"/>
          <w:numId w:val="0"/>
        </w:numPr>
        <w:kinsoku/>
        <w:overflowPunct/>
        <w:topLinePunct w:val="0"/>
        <w:autoSpaceDE/>
        <w:autoSpaceDN/>
        <w:bidi w:val="0"/>
        <w:adjustRightInd/>
        <w:snapToGrid/>
        <w:spacing w:beforeLines="0" w:afterLines="0" w:line="560" w:lineRule="exact"/>
        <w:ind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1、验收内容</w:t>
      </w:r>
    </w:p>
    <w:p>
      <w:pPr>
        <w:keepLines w:val="0"/>
        <w:pageBreakBefore w:val="0"/>
        <w:numPr>
          <w:ilvl w:val="0"/>
          <w:numId w:val="0"/>
        </w:numPr>
        <w:kinsoku/>
        <w:overflowPunct/>
        <w:topLinePunct w:val="0"/>
        <w:autoSpaceDE/>
        <w:autoSpaceDN/>
        <w:bidi w:val="0"/>
        <w:adjustRightInd/>
        <w:snapToGrid/>
        <w:spacing w:beforeLines="0" w:afterLines="0" w:line="560" w:lineRule="exact"/>
        <w:ind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（1）交付件，包括文档资料、源代码等</w:t>
      </w:r>
      <w:r>
        <w:rPr>
          <w:rFonts w:hint="eastAsia" w:ascii="仿宋_GB2312" w:hAnsi="仿宋_GB2312" w:cs="仿宋_GB2312"/>
          <w:color w:val="auto"/>
          <w:sz w:val="32"/>
          <w:szCs w:val="32"/>
          <w:lang w:val="en-US" w:eastAsia="zh-CN"/>
        </w:rPr>
        <w:t>。</w:t>
      </w:r>
    </w:p>
    <w:p>
      <w:pPr>
        <w:keepLines w:val="0"/>
        <w:pageBreakBefore w:val="0"/>
        <w:numPr>
          <w:ilvl w:val="0"/>
          <w:numId w:val="0"/>
        </w:numPr>
        <w:kinsoku/>
        <w:overflowPunct/>
        <w:topLinePunct w:val="0"/>
        <w:autoSpaceDE/>
        <w:autoSpaceDN/>
        <w:bidi w:val="0"/>
        <w:adjustRightInd/>
        <w:snapToGrid/>
        <w:spacing w:beforeLines="0" w:afterLines="0" w:line="560" w:lineRule="exact"/>
        <w:ind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（2）适配改造的物理子系统应用软件</w:t>
      </w:r>
      <w:r>
        <w:rPr>
          <w:rFonts w:hint="eastAsia" w:ascii="仿宋_GB2312" w:hAnsi="仿宋_GB2312" w:cs="仿宋_GB2312"/>
          <w:color w:val="auto"/>
          <w:sz w:val="32"/>
          <w:szCs w:val="32"/>
          <w:lang w:val="en-US" w:eastAsia="zh-CN"/>
        </w:rPr>
        <w:t>。</w:t>
      </w:r>
    </w:p>
    <w:p>
      <w:pPr>
        <w:keepLines w:val="0"/>
        <w:pageBreakBefore w:val="0"/>
        <w:numPr>
          <w:ilvl w:val="0"/>
          <w:numId w:val="0"/>
        </w:numPr>
        <w:kinsoku/>
        <w:overflowPunct/>
        <w:topLinePunct w:val="0"/>
        <w:autoSpaceDE/>
        <w:autoSpaceDN/>
        <w:bidi w:val="0"/>
        <w:adjustRightInd/>
        <w:snapToGrid/>
        <w:spacing w:beforeLines="0" w:afterLines="0" w:line="560" w:lineRule="exact"/>
        <w:ind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（3）以量化的SLA考核指标为依据，对供应商服务及项目完成情况进行量化评价</w:t>
      </w:r>
      <w:r>
        <w:rPr>
          <w:rFonts w:hint="eastAsia" w:ascii="仿宋_GB2312" w:hAnsi="仿宋_GB2312" w:cs="仿宋_GB2312"/>
          <w:color w:val="auto"/>
          <w:sz w:val="32"/>
          <w:szCs w:val="32"/>
          <w:lang w:val="en-US" w:eastAsia="zh-CN"/>
        </w:rPr>
        <w:t>。</w:t>
      </w:r>
    </w:p>
    <w:p>
      <w:pPr>
        <w:keepLines w:val="0"/>
        <w:pageBreakBefore w:val="0"/>
        <w:numPr>
          <w:ilvl w:val="0"/>
          <w:numId w:val="0"/>
        </w:numPr>
        <w:kinsoku/>
        <w:overflowPunct/>
        <w:topLinePunct w:val="0"/>
        <w:autoSpaceDE/>
        <w:autoSpaceDN/>
        <w:bidi w:val="0"/>
        <w:adjustRightInd/>
        <w:snapToGrid/>
        <w:spacing w:beforeLines="0" w:afterLines="0" w:line="560" w:lineRule="exact"/>
        <w:ind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2、验收标准</w:t>
      </w:r>
    </w:p>
    <w:p>
      <w:pPr>
        <w:keepLines w:val="0"/>
        <w:pageBreakBefore w:val="0"/>
        <w:numPr>
          <w:ilvl w:val="0"/>
          <w:numId w:val="0"/>
        </w:numPr>
        <w:kinsoku/>
        <w:overflowPunct/>
        <w:topLinePunct w:val="0"/>
        <w:autoSpaceDE/>
        <w:autoSpaceDN/>
        <w:bidi w:val="0"/>
        <w:adjustRightInd/>
        <w:snapToGrid/>
        <w:spacing w:beforeLines="0" w:afterLines="0" w:line="560" w:lineRule="exact"/>
        <w:ind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（1）文档验收标准</w:t>
      </w:r>
    </w:p>
    <w:p>
      <w:pPr>
        <w:keepLines w:val="0"/>
        <w:pageBreakBefore w:val="0"/>
        <w:numPr>
          <w:ilvl w:val="0"/>
          <w:numId w:val="6"/>
        </w:numPr>
        <w:kinsoku/>
        <w:overflowPunct/>
        <w:topLinePunct w:val="0"/>
        <w:autoSpaceDE/>
        <w:autoSpaceDN/>
        <w:bidi w:val="0"/>
        <w:adjustRightInd/>
        <w:snapToGrid/>
        <w:spacing w:beforeLines="0" w:afterLines="0" w:line="560" w:lineRule="exact"/>
        <w:ind w:left="1050" w:leftChars="0" w:hanging="42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文档内容应包含对应工作阶段的所有工作任务的最终成果</w:t>
      </w:r>
    </w:p>
    <w:p>
      <w:pPr>
        <w:keepLines w:val="0"/>
        <w:pageBreakBefore w:val="0"/>
        <w:numPr>
          <w:ilvl w:val="0"/>
          <w:numId w:val="6"/>
        </w:numPr>
        <w:kinsoku/>
        <w:overflowPunct/>
        <w:topLinePunct w:val="0"/>
        <w:autoSpaceDE/>
        <w:autoSpaceDN/>
        <w:bidi w:val="0"/>
        <w:adjustRightInd/>
        <w:snapToGrid/>
        <w:spacing w:beforeLines="0" w:afterLines="0" w:line="560" w:lineRule="exact"/>
        <w:ind w:left="1050" w:leftChars="0" w:hanging="42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文档内容无重大分歧，进出口银行能够接受文档中的主要观点、认可文档中所体现的工作成果</w:t>
      </w:r>
    </w:p>
    <w:p>
      <w:pPr>
        <w:keepLines w:val="0"/>
        <w:pageBreakBefore w:val="0"/>
        <w:numPr>
          <w:ilvl w:val="0"/>
          <w:numId w:val="6"/>
        </w:numPr>
        <w:kinsoku/>
        <w:overflowPunct/>
        <w:topLinePunct w:val="0"/>
        <w:autoSpaceDE/>
        <w:autoSpaceDN/>
        <w:bidi w:val="0"/>
        <w:adjustRightInd/>
        <w:snapToGrid/>
        <w:spacing w:beforeLines="0" w:afterLines="0" w:line="560" w:lineRule="exact"/>
        <w:ind w:left="1050" w:leftChars="0" w:hanging="42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所有正式交付件表达清晰、内容完整，符合我行要求。交付文档的描述不存在实质性的错误（包括不真实、遗漏、误差、以及对使用者可能产生误导的信息）；文字无重大或误导性错误</w:t>
      </w:r>
    </w:p>
    <w:p>
      <w:pPr>
        <w:keepLines w:val="0"/>
        <w:pageBreakBefore w:val="0"/>
        <w:numPr>
          <w:ilvl w:val="0"/>
          <w:numId w:val="6"/>
        </w:numPr>
        <w:kinsoku/>
        <w:overflowPunct/>
        <w:topLinePunct w:val="0"/>
        <w:autoSpaceDE/>
        <w:autoSpaceDN/>
        <w:bidi w:val="0"/>
        <w:adjustRightInd/>
        <w:snapToGrid/>
        <w:spacing w:beforeLines="0" w:afterLines="0" w:line="560" w:lineRule="exact"/>
        <w:ind w:left="1050" w:leftChars="0" w:hanging="42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文档交付齐备</w:t>
      </w:r>
    </w:p>
    <w:p>
      <w:pPr>
        <w:keepLines w:val="0"/>
        <w:pageBreakBefore w:val="0"/>
        <w:numPr>
          <w:ilvl w:val="0"/>
          <w:numId w:val="6"/>
        </w:numPr>
        <w:kinsoku/>
        <w:overflowPunct/>
        <w:topLinePunct w:val="0"/>
        <w:autoSpaceDE/>
        <w:autoSpaceDN/>
        <w:bidi w:val="0"/>
        <w:adjustRightInd/>
        <w:snapToGrid/>
        <w:spacing w:beforeLines="0" w:afterLines="0" w:line="560" w:lineRule="exact"/>
        <w:ind w:left="1050" w:leftChars="0" w:hanging="42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除特别指明的并经我行同意的英文提交文档之外，要求提供中文文档</w:t>
      </w:r>
    </w:p>
    <w:p>
      <w:pPr>
        <w:keepLines w:val="0"/>
        <w:pageBreakBefore w:val="0"/>
        <w:numPr>
          <w:ilvl w:val="0"/>
          <w:numId w:val="6"/>
        </w:numPr>
        <w:kinsoku/>
        <w:overflowPunct/>
        <w:topLinePunct w:val="0"/>
        <w:autoSpaceDE/>
        <w:autoSpaceDN/>
        <w:bidi w:val="0"/>
        <w:adjustRightInd/>
        <w:snapToGrid/>
        <w:spacing w:beforeLines="0" w:afterLines="0" w:line="560" w:lineRule="exact"/>
        <w:ind w:left="1050" w:leftChars="0" w:hanging="42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提交项目全部交付件并通过我行审核，在此基础上形成项目的《交付件交付情况一览表》，经过我行核对认可</w:t>
      </w:r>
    </w:p>
    <w:p>
      <w:pPr>
        <w:keepLines w:val="0"/>
        <w:pageBreakBefore w:val="0"/>
        <w:numPr>
          <w:ilvl w:val="0"/>
          <w:numId w:val="0"/>
        </w:numPr>
        <w:kinsoku/>
        <w:overflowPunct/>
        <w:topLinePunct w:val="0"/>
        <w:autoSpaceDE/>
        <w:autoSpaceDN/>
        <w:bidi w:val="0"/>
        <w:adjustRightInd/>
        <w:snapToGrid/>
        <w:spacing w:beforeLines="0" w:afterLines="0" w:line="560" w:lineRule="exact"/>
        <w:ind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（2）系统验收标准</w:t>
      </w:r>
    </w:p>
    <w:p>
      <w:pPr>
        <w:keepLines w:val="0"/>
        <w:pageBreakBefore w:val="0"/>
        <w:numPr>
          <w:ilvl w:val="0"/>
          <w:numId w:val="6"/>
        </w:numPr>
        <w:kinsoku/>
        <w:overflowPunct/>
        <w:topLinePunct w:val="0"/>
        <w:autoSpaceDE/>
        <w:autoSpaceDN/>
        <w:bidi w:val="0"/>
        <w:adjustRightInd/>
        <w:snapToGrid/>
        <w:spacing w:beforeLines="0" w:afterLines="0" w:line="560" w:lineRule="exact"/>
        <w:ind w:left="1050" w:leftChars="0" w:hanging="42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系统符合项目工作说明书的要求</w:t>
      </w:r>
    </w:p>
    <w:p>
      <w:pPr>
        <w:keepLines w:val="0"/>
        <w:pageBreakBefore w:val="0"/>
        <w:numPr>
          <w:ilvl w:val="0"/>
          <w:numId w:val="6"/>
        </w:numPr>
        <w:kinsoku/>
        <w:overflowPunct/>
        <w:topLinePunct w:val="0"/>
        <w:autoSpaceDE/>
        <w:autoSpaceDN/>
        <w:bidi w:val="0"/>
        <w:adjustRightInd/>
        <w:snapToGrid/>
        <w:spacing w:beforeLines="0" w:afterLines="0" w:line="560" w:lineRule="exact"/>
        <w:ind w:left="1050" w:leftChars="0" w:hanging="42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新增系统的安全等级保护基本要求满足国家标准和监管要求中对本系统的相应要求</w:t>
      </w:r>
    </w:p>
    <w:p>
      <w:pPr>
        <w:keepLines w:val="0"/>
        <w:pageBreakBefore w:val="0"/>
        <w:numPr>
          <w:ilvl w:val="0"/>
          <w:numId w:val="6"/>
        </w:numPr>
        <w:kinsoku/>
        <w:overflowPunct/>
        <w:topLinePunct w:val="0"/>
        <w:autoSpaceDE/>
        <w:autoSpaceDN/>
        <w:bidi w:val="0"/>
        <w:adjustRightInd/>
        <w:snapToGrid/>
        <w:spacing w:beforeLines="0" w:afterLines="0" w:line="560" w:lineRule="exact"/>
        <w:ind w:left="1050" w:leftChars="0" w:hanging="42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系统通过用户接收测试，若有遗留问题须在本项目最终验收启动前解决</w:t>
      </w:r>
    </w:p>
    <w:p>
      <w:pPr>
        <w:pStyle w:val="20"/>
        <w:numPr>
          <w:ilvl w:val="-1"/>
          <w:numId w:val="0"/>
        </w:numPr>
        <w:spacing w:beforeLines="0" w:afterLines="0" w:line="560" w:lineRule="exact"/>
        <w:ind w:left="420" w:leftChars="200" w:firstLine="0"/>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（3）</w:t>
      </w:r>
      <w:r>
        <w:rPr>
          <w:rFonts w:hint="eastAsia" w:ascii="仿宋_GB2312" w:hAnsi="仿宋_GB2312" w:eastAsia="仿宋_GB2312" w:cs="仿宋_GB2312"/>
          <w:color w:val="auto"/>
          <w:sz w:val="32"/>
          <w:szCs w:val="32"/>
          <w:lang w:val="en-US" w:eastAsia="zh-CN"/>
        </w:rPr>
        <w:t>SLA指标考核</w:t>
      </w:r>
    </w:p>
    <w:p>
      <w:pPr>
        <w:pStyle w:val="36"/>
        <w:widowControl/>
        <w:numPr>
          <w:ilvl w:val="0"/>
          <w:numId w:val="0"/>
        </w:numPr>
        <w:spacing w:beforeLines="0" w:afterLines="0" w:line="560" w:lineRule="exact"/>
        <w:ind w:left="0" w:firstLine="640" w:firstLineChars="200"/>
        <w:rPr>
          <w:rFonts w:hint="default" w:eastAsia="仿宋_GB2312" w:cs="Times New Roman"/>
          <w:sz w:val="32"/>
          <w:szCs w:val="28"/>
          <w:highlight w:val="none"/>
          <w:lang w:val="en-US" w:eastAsia="zh-CN"/>
        </w:rPr>
      </w:pPr>
      <w:r>
        <w:rPr>
          <w:rFonts w:hint="eastAsia" w:hAnsi="Times New Roman" w:eastAsia="仿宋_GB2312" w:cs="Times New Roman"/>
          <w:kern w:val="2"/>
          <w:sz w:val="32"/>
          <w:szCs w:val="28"/>
          <w:highlight w:val="none"/>
        </w:rPr>
        <w:t>本项目发起验收时，进行SLA考核。</w:t>
      </w:r>
      <w:r>
        <w:rPr>
          <w:rFonts w:hint="eastAsia" w:eastAsia="仿宋_GB2312" w:cs="Times New Roman"/>
          <w:sz w:val="32"/>
          <w:szCs w:val="28"/>
          <w:highlight w:val="none"/>
        </w:rPr>
        <w:t>指标</w:t>
      </w:r>
      <w:r>
        <w:rPr>
          <w:rFonts w:hint="eastAsia" w:eastAsia="仿宋_GB2312" w:cs="Times New Roman"/>
          <w:sz w:val="32"/>
          <w:szCs w:val="28"/>
          <w:highlight w:val="none"/>
          <w:lang w:val="en-US" w:eastAsia="zh-CN"/>
        </w:rPr>
        <w:t>项如下：</w:t>
      </w:r>
    </w:p>
    <w:tbl>
      <w:tblPr>
        <w:tblStyle w:val="22"/>
        <w:tblW w:w="49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928"/>
        <w:gridCol w:w="2084"/>
        <w:gridCol w:w="4581"/>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 w:type="pct"/>
            <w:noWrap w:val="0"/>
            <w:vAlign w:val="center"/>
          </w:tcPr>
          <w:p>
            <w:pPr>
              <w:widowControl/>
              <w:spacing w:beforeLines="0" w:afterLines="0" w:line="560" w:lineRule="exact"/>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序号</w:t>
            </w:r>
          </w:p>
        </w:tc>
        <w:tc>
          <w:tcPr>
            <w:tcW w:w="520" w:type="pct"/>
            <w:noWrap w:val="0"/>
            <w:vAlign w:val="center"/>
          </w:tcPr>
          <w:p>
            <w:pPr>
              <w:widowControl/>
              <w:spacing w:beforeLines="0" w:afterLines="0" w:line="560" w:lineRule="exact"/>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指标名称</w:t>
            </w:r>
          </w:p>
        </w:tc>
        <w:tc>
          <w:tcPr>
            <w:tcW w:w="1168" w:type="pct"/>
            <w:noWrap w:val="0"/>
            <w:vAlign w:val="center"/>
          </w:tcPr>
          <w:p>
            <w:pPr>
              <w:widowControl/>
              <w:spacing w:beforeLines="0" w:afterLines="0" w:line="560" w:lineRule="exact"/>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量化标准</w:t>
            </w:r>
          </w:p>
        </w:tc>
        <w:tc>
          <w:tcPr>
            <w:tcW w:w="2567" w:type="pct"/>
            <w:noWrap w:val="0"/>
            <w:vAlign w:val="center"/>
          </w:tcPr>
          <w:p>
            <w:pPr>
              <w:widowControl/>
              <w:spacing w:beforeLines="0" w:afterLines="0" w:line="560" w:lineRule="exact"/>
              <w:jc w:val="center"/>
              <w:rPr>
                <w:rFonts w:hint="eastAsia" w:ascii="黑体" w:hAnsi="黑体" w:eastAsia="黑体" w:cs="黑体"/>
                <w:b w:val="0"/>
                <w:bCs w:val="0"/>
                <w:kern w:val="0"/>
                <w:sz w:val="24"/>
                <w:highlight w:val="none"/>
                <w:lang w:val="en-GB"/>
              </w:rPr>
            </w:pPr>
            <w:r>
              <w:rPr>
                <w:rFonts w:hint="eastAsia" w:ascii="黑体" w:hAnsi="黑体" w:eastAsia="黑体" w:cs="黑体"/>
                <w:b w:val="0"/>
                <w:bCs w:val="0"/>
                <w:kern w:val="0"/>
                <w:sz w:val="24"/>
                <w:highlight w:val="none"/>
                <w:lang w:val="en-GB"/>
              </w:rPr>
              <w:t>评估方式</w:t>
            </w:r>
          </w:p>
          <w:p>
            <w:pPr>
              <w:widowControl/>
              <w:spacing w:beforeLines="0" w:afterLines="0" w:line="560" w:lineRule="exact"/>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（优100-良80-中60-差0）</w:t>
            </w:r>
          </w:p>
        </w:tc>
        <w:tc>
          <w:tcPr>
            <w:tcW w:w="520" w:type="pct"/>
            <w:noWrap w:val="0"/>
            <w:vAlign w:val="center"/>
          </w:tcPr>
          <w:p>
            <w:pPr>
              <w:widowControl/>
              <w:spacing w:beforeLines="0" w:afterLines="0" w:line="560" w:lineRule="exact"/>
              <w:jc w:val="center"/>
              <w:rPr>
                <w:rFonts w:hint="eastAsia" w:ascii="黑体" w:hAnsi="黑体" w:eastAsia="黑体" w:cs="黑体"/>
                <w:b w:val="0"/>
                <w:bCs w:val="0"/>
                <w:kern w:val="0"/>
                <w:sz w:val="24"/>
                <w:szCs w:val="24"/>
                <w:highlight w:val="none"/>
                <w:lang w:val="en-GB"/>
              </w:rPr>
            </w:pPr>
            <w:r>
              <w:rPr>
                <w:rFonts w:hint="eastAsia" w:ascii="黑体" w:hAnsi="黑体" w:eastAsia="黑体" w:cs="黑体"/>
                <w:b w:val="0"/>
                <w:bCs w:val="0"/>
                <w:kern w:val="0"/>
                <w:sz w:val="24"/>
                <w:highlight w:val="none"/>
                <w:lang w:val="en-GB"/>
              </w:rPr>
              <w:t>指标占比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 w:type="pct"/>
            <w:noWrap w:val="0"/>
            <w:vAlign w:val="center"/>
          </w:tcPr>
          <w:p>
            <w:pPr>
              <w:pStyle w:val="40"/>
              <w:widowControl/>
              <w:spacing w:beforeLines="0" w:afterLines="0" w:line="560" w:lineRule="exact"/>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1</w:t>
            </w:r>
          </w:p>
        </w:tc>
        <w:tc>
          <w:tcPr>
            <w:tcW w:w="520" w:type="pct"/>
            <w:noWrap w:val="0"/>
            <w:vAlign w:val="center"/>
          </w:tcPr>
          <w:p>
            <w:pPr>
              <w:pStyle w:val="40"/>
              <w:widowControl/>
              <w:spacing w:beforeLines="0" w:afterLines="0" w:line="560" w:lineRule="exact"/>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本项目进度及计划执行率</w:t>
            </w:r>
          </w:p>
        </w:tc>
        <w:tc>
          <w:tcPr>
            <w:tcW w:w="1168" w:type="pct"/>
            <w:noWrap w:val="0"/>
            <w:vAlign w:val="center"/>
          </w:tcPr>
          <w:p>
            <w:pPr>
              <w:pStyle w:val="40"/>
              <w:widowControl/>
              <w:spacing w:beforeLines="0" w:afterLines="0" w:line="560" w:lineRule="exact"/>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各阶段累计工作延后完成天数/各阶段累计计划天数</w:t>
            </w:r>
          </w:p>
        </w:tc>
        <w:tc>
          <w:tcPr>
            <w:tcW w:w="2567" w:type="pct"/>
            <w:noWrap w:val="0"/>
            <w:vAlign w:val="center"/>
          </w:tcPr>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1. 计划延误率</w:t>
            </w:r>
            <w:r>
              <w:rPr>
                <w:rFonts w:hint="eastAsia" w:ascii="仿宋_GB2312" w:hAnsi="仿宋_GB2312" w:eastAsia="仿宋_GB2312" w:cs="仿宋_GB2312"/>
                <w:kern w:val="0"/>
                <w:sz w:val="24"/>
                <w:szCs w:val="24"/>
                <w:highlight w:val="none"/>
                <w:lang w:val="en-US" w:eastAsia="zh-CN"/>
              </w:rPr>
              <w:t>为0</w:t>
            </w:r>
            <w:r>
              <w:rPr>
                <w:rFonts w:hint="eastAsia" w:ascii="仿宋_GB2312" w:hAnsi="仿宋_GB2312" w:eastAsia="仿宋_GB2312" w:cs="仿宋_GB2312"/>
                <w:kern w:val="0"/>
                <w:sz w:val="24"/>
                <w:szCs w:val="24"/>
                <w:highlight w:val="none"/>
                <w:lang w:val="en-GB"/>
              </w:rPr>
              <w:t xml:space="preserve">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优</w:t>
            </w:r>
          </w:p>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 xml:space="preserve">2. </w:t>
            </w:r>
            <w:r>
              <w:rPr>
                <w:rFonts w:hint="eastAsia" w:ascii="仿宋_GB2312" w:hAnsi="仿宋_GB2312" w:eastAsia="仿宋_GB2312" w:cs="仿宋_GB2312"/>
                <w:kern w:val="0"/>
                <w:sz w:val="24"/>
                <w:szCs w:val="24"/>
                <w:highlight w:val="none"/>
                <w:lang w:val="en-US" w:eastAsia="zh-CN"/>
              </w:rPr>
              <w:t>0</w:t>
            </w:r>
            <w:r>
              <w:rPr>
                <w:rFonts w:hint="eastAsia" w:ascii="仿宋_GB2312" w:hAnsi="仿宋_GB2312" w:eastAsia="仿宋_GB2312" w:cs="仿宋_GB2312"/>
                <w:kern w:val="0"/>
                <w:sz w:val="24"/>
                <w:szCs w:val="24"/>
                <w:highlight w:val="none"/>
                <w:lang w:val="en-GB"/>
              </w:rPr>
              <w:t>＜计划延误率≤</w:t>
            </w:r>
            <w:r>
              <w:rPr>
                <w:rFonts w:hint="eastAsia" w:ascii="仿宋_GB2312" w:hAnsi="仿宋_GB2312" w:eastAsia="仿宋_GB2312" w:cs="仿宋_GB2312"/>
                <w:kern w:val="0"/>
                <w:sz w:val="24"/>
                <w:szCs w:val="24"/>
                <w:highlight w:val="none"/>
                <w:lang w:val="en-US" w:eastAsia="zh-CN"/>
              </w:rPr>
              <w:t>1</w:t>
            </w:r>
            <w:r>
              <w:rPr>
                <w:rFonts w:hint="eastAsia" w:ascii="仿宋_GB2312" w:hAnsi="仿宋_GB2312" w:eastAsia="仿宋_GB2312" w:cs="仿宋_GB2312"/>
                <w:kern w:val="0"/>
                <w:sz w:val="24"/>
                <w:szCs w:val="24"/>
                <w:highlight w:val="none"/>
                <w:lang w:val="en-GB"/>
              </w:rPr>
              <w:t xml:space="preserve">%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良</w:t>
            </w:r>
          </w:p>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3.</w:t>
            </w:r>
            <w:r>
              <w:rPr>
                <w:rFonts w:hint="eastAsia" w:ascii="仿宋_GB2312" w:hAnsi="仿宋_GB2312" w:eastAsia="仿宋_GB2312" w:cs="仿宋_GB2312"/>
                <w:kern w:val="0"/>
                <w:sz w:val="24"/>
                <w:szCs w:val="24"/>
                <w:highlight w:val="none"/>
                <w:lang w:val="en-US" w:eastAsia="zh-CN"/>
              </w:rPr>
              <w:t xml:space="preserve"> 1</w:t>
            </w:r>
            <w:r>
              <w:rPr>
                <w:rFonts w:hint="eastAsia" w:ascii="仿宋_GB2312" w:hAnsi="仿宋_GB2312" w:eastAsia="仿宋_GB2312" w:cs="仿宋_GB2312"/>
                <w:kern w:val="0"/>
                <w:sz w:val="24"/>
                <w:szCs w:val="24"/>
                <w:highlight w:val="none"/>
                <w:lang w:val="en-GB"/>
              </w:rPr>
              <w:t>%＜计划延误率≤</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 xml:space="preserve">%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中</w:t>
            </w:r>
          </w:p>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4.</w:t>
            </w:r>
            <w:r>
              <w:rPr>
                <w:rFonts w:hint="eastAsia" w:ascii="仿宋_GB2312" w:hAnsi="仿宋_GB2312" w:eastAsia="仿宋_GB2312" w:cs="仿宋_GB2312"/>
                <w:kern w:val="0"/>
                <w:sz w:val="24"/>
                <w:szCs w:val="24"/>
                <w:highlight w:val="none"/>
                <w:lang w:val="en-US" w:eastAsia="zh-CN"/>
              </w:rPr>
              <w:t xml:space="preserve"> 3</w:t>
            </w:r>
            <w:r>
              <w:rPr>
                <w:rFonts w:hint="eastAsia" w:ascii="仿宋_GB2312" w:hAnsi="仿宋_GB2312" w:eastAsia="仿宋_GB2312" w:cs="仿宋_GB2312"/>
                <w:kern w:val="0"/>
                <w:sz w:val="24"/>
                <w:szCs w:val="24"/>
                <w:highlight w:val="none"/>
                <w:lang w:val="en-GB"/>
              </w:rPr>
              <w:t xml:space="preserve">%＜计划延误率       </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差</w:t>
            </w:r>
          </w:p>
        </w:tc>
        <w:tc>
          <w:tcPr>
            <w:tcW w:w="520" w:type="pct"/>
            <w:noWrap w:val="0"/>
            <w:vAlign w:val="center"/>
          </w:tcPr>
          <w:p>
            <w:pPr>
              <w:pStyle w:val="40"/>
              <w:widowControl/>
              <w:spacing w:beforeLines="0" w:afterLines="0" w:line="560" w:lineRule="exact"/>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en-US" w:eastAsia="zh-CN"/>
              </w:rPr>
              <w:t>4</w:t>
            </w:r>
            <w:r>
              <w:rPr>
                <w:rFonts w:hint="eastAsia" w:ascii="仿宋_GB2312" w:hAnsi="仿宋_GB2312" w:eastAsia="仿宋_GB2312" w:cs="仿宋_GB2312"/>
                <w:kern w:val="0"/>
                <w:sz w:val="24"/>
                <w:szCs w:val="24"/>
                <w:highlight w:val="none"/>
                <w:lang w:val="de-D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 w:type="pct"/>
            <w:noWrap w:val="0"/>
            <w:vAlign w:val="center"/>
          </w:tcPr>
          <w:p>
            <w:pPr>
              <w:pStyle w:val="40"/>
              <w:widowControl/>
              <w:spacing w:beforeLines="0" w:afterLines="0" w:line="560" w:lineRule="exact"/>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2</w:t>
            </w:r>
          </w:p>
        </w:tc>
        <w:tc>
          <w:tcPr>
            <w:tcW w:w="520" w:type="pct"/>
            <w:noWrap w:val="0"/>
            <w:vAlign w:val="center"/>
          </w:tcPr>
          <w:p>
            <w:pPr>
              <w:pStyle w:val="40"/>
              <w:widowControl/>
              <w:spacing w:beforeLines="0" w:afterLines="0" w:line="560" w:lineRule="exact"/>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项目投产后问题数量</w:t>
            </w:r>
          </w:p>
        </w:tc>
        <w:tc>
          <w:tcPr>
            <w:tcW w:w="1168" w:type="pct"/>
            <w:noWrap w:val="0"/>
            <w:vAlign w:val="center"/>
          </w:tcPr>
          <w:p>
            <w:pPr>
              <w:pStyle w:val="40"/>
              <w:widowControl/>
              <w:spacing w:beforeLines="0" w:afterLines="0" w:line="560" w:lineRule="exact"/>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de-DE"/>
              </w:rPr>
              <w:t>投产后至验收时累计问题数</w:t>
            </w:r>
          </w:p>
        </w:tc>
        <w:tc>
          <w:tcPr>
            <w:tcW w:w="2567" w:type="pct"/>
            <w:noWrap w:val="0"/>
            <w:vAlign w:val="center"/>
          </w:tcPr>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1.每100功能点每</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月发现问题数&lt;5   优</w:t>
            </w:r>
          </w:p>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2.每100功能点每</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月发现问题数&lt;=10 良</w:t>
            </w:r>
          </w:p>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3.每100功能点每</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月发现问题数&lt;=15 中</w:t>
            </w:r>
          </w:p>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4.每100功能点每</w:t>
            </w: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en-GB"/>
              </w:rPr>
              <w:t>月发现问题数&gt;15  差</w:t>
            </w:r>
          </w:p>
        </w:tc>
        <w:tc>
          <w:tcPr>
            <w:tcW w:w="520" w:type="pct"/>
            <w:noWrap w:val="0"/>
            <w:vAlign w:val="center"/>
          </w:tcPr>
          <w:p>
            <w:pPr>
              <w:pStyle w:val="40"/>
              <w:widowControl/>
              <w:spacing w:beforeLines="0" w:afterLines="0" w:line="560" w:lineRule="exact"/>
              <w:ind w:firstLine="0" w:firstLineChars="0"/>
              <w:jc w:val="center"/>
              <w:rPr>
                <w:rFonts w:hint="eastAsia" w:ascii="仿宋_GB2312" w:hAnsi="仿宋_GB2312" w:eastAsia="仿宋_GB2312" w:cs="仿宋_GB2312"/>
                <w:kern w:val="0"/>
                <w:sz w:val="24"/>
                <w:szCs w:val="24"/>
                <w:highlight w:val="none"/>
                <w:lang w:val="de-DE"/>
              </w:rPr>
            </w:pPr>
            <w:r>
              <w:rPr>
                <w:rFonts w:hint="eastAsia" w:ascii="仿宋_GB2312" w:hAnsi="仿宋_GB2312" w:eastAsia="仿宋_GB2312" w:cs="仿宋_GB2312"/>
                <w:kern w:val="0"/>
                <w:sz w:val="24"/>
                <w:szCs w:val="24"/>
                <w:highlight w:val="none"/>
                <w:lang w:val="en-US" w:eastAsia="zh-CN"/>
              </w:rPr>
              <w:t>3</w:t>
            </w:r>
            <w:r>
              <w:rPr>
                <w:rFonts w:hint="eastAsia" w:ascii="仿宋_GB2312" w:hAnsi="仿宋_GB2312" w:eastAsia="仿宋_GB2312" w:cs="仿宋_GB2312"/>
                <w:kern w:val="0"/>
                <w:sz w:val="24"/>
                <w:szCs w:val="24"/>
                <w:highlight w:val="none"/>
                <w:lang w:val="de-D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 w:type="pct"/>
            <w:noWrap w:val="0"/>
            <w:vAlign w:val="center"/>
          </w:tcPr>
          <w:p>
            <w:pPr>
              <w:pStyle w:val="40"/>
              <w:widowControl/>
              <w:spacing w:beforeLines="0" w:afterLines="0" w:line="560" w:lineRule="exact"/>
              <w:ind w:firstLine="0" w:firstLineChars="0"/>
              <w:jc w:val="center"/>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3</w:t>
            </w:r>
          </w:p>
        </w:tc>
        <w:tc>
          <w:tcPr>
            <w:tcW w:w="520" w:type="pct"/>
            <w:noWrap w:val="0"/>
            <w:vAlign w:val="center"/>
          </w:tcPr>
          <w:p>
            <w:pPr>
              <w:pStyle w:val="40"/>
              <w:widowControl/>
              <w:spacing w:beforeLines="0" w:afterLines="0" w:line="560" w:lineRule="exact"/>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工单未及时处理率</w:t>
            </w:r>
          </w:p>
        </w:tc>
        <w:tc>
          <w:tcPr>
            <w:tcW w:w="1168" w:type="pct"/>
            <w:noWrap w:val="0"/>
            <w:vAlign w:val="center"/>
          </w:tcPr>
          <w:p>
            <w:pPr>
              <w:pStyle w:val="40"/>
              <w:widowControl/>
              <w:spacing w:beforeLines="0" w:afterLines="0" w:line="560" w:lineRule="exact"/>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工单处理时长超一个月工单数量/总工单数量</w:t>
            </w:r>
          </w:p>
        </w:tc>
        <w:tc>
          <w:tcPr>
            <w:tcW w:w="2567" w:type="pct"/>
            <w:noWrap w:val="0"/>
            <w:vAlign w:val="center"/>
          </w:tcPr>
          <w:p>
            <w:pPr>
              <w:pStyle w:val="40"/>
              <w:widowControl/>
              <w:numPr>
                <w:ilvl w:val="0"/>
                <w:numId w:val="0"/>
              </w:numPr>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1. 工单未及时处理率</w:t>
            </w:r>
            <w:r>
              <w:rPr>
                <w:rFonts w:hint="eastAsia" w:ascii="仿宋_GB2312" w:hAnsi="仿宋_GB2312" w:eastAsia="仿宋_GB2312" w:cs="仿宋_GB2312"/>
                <w:kern w:val="0"/>
                <w:sz w:val="24"/>
                <w:szCs w:val="24"/>
                <w:highlight w:val="none"/>
                <w:lang w:val="en-GB"/>
              </w:rPr>
              <w:t>≤0%</w:t>
            </w:r>
            <w:r>
              <w:rPr>
                <w:rFonts w:hint="eastAsia" w:ascii="仿宋_GB2312" w:hAnsi="仿宋_GB2312" w:eastAsia="仿宋_GB2312" w:cs="仿宋_GB2312"/>
                <w:kern w:val="0"/>
                <w:sz w:val="24"/>
                <w:szCs w:val="24"/>
                <w:highlight w:val="none"/>
                <w:lang w:val="en-US" w:eastAsia="zh-CN"/>
              </w:rPr>
              <w:t xml:space="preserve">     优</w:t>
            </w:r>
          </w:p>
          <w:p>
            <w:pPr>
              <w:pStyle w:val="40"/>
              <w:widowControl/>
              <w:numPr>
                <w:ilvl w:val="0"/>
                <w:numId w:val="0"/>
              </w:numPr>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2. 0%&lt;工单未及时处理率</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5</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 xml:space="preserve">  良</w:t>
            </w:r>
          </w:p>
          <w:p>
            <w:pPr>
              <w:pStyle w:val="40"/>
              <w:widowControl/>
              <w:numPr>
                <w:ilvl w:val="0"/>
                <w:numId w:val="0"/>
              </w:numPr>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3. 5%&lt;工单未及时处理率</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15</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 xml:space="preserve"> 中</w:t>
            </w:r>
          </w:p>
          <w:p>
            <w:pPr>
              <w:pStyle w:val="40"/>
              <w:widowControl/>
              <w:numPr>
                <w:ilvl w:val="0"/>
                <w:numId w:val="0"/>
              </w:numPr>
              <w:spacing w:beforeLines="0" w:afterLines="0" w:line="560" w:lineRule="exact"/>
              <w:ind w:firstLine="0" w:firstLineChars="0"/>
              <w:jc w:val="left"/>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4. 15%&lt;工单未及时处理率     差</w:t>
            </w:r>
          </w:p>
        </w:tc>
        <w:tc>
          <w:tcPr>
            <w:tcW w:w="520" w:type="pct"/>
            <w:noWrap w:val="0"/>
            <w:vAlign w:val="center"/>
          </w:tcPr>
          <w:p>
            <w:pPr>
              <w:pStyle w:val="40"/>
              <w:widowControl/>
              <w:spacing w:beforeLines="0" w:afterLines="0" w:line="560" w:lineRule="exact"/>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jc w:val="center"/>
        </w:trPr>
        <w:tc>
          <w:tcPr>
            <w:tcW w:w="223" w:type="pct"/>
            <w:noWrap w:val="0"/>
            <w:vAlign w:val="center"/>
          </w:tcPr>
          <w:p>
            <w:pPr>
              <w:pStyle w:val="40"/>
              <w:widowControl/>
              <w:spacing w:beforeLines="0" w:afterLines="0" w:line="560" w:lineRule="exact"/>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4</w:t>
            </w:r>
          </w:p>
        </w:tc>
        <w:tc>
          <w:tcPr>
            <w:tcW w:w="520" w:type="pct"/>
            <w:noWrap w:val="0"/>
            <w:vAlign w:val="center"/>
          </w:tcPr>
          <w:p>
            <w:pPr>
              <w:pStyle w:val="40"/>
              <w:widowControl/>
              <w:spacing w:beforeLines="0" w:afterLines="0" w:line="560" w:lineRule="exact"/>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异常考勤率</w:t>
            </w:r>
          </w:p>
        </w:tc>
        <w:tc>
          <w:tcPr>
            <w:tcW w:w="1168" w:type="pct"/>
            <w:noWrap w:val="0"/>
            <w:vAlign w:val="center"/>
          </w:tcPr>
          <w:p>
            <w:pPr>
              <w:pStyle w:val="40"/>
              <w:widowControl/>
              <w:spacing w:beforeLines="0" w:afterLines="0" w:line="560" w:lineRule="exact"/>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驻场期间异常考勤天数/应出勤天数</w:t>
            </w:r>
          </w:p>
        </w:tc>
        <w:tc>
          <w:tcPr>
            <w:tcW w:w="2567" w:type="pct"/>
            <w:noWrap w:val="0"/>
            <w:vAlign w:val="center"/>
          </w:tcPr>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 xml:space="preserve">1. </w:t>
            </w:r>
            <w:r>
              <w:rPr>
                <w:rFonts w:hint="eastAsia" w:ascii="仿宋_GB2312" w:hAnsi="仿宋_GB2312" w:eastAsia="仿宋_GB2312" w:cs="仿宋_GB2312"/>
                <w:kern w:val="0"/>
                <w:sz w:val="24"/>
                <w:szCs w:val="24"/>
                <w:highlight w:val="none"/>
                <w:lang w:val="en-US" w:eastAsia="zh-CN"/>
              </w:rPr>
              <w:t>异常考勤</w:t>
            </w:r>
            <w:r>
              <w:rPr>
                <w:rFonts w:hint="eastAsia" w:ascii="仿宋_GB2312" w:hAnsi="仿宋_GB2312" w:eastAsia="仿宋_GB2312" w:cs="仿宋_GB2312"/>
                <w:kern w:val="0"/>
                <w:sz w:val="24"/>
                <w:szCs w:val="24"/>
                <w:highlight w:val="none"/>
                <w:lang w:val="en-GB"/>
              </w:rPr>
              <w:t>率≤</w:t>
            </w:r>
            <w:r>
              <w:rPr>
                <w:rFonts w:hint="eastAsia" w:ascii="仿宋_GB2312" w:hAnsi="仿宋_GB2312" w:eastAsia="仿宋_GB2312" w:cs="仿宋_GB2312"/>
                <w:kern w:val="0"/>
                <w:sz w:val="24"/>
                <w:szCs w:val="24"/>
                <w:highlight w:val="none"/>
                <w:lang w:val="en-US" w:eastAsia="zh-CN"/>
              </w:rPr>
              <w:t>5</w:t>
            </w:r>
            <w:r>
              <w:rPr>
                <w:rFonts w:hint="eastAsia" w:ascii="仿宋_GB2312" w:hAnsi="仿宋_GB2312" w:eastAsia="仿宋_GB2312" w:cs="仿宋_GB2312"/>
                <w:kern w:val="0"/>
                <w:sz w:val="24"/>
                <w:szCs w:val="24"/>
                <w:highlight w:val="none"/>
                <w:lang w:val="en-GB"/>
              </w:rPr>
              <w:t>%        优</w:t>
            </w:r>
          </w:p>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 xml:space="preserve">2. </w:t>
            </w:r>
            <w:r>
              <w:rPr>
                <w:rFonts w:hint="eastAsia" w:ascii="仿宋_GB2312" w:hAnsi="仿宋_GB2312" w:eastAsia="仿宋_GB2312" w:cs="仿宋_GB2312"/>
                <w:kern w:val="0"/>
                <w:sz w:val="24"/>
                <w:szCs w:val="24"/>
                <w:highlight w:val="none"/>
                <w:lang w:val="en-US" w:eastAsia="zh-CN"/>
              </w:rPr>
              <w:t>5</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异常考勤</w:t>
            </w:r>
            <w:r>
              <w:rPr>
                <w:rFonts w:hint="eastAsia" w:ascii="仿宋_GB2312" w:hAnsi="仿宋_GB2312" w:eastAsia="仿宋_GB2312" w:cs="仿宋_GB2312"/>
                <w:kern w:val="0"/>
                <w:sz w:val="24"/>
                <w:szCs w:val="24"/>
                <w:highlight w:val="none"/>
                <w:lang w:val="en-GB"/>
              </w:rPr>
              <w:t>率≤</w:t>
            </w:r>
            <w:r>
              <w:rPr>
                <w:rFonts w:hint="eastAsia" w:ascii="仿宋_GB2312" w:hAnsi="仿宋_GB2312" w:eastAsia="仿宋_GB2312" w:cs="仿宋_GB2312"/>
                <w:kern w:val="0"/>
                <w:sz w:val="24"/>
                <w:szCs w:val="24"/>
                <w:highlight w:val="none"/>
                <w:lang w:val="en-US" w:eastAsia="zh-CN"/>
              </w:rPr>
              <w:t>10</w:t>
            </w:r>
            <w:r>
              <w:rPr>
                <w:rFonts w:hint="eastAsia" w:ascii="仿宋_GB2312" w:hAnsi="仿宋_GB2312" w:eastAsia="仿宋_GB2312" w:cs="仿宋_GB2312"/>
                <w:kern w:val="0"/>
                <w:sz w:val="24"/>
                <w:szCs w:val="24"/>
                <w:highlight w:val="none"/>
                <w:lang w:val="en-GB"/>
              </w:rPr>
              <w:t>%   良</w:t>
            </w:r>
          </w:p>
          <w:p>
            <w:pPr>
              <w:pStyle w:val="40"/>
              <w:widowControl/>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GB"/>
              </w:rPr>
            </w:pPr>
            <w:r>
              <w:rPr>
                <w:rFonts w:hint="eastAsia" w:ascii="仿宋_GB2312" w:hAnsi="仿宋_GB2312" w:eastAsia="仿宋_GB2312" w:cs="仿宋_GB2312"/>
                <w:kern w:val="0"/>
                <w:sz w:val="24"/>
                <w:szCs w:val="24"/>
                <w:highlight w:val="none"/>
                <w:lang w:val="en-GB"/>
              </w:rPr>
              <w:t>3.</w:t>
            </w:r>
            <w:r>
              <w:rPr>
                <w:rFonts w:hint="eastAsia" w:ascii="仿宋_GB2312" w:hAnsi="仿宋_GB2312" w:eastAsia="仿宋_GB2312" w:cs="仿宋_GB2312"/>
                <w:kern w:val="0"/>
                <w:sz w:val="24"/>
                <w:szCs w:val="24"/>
                <w:highlight w:val="none"/>
                <w:lang w:val="en-US" w:eastAsia="zh-CN"/>
              </w:rPr>
              <w:t xml:space="preserve"> 10</w:t>
            </w:r>
            <w:r>
              <w:rPr>
                <w:rFonts w:hint="eastAsia" w:ascii="仿宋_GB2312" w:hAnsi="仿宋_GB2312" w:eastAsia="仿宋_GB2312" w:cs="仿宋_GB2312"/>
                <w:kern w:val="0"/>
                <w:sz w:val="24"/>
                <w:szCs w:val="24"/>
                <w:highlight w:val="none"/>
                <w:lang w:val="en-GB"/>
              </w:rPr>
              <w:t>%＜</w:t>
            </w:r>
            <w:r>
              <w:rPr>
                <w:rFonts w:hint="eastAsia" w:ascii="仿宋_GB2312" w:hAnsi="仿宋_GB2312" w:eastAsia="仿宋_GB2312" w:cs="仿宋_GB2312"/>
                <w:kern w:val="0"/>
                <w:sz w:val="24"/>
                <w:szCs w:val="24"/>
                <w:highlight w:val="none"/>
                <w:lang w:val="en-US" w:eastAsia="zh-CN"/>
              </w:rPr>
              <w:t>异常考勤</w:t>
            </w:r>
            <w:r>
              <w:rPr>
                <w:rFonts w:hint="eastAsia" w:ascii="仿宋_GB2312" w:hAnsi="仿宋_GB2312" w:eastAsia="仿宋_GB2312" w:cs="仿宋_GB2312"/>
                <w:kern w:val="0"/>
                <w:sz w:val="24"/>
                <w:szCs w:val="24"/>
                <w:highlight w:val="none"/>
                <w:lang w:val="en-GB"/>
              </w:rPr>
              <w:t>率≤15%  中</w:t>
            </w:r>
          </w:p>
          <w:p>
            <w:pPr>
              <w:pStyle w:val="40"/>
              <w:widowControl/>
              <w:numPr>
                <w:ilvl w:val="0"/>
                <w:numId w:val="0"/>
              </w:numPr>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GB"/>
              </w:rPr>
              <w:t>4.</w:t>
            </w:r>
            <w:r>
              <w:rPr>
                <w:rFonts w:hint="eastAsia" w:ascii="仿宋_GB2312" w:hAnsi="仿宋_GB2312" w:eastAsia="仿宋_GB2312" w:cs="仿宋_GB2312"/>
                <w:kern w:val="0"/>
                <w:sz w:val="24"/>
                <w:szCs w:val="24"/>
                <w:highlight w:val="none"/>
                <w:lang w:val="en-US" w:eastAsia="zh-CN"/>
              </w:rPr>
              <w:t xml:space="preserve"> </w:t>
            </w:r>
            <w:r>
              <w:rPr>
                <w:rFonts w:hint="eastAsia" w:ascii="仿宋_GB2312" w:hAnsi="仿宋_GB2312" w:eastAsia="仿宋_GB2312" w:cs="仿宋_GB2312"/>
                <w:kern w:val="0"/>
                <w:sz w:val="24"/>
                <w:szCs w:val="24"/>
                <w:highlight w:val="none"/>
                <w:lang w:val="en-GB"/>
              </w:rPr>
              <w:t>15%＜</w:t>
            </w:r>
            <w:r>
              <w:rPr>
                <w:rFonts w:hint="eastAsia" w:ascii="仿宋_GB2312" w:hAnsi="仿宋_GB2312" w:eastAsia="仿宋_GB2312" w:cs="仿宋_GB2312"/>
                <w:kern w:val="0"/>
                <w:sz w:val="24"/>
                <w:szCs w:val="24"/>
                <w:highlight w:val="none"/>
                <w:lang w:val="en-US" w:eastAsia="zh-CN"/>
              </w:rPr>
              <w:t>异常考勤</w:t>
            </w:r>
            <w:r>
              <w:rPr>
                <w:rFonts w:hint="eastAsia" w:ascii="仿宋_GB2312" w:hAnsi="仿宋_GB2312" w:eastAsia="仿宋_GB2312" w:cs="仿宋_GB2312"/>
                <w:kern w:val="0"/>
                <w:sz w:val="24"/>
                <w:szCs w:val="24"/>
                <w:highlight w:val="none"/>
                <w:lang w:val="en-GB"/>
              </w:rPr>
              <w:t>率       差</w:t>
            </w:r>
          </w:p>
        </w:tc>
        <w:tc>
          <w:tcPr>
            <w:tcW w:w="520" w:type="pct"/>
            <w:noWrap w:val="0"/>
            <w:vAlign w:val="center"/>
          </w:tcPr>
          <w:p>
            <w:pPr>
              <w:pStyle w:val="40"/>
              <w:widowControl/>
              <w:spacing w:beforeLines="0" w:afterLines="0" w:line="560" w:lineRule="exact"/>
              <w:ind w:firstLine="0" w:firstLineChars="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5000" w:type="pct"/>
            <w:gridSpan w:val="5"/>
            <w:noWrap w:val="0"/>
            <w:vAlign w:val="center"/>
          </w:tcPr>
          <w:p>
            <w:pPr>
              <w:pStyle w:val="40"/>
              <w:widowControl/>
              <w:tabs>
                <w:tab w:val="left" w:pos="2252"/>
              </w:tabs>
              <w:spacing w:beforeLines="0" w:afterLines="0" w:line="560" w:lineRule="exact"/>
              <w:ind w:firstLine="0" w:firstLineChars="0"/>
              <w:jc w:val="left"/>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说明：本项目涉及功能点情况和数量随报价文件一并提供，应与工作量评估底稿一致；考勤率结合我行外包考勤情况进行计算。</w:t>
            </w:r>
          </w:p>
        </w:tc>
      </w:tr>
    </w:tbl>
    <w:p>
      <w:pPr>
        <w:pStyle w:val="36"/>
        <w:spacing w:beforeLines="0" w:afterLines="0" w:line="560" w:lineRule="exact"/>
        <w:ind w:firstLine="640" w:firstLineChars="200"/>
        <w:rPr>
          <w:rFonts w:hint="eastAsia" w:eastAsia="仿宋_GB2312" w:cs="Times New Roman"/>
          <w:sz w:val="32"/>
          <w:szCs w:val="28"/>
          <w:highlight w:val="none"/>
        </w:rPr>
      </w:pPr>
      <w:r>
        <w:rPr>
          <w:rFonts w:hint="eastAsia" w:eastAsia="仿宋_GB2312" w:cs="Times New Roman"/>
          <w:sz w:val="32"/>
          <w:szCs w:val="28"/>
          <w:highlight w:val="none"/>
        </w:rPr>
        <w:t xml:space="preserve">根据SLA最后得分情况，划分为四个等级： </w:t>
      </w:r>
    </w:p>
    <w:p>
      <w:pPr>
        <w:pStyle w:val="36"/>
        <w:spacing w:beforeLines="0" w:afterLines="0" w:line="560" w:lineRule="exact"/>
        <w:ind w:firstLine="640" w:firstLineChars="200"/>
        <w:rPr>
          <w:rFonts w:hint="eastAsia" w:eastAsia="仿宋_GB2312" w:cs="Times New Roman"/>
          <w:sz w:val="32"/>
          <w:szCs w:val="28"/>
          <w:highlight w:val="none"/>
          <w:lang w:eastAsia="zh-CN"/>
        </w:rPr>
      </w:pPr>
      <w:r>
        <w:rPr>
          <w:rFonts w:hint="eastAsia" w:eastAsia="仿宋_GB2312" w:cs="Times New Roman"/>
          <w:sz w:val="32"/>
          <w:szCs w:val="28"/>
          <w:highlight w:val="none"/>
        </w:rPr>
        <w:t>SLA&gt;=95的为优</w:t>
      </w:r>
      <w:r>
        <w:rPr>
          <w:rFonts w:hint="eastAsia" w:eastAsia="仿宋_GB2312" w:cs="Times New Roman"/>
          <w:sz w:val="32"/>
          <w:szCs w:val="28"/>
          <w:highlight w:val="none"/>
          <w:lang w:eastAsia="zh-CN"/>
        </w:rPr>
        <w:t>；</w:t>
      </w:r>
    </w:p>
    <w:p>
      <w:pPr>
        <w:pStyle w:val="36"/>
        <w:spacing w:beforeLines="0" w:afterLines="0" w:line="560" w:lineRule="exact"/>
        <w:ind w:firstLine="640" w:firstLineChars="200"/>
        <w:rPr>
          <w:rFonts w:hint="eastAsia" w:eastAsia="仿宋_GB2312" w:cs="Times New Roman"/>
          <w:sz w:val="32"/>
          <w:szCs w:val="28"/>
          <w:highlight w:val="none"/>
          <w:lang w:eastAsia="zh-CN"/>
        </w:rPr>
      </w:pPr>
      <w:r>
        <w:rPr>
          <w:rFonts w:hint="eastAsia" w:eastAsia="仿宋_GB2312" w:cs="Times New Roman"/>
          <w:sz w:val="32"/>
          <w:szCs w:val="28"/>
          <w:highlight w:val="none"/>
        </w:rPr>
        <w:t>SLA在80-95的为良</w:t>
      </w:r>
      <w:r>
        <w:rPr>
          <w:rFonts w:hint="eastAsia" w:eastAsia="仿宋_GB2312" w:cs="Times New Roman"/>
          <w:sz w:val="32"/>
          <w:szCs w:val="28"/>
          <w:highlight w:val="none"/>
          <w:lang w:eastAsia="zh-CN"/>
        </w:rPr>
        <w:t>；</w:t>
      </w:r>
    </w:p>
    <w:p>
      <w:pPr>
        <w:pStyle w:val="36"/>
        <w:spacing w:beforeLines="0" w:afterLines="0" w:line="560" w:lineRule="exact"/>
        <w:ind w:firstLine="640" w:firstLineChars="200"/>
        <w:rPr>
          <w:rFonts w:hint="eastAsia" w:eastAsia="仿宋_GB2312" w:cs="Times New Roman"/>
          <w:sz w:val="32"/>
          <w:szCs w:val="28"/>
          <w:highlight w:val="none"/>
          <w:lang w:eastAsia="zh-CN"/>
        </w:rPr>
      </w:pPr>
      <w:r>
        <w:rPr>
          <w:rFonts w:hint="eastAsia" w:eastAsia="仿宋_GB2312" w:cs="Times New Roman"/>
          <w:sz w:val="32"/>
          <w:szCs w:val="28"/>
          <w:highlight w:val="none"/>
        </w:rPr>
        <w:t>SLA在60-80的为中</w:t>
      </w:r>
      <w:r>
        <w:rPr>
          <w:rFonts w:hint="eastAsia" w:eastAsia="仿宋_GB2312" w:cs="Times New Roman"/>
          <w:sz w:val="32"/>
          <w:szCs w:val="28"/>
          <w:highlight w:val="none"/>
          <w:lang w:eastAsia="zh-CN"/>
        </w:rPr>
        <w:t>；</w:t>
      </w:r>
    </w:p>
    <w:p>
      <w:pPr>
        <w:keepLines w:val="0"/>
        <w:pageBreakBefore w:val="0"/>
        <w:numPr>
          <w:ilvl w:val="0"/>
          <w:numId w:val="0"/>
        </w:numPr>
        <w:kinsoku/>
        <w:overflowPunct/>
        <w:topLinePunct w:val="0"/>
        <w:autoSpaceDE/>
        <w:autoSpaceDN/>
        <w:bidi w:val="0"/>
        <w:adjustRightInd/>
        <w:snapToGrid/>
        <w:spacing w:beforeLines="0" w:afterLines="0" w:line="560" w:lineRule="exact"/>
        <w:ind w:left="630" w:leftChars="0"/>
        <w:jc w:val="both"/>
        <w:textAlignment w:val="auto"/>
        <w:rPr>
          <w:rFonts w:hint="eastAsia" w:eastAsia="仿宋_GB2312" w:cs="Times New Roman"/>
          <w:sz w:val="32"/>
          <w:szCs w:val="28"/>
          <w:highlight w:val="none"/>
          <w:lang w:eastAsia="zh-CN"/>
        </w:rPr>
      </w:pPr>
      <w:r>
        <w:rPr>
          <w:rFonts w:hint="eastAsia" w:eastAsia="仿宋_GB2312" w:cs="Times New Roman"/>
          <w:sz w:val="32"/>
          <w:szCs w:val="28"/>
          <w:highlight w:val="none"/>
        </w:rPr>
        <w:t>SLA&lt;60的为差</w:t>
      </w:r>
      <w:r>
        <w:rPr>
          <w:rFonts w:hint="eastAsia" w:eastAsia="仿宋_GB2312" w:cs="Times New Roman"/>
          <w:sz w:val="32"/>
          <w:szCs w:val="28"/>
          <w:highlight w:val="none"/>
          <w:lang w:eastAsia="zh-CN"/>
        </w:rPr>
        <w:t>。</w:t>
      </w:r>
    </w:p>
    <w:p>
      <w:pPr>
        <w:pageBreakBefore w:val="0"/>
        <w:kinsoku/>
        <w:overflowPunct/>
        <w:topLinePunct w:val="0"/>
        <w:autoSpaceDE/>
        <w:autoSpaceDN/>
        <w:bidi w:val="0"/>
        <w:adjustRightInd w:val="0"/>
        <w:snapToGrid/>
        <w:spacing w:beforeLines="0" w:afterLines="0" w:line="560" w:lineRule="exact"/>
        <w:ind w:firstLine="640" w:firstLineChars="200"/>
        <w:textAlignment w:val="baseline"/>
        <w:rPr>
          <w:rFonts w:hint="eastAsia" w:ascii="楷体_GB2312" w:hAnsi="楷体_GB2312" w:eastAsia="楷体_GB2312" w:cs="楷体_GB2312"/>
          <w:color w:val="auto"/>
          <w:sz w:val="32"/>
          <w:szCs w:val="22"/>
          <w:highlight w:val="none"/>
          <w:lang w:val="en-US" w:eastAsia="zh-CN"/>
        </w:rPr>
      </w:pPr>
      <w:bookmarkStart w:id="54" w:name="_Toc7716"/>
      <w:bookmarkStart w:id="55" w:name="_Toc427324160"/>
      <w:bookmarkStart w:id="56" w:name="_Toc199219954"/>
      <w:bookmarkStart w:id="57" w:name="_Toc339888460"/>
      <w:bookmarkStart w:id="58" w:name="_Toc241634330"/>
      <w:r>
        <w:rPr>
          <w:rFonts w:hint="eastAsia" w:ascii="楷体_GB2312" w:hAnsi="楷体_GB2312" w:eastAsia="楷体_GB2312" w:cs="楷体_GB2312"/>
          <w:color w:val="auto"/>
          <w:sz w:val="32"/>
          <w:szCs w:val="22"/>
          <w:highlight w:val="none"/>
          <w:lang w:val="en-US" w:eastAsia="zh-CN"/>
        </w:rPr>
        <w:t>（三）违约责任</w:t>
      </w:r>
      <w:bookmarkEnd w:id="54"/>
    </w:p>
    <w:p>
      <w:pPr>
        <w:pageBreakBefore w:val="0"/>
        <w:kinsoku/>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1.乙方在合同签署后，</w:t>
      </w:r>
      <w:r>
        <w:rPr>
          <w:rFonts w:hint="eastAsia" w:ascii="仿宋_GB2312" w:hAnsi="仿宋_GB2312" w:eastAsia="仿宋_GB2312" w:cs="仿宋_GB2312"/>
          <w:b w:val="0"/>
          <w:bCs w:val="0"/>
          <w:sz w:val="32"/>
          <w:szCs w:val="32"/>
          <w:highlight w:val="none"/>
          <w:lang w:val="en-US" w:eastAsia="zh-CN"/>
        </w:rPr>
        <w:t>需要</w:t>
      </w:r>
      <w:r>
        <w:rPr>
          <w:rFonts w:hint="eastAsia" w:ascii="仿宋_GB2312" w:hAnsi="仿宋_GB2312" w:eastAsia="仿宋_GB2312" w:cs="仿宋_GB2312"/>
          <w:sz w:val="32"/>
          <w:szCs w:val="32"/>
          <w:highlight w:val="none"/>
          <w:lang w:val="en-US" w:eastAsia="zh-CN"/>
        </w:rPr>
        <w:t>按上线计划完成投产上线</w:t>
      </w:r>
      <w:r>
        <w:rPr>
          <w:rFonts w:hint="eastAsia" w:ascii="仿宋_GB2312" w:hAnsi="仿宋_GB2312" w:eastAsia="仿宋_GB2312" w:cs="仿宋_GB2312"/>
          <w:b w:val="0"/>
          <w:bCs w:val="0"/>
          <w:sz w:val="32"/>
          <w:szCs w:val="32"/>
          <w:highlight w:val="none"/>
          <w:lang w:val="en-US" w:eastAsia="zh-CN"/>
        </w:rPr>
        <w:t>。如因乙方原因导致未能按期投产上线，将按照</w:t>
      </w:r>
      <w:r>
        <w:rPr>
          <w:rFonts w:hint="eastAsia" w:ascii="仿宋_GB2312" w:hAnsi="仿宋_GB2312" w:eastAsia="仿宋_GB2312" w:cs="仿宋_GB2312"/>
          <w:sz w:val="32"/>
          <w:szCs w:val="32"/>
          <w:highlight w:val="none"/>
        </w:rPr>
        <w:t>每逾期一</w:t>
      </w:r>
      <w:r>
        <w:rPr>
          <w:rFonts w:hint="eastAsia" w:ascii="仿宋_GB2312" w:hAnsi="仿宋_GB2312" w:eastAsia="仿宋_GB2312" w:cs="仿宋_GB2312"/>
          <w:sz w:val="32"/>
          <w:szCs w:val="32"/>
          <w:highlight w:val="none"/>
          <w:lang w:val="en-US" w:eastAsia="zh-CN"/>
        </w:rPr>
        <w:t>日</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扣除</w:t>
      </w:r>
      <w:r>
        <w:rPr>
          <w:rFonts w:hint="eastAsia" w:ascii="仿宋_GB2312" w:hAnsi="仿宋_GB2312" w:eastAsia="仿宋_GB2312" w:cs="仿宋_GB2312"/>
          <w:sz w:val="32"/>
          <w:szCs w:val="32"/>
          <w:highlight w:val="none"/>
        </w:rPr>
        <w:t>“合同价款”的千分之</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pPr>
        <w:pStyle w:val="36"/>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2.SLA考核的罚则</w:t>
      </w:r>
    </w:p>
    <w:p>
      <w:pPr>
        <w:pStyle w:val="36"/>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sz w:val="32"/>
          <w:szCs w:val="28"/>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28"/>
          <w:highlight w:val="none"/>
        </w:rPr>
        <w:t>SLA考核为良：约谈公司高管，提出服务质量保障具体措施并限期落实；</w:t>
      </w:r>
    </w:p>
    <w:p>
      <w:pPr>
        <w:pStyle w:val="36"/>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sz w:val="32"/>
          <w:szCs w:val="28"/>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28"/>
          <w:highlight w:val="none"/>
        </w:rPr>
        <w:t>SLA考核为中：约谈公司高管，提出服务质量保障具体措施并限期落实，从本次付款起每期付款顺次延迟半年支付，如有多次延迟的，延迟期限叠加。</w:t>
      </w:r>
    </w:p>
    <w:p>
      <w:pPr>
        <w:pStyle w:val="36"/>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（3）</w:t>
      </w:r>
      <w:r>
        <w:rPr>
          <w:rFonts w:hint="eastAsia" w:ascii="仿宋_GB2312" w:hAnsi="仿宋_GB2312" w:eastAsia="仿宋_GB2312" w:cs="仿宋_GB2312"/>
          <w:sz w:val="32"/>
          <w:szCs w:val="28"/>
          <w:highlight w:val="none"/>
        </w:rPr>
        <w:t>SLA 考核为差：约谈公司高管，提出服务质量保障具体措施并限期落实，暂停本次及以后各期款项支付，直至下次考核时服务质量达到中级以上，接续按以上标准执行。</w:t>
      </w:r>
      <w:r>
        <w:rPr>
          <w:rFonts w:hint="eastAsia" w:ascii="仿宋_GB2312" w:hAnsi="仿宋_GB2312" w:eastAsia="仿宋_GB2312" w:cs="仿宋_GB2312"/>
          <w:sz w:val="32"/>
          <w:szCs w:val="28"/>
          <w:highlight w:val="none"/>
          <w:lang w:val="en-US" w:eastAsia="zh-CN"/>
        </w:rPr>
        <w:t>如已是最后一次验收，则扣除</w:t>
      </w:r>
      <w:r>
        <w:rPr>
          <w:rFonts w:hint="eastAsia" w:ascii="仿宋_GB2312" w:hAnsi="仿宋_GB2312" w:eastAsia="仿宋_GB2312" w:cs="仿宋_GB2312"/>
          <w:sz w:val="32"/>
          <w:szCs w:val="28"/>
          <w:highlight w:val="none"/>
        </w:rPr>
        <w:t>“合同价款”的</w:t>
      </w:r>
      <w:r>
        <w:rPr>
          <w:rFonts w:hint="eastAsia" w:ascii="仿宋_GB2312" w:hAnsi="仿宋_GB2312" w:eastAsia="仿宋_GB2312" w:cs="仿宋_GB2312"/>
          <w:sz w:val="32"/>
          <w:szCs w:val="28"/>
          <w:highlight w:val="none"/>
          <w:lang w:val="en-US" w:eastAsia="zh-CN"/>
        </w:rPr>
        <w:t>百</w:t>
      </w:r>
      <w:r>
        <w:rPr>
          <w:rFonts w:hint="eastAsia" w:ascii="仿宋_GB2312" w:hAnsi="仿宋_GB2312" w:eastAsia="仿宋_GB2312" w:cs="仿宋_GB2312"/>
          <w:sz w:val="32"/>
          <w:szCs w:val="28"/>
          <w:highlight w:val="none"/>
        </w:rPr>
        <w:t>分之</w:t>
      </w:r>
      <w:r>
        <w:rPr>
          <w:rFonts w:hint="eastAsia" w:ascii="仿宋_GB2312" w:hAnsi="仿宋_GB2312" w:eastAsia="仿宋_GB2312" w:cs="仿宋_GB2312"/>
          <w:sz w:val="32"/>
          <w:szCs w:val="28"/>
          <w:highlight w:val="none"/>
          <w:lang w:val="en-US" w:eastAsia="zh-CN"/>
        </w:rPr>
        <w:t>五</w:t>
      </w:r>
      <w:r>
        <w:rPr>
          <w:rFonts w:hint="eastAsia" w:ascii="仿宋_GB2312" w:hAnsi="仿宋_GB2312" w:eastAsia="仿宋_GB2312" w:cs="仿宋_GB2312"/>
          <w:sz w:val="32"/>
          <w:szCs w:val="28"/>
          <w:highlight w:val="none"/>
        </w:rPr>
        <w:t>（</w:t>
      </w:r>
      <w:r>
        <w:rPr>
          <w:rFonts w:hint="eastAsia" w:ascii="仿宋_GB2312" w:hAnsi="仿宋_GB2312" w:eastAsia="仿宋_GB2312" w:cs="仿宋_GB2312"/>
          <w:sz w:val="32"/>
          <w:szCs w:val="28"/>
          <w:highlight w:val="none"/>
          <w:lang w:val="en-US" w:eastAsia="zh-CN"/>
        </w:rPr>
        <w:t>5%</w:t>
      </w:r>
      <w:r>
        <w:rPr>
          <w:rFonts w:hint="eastAsia" w:ascii="仿宋_GB2312" w:hAnsi="仿宋_GB2312" w:eastAsia="仿宋_GB2312" w:cs="仿宋_GB2312"/>
          <w:sz w:val="32"/>
          <w:szCs w:val="28"/>
          <w:highlight w:val="none"/>
        </w:rPr>
        <w:t>）</w:t>
      </w:r>
      <w:r>
        <w:rPr>
          <w:rFonts w:hint="eastAsia" w:ascii="仿宋_GB2312" w:hAnsi="仿宋_GB2312" w:eastAsia="仿宋_GB2312" w:cs="仿宋_GB2312"/>
          <w:sz w:val="32"/>
          <w:szCs w:val="28"/>
          <w:highlight w:val="none"/>
          <w:lang w:eastAsia="zh-CN"/>
        </w:rPr>
        <w:t>。</w:t>
      </w:r>
    </w:p>
    <w:bookmarkEnd w:id="55"/>
    <w:bookmarkEnd w:id="56"/>
    <w:bookmarkEnd w:id="57"/>
    <w:bookmarkEnd w:id="58"/>
    <w:p>
      <w:pPr>
        <w:pageBreakBefore w:val="0"/>
        <w:kinsoku/>
        <w:overflowPunct/>
        <w:topLinePunct w:val="0"/>
        <w:autoSpaceDE/>
        <w:autoSpaceDN/>
        <w:bidi w:val="0"/>
        <w:adjustRightInd w:val="0"/>
        <w:snapToGrid/>
        <w:spacing w:beforeLines="0" w:afterLines="0" w:line="560" w:lineRule="exact"/>
        <w:ind w:firstLine="640" w:firstLineChars="200"/>
        <w:textAlignment w:val="baseline"/>
        <w:outlineLvl w:val="0"/>
        <w:rPr>
          <w:rFonts w:hint="eastAsia" w:ascii="Times New Roman" w:hAnsi="Times New Roman" w:eastAsia="黑体" w:cs="Times New Roman"/>
          <w:b w:val="0"/>
          <w:bCs w:val="0"/>
          <w:color w:val="auto"/>
          <w:sz w:val="32"/>
          <w:highlight w:val="none"/>
          <w:lang w:val="en-US" w:eastAsia="zh-CN"/>
        </w:rPr>
      </w:pPr>
      <w:bookmarkStart w:id="59" w:name="_Toc31834"/>
      <w:r>
        <w:rPr>
          <w:rFonts w:hint="eastAsia" w:ascii="Times New Roman" w:hAnsi="Times New Roman" w:eastAsia="黑体" w:cs="Times New Roman"/>
          <w:b w:val="0"/>
          <w:bCs w:val="0"/>
          <w:color w:val="auto"/>
          <w:sz w:val="32"/>
          <w:highlight w:val="none"/>
          <w:lang w:val="en-US" w:eastAsia="zh-CN"/>
        </w:rPr>
        <w:fldChar w:fldCharType="begin"/>
      </w:r>
      <w:r>
        <w:rPr>
          <w:rFonts w:hint="eastAsia" w:ascii="Times New Roman" w:hAnsi="Times New Roman" w:eastAsia="黑体" w:cs="Times New Roman"/>
          <w:b w:val="0"/>
          <w:bCs w:val="0"/>
          <w:color w:val="auto"/>
          <w:sz w:val="32"/>
          <w:highlight w:val="none"/>
          <w:lang w:val="en-US" w:eastAsia="zh-CN"/>
        </w:rPr>
        <w:instrText xml:space="preserve"> HYPERLINK \l _Toc15097 </w:instrText>
      </w:r>
      <w:r>
        <w:rPr>
          <w:rFonts w:hint="eastAsia" w:ascii="Times New Roman" w:hAnsi="Times New Roman" w:eastAsia="黑体" w:cs="Times New Roman"/>
          <w:b w:val="0"/>
          <w:bCs w:val="0"/>
          <w:color w:val="auto"/>
          <w:sz w:val="32"/>
          <w:highlight w:val="none"/>
          <w:lang w:val="en-US" w:eastAsia="zh-CN"/>
        </w:rPr>
        <w:fldChar w:fldCharType="separate"/>
      </w:r>
      <w:r>
        <w:rPr>
          <w:rFonts w:hint="eastAsia" w:ascii="Times New Roman" w:hAnsi="Times New Roman" w:eastAsia="黑体" w:cs="Times New Roman"/>
          <w:b w:val="0"/>
          <w:bCs w:val="0"/>
          <w:color w:val="auto"/>
          <w:sz w:val="32"/>
          <w:highlight w:val="none"/>
          <w:lang w:val="en-US" w:eastAsia="zh-CN"/>
        </w:rPr>
        <w:t>十一、投标资质要求</w:t>
      </w:r>
      <w:r>
        <w:rPr>
          <w:rFonts w:hint="eastAsia" w:ascii="Times New Roman" w:hAnsi="Times New Roman" w:eastAsia="黑体" w:cs="Times New Roman"/>
          <w:b w:val="0"/>
          <w:bCs w:val="0"/>
          <w:color w:val="auto"/>
          <w:sz w:val="32"/>
          <w:highlight w:val="none"/>
          <w:lang w:val="en-US" w:eastAsia="zh-CN"/>
        </w:rPr>
        <w:fldChar w:fldCharType="end"/>
      </w:r>
      <w:bookmarkEnd w:id="51"/>
      <w:bookmarkEnd w:id="59"/>
      <w:bookmarkStart w:id="60" w:name="_Toc4871"/>
    </w:p>
    <w:p>
      <w:pPr>
        <w:bidi w:val="0"/>
        <w:ind w:firstLine="640" w:firstLineChars="200"/>
        <w:rPr>
          <w:rFonts w:hint="eastAsia" w:ascii="仿宋_GB2312" w:hAnsi="仿宋_GB2312" w:eastAsia="仿宋_GB2312" w:cs="仿宋_GB2312"/>
          <w:kern w:val="2"/>
          <w:sz w:val="32"/>
          <w:szCs w:val="28"/>
          <w:highlight w:val="none"/>
          <w:lang w:val="en-US" w:eastAsia="zh-CN" w:bidi="ar-SA"/>
        </w:rPr>
      </w:pPr>
      <w:r>
        <w:rPr>
          <w:rFonts w:hint="eastAsia" w:ascii="仿宋_GB2312" w:hAnsi="仿宋_GB2312" w:eastAsia="仿宋_GB2312" w:cs="仿宋_GB2312"/>
          <w:kern w:val="2"/>
          <w:sz w:val="32"/>
          <w:szCs w:val="28"/>
          <w:highlight w:val="none"/>
          <w:lang w:val="en-US" w:eastAsia="zh-CN" w:bidi="ar-SA"/>
        </w:rPr>
        <w:t>无。</w:t>
      </w:r>
    </w:p>
    <w:p>
      <w:pPr>
        <w:pageBreakBefore w:val="0"/>
        <w:kinsoku/>
        <w:overflowPunct/>
        <w:topLinePunct w:val="0"/>
        <w:autoSpaceDE/>
        <w:autoSpaceDN/>
        <w:bidi w:val="0"/>
        <w:adjustRightInd w:val="0"/>
        <w:snapToGrid/>
        <w:spacing w:beforeLines="0" w:afterLines="0" w:line="560" w:lineRule="exact"/>
        <w:ind w:firstLine="640" w:firstLineChars="200"/>
        <w:textAlignment w:val="baseline"/>
        <w:outlineLvl w:val="0"/>
        <w:rPr>
          <w:rFonts w:hint="eastAsia" w:ascii="Times New Roman" w:hAnsi="Times New Roman" w:eastAsia="黑体" w:cs="Times New Roman"/>
          <w:b w:val="0"/>
          <w:bCs w:val="0"/>
          <w:color w:val="auto"/>
          <w:sz w:val="32"/>
          <w:highlight w:val="none"/>
          <w:lang w:val="en-US" w:eastAsia="zh-CN"/>
        </w:rPr>
      </w:pPr>
      <w:bookmarkStart w:id="61" w:name="_Toc21490"/>
      <w:r>
        <w:rPr>
          <w:rFonts w:hint="eastAsia" w:ascii="Times New Roman" w:hAnsi="Times New Roman" w:eastAsia="黑体" w:cs="Times New Roman"/>
          <w:b w:val="0"/>
          <w:bCs w:val="0"/>
          <w:color w:val="auto"/>
          <w:sz w:val="32"/>
          <w:highlight w:val="none"/>
          <w:lang w:val="en-US" w:eastAsia="zh-CN"/>
        </w:rPr>
        <w:fldChar w:fldCharType="begin"/>
      </w:r>
      <w:r>
        <w:rPr>
          <w:rFonts w:hint="eastAsia" w:ascii="Times New Roman" w:hAnsi="Times New Roman" w:eastAsia="黑体" w:cs="Times New Roman"/>
          <w:b w:val="0"/>
          <w:bCs w:val="0"/>
          <w:color w:val="auto"/>
          <w:sz w:val="32"/>
          <w:highlight w:val="none"/>
          <w:lang w:val="en-US" w:eastAsia="zh-CN"/>
        </w:rPr>
        <w:instrText xml:space="preserve"> HYPERLINK \l _Toc6280 </w:instrText>
      </w:r>
      <w:r>
        <w:rPr>
          <w:rFonts w:hint="eastAsia" w:ascii="Times New Roman" w:hAnsi="Times New Roman" w:eastAsia="黑体" w:cs="Times New Roman"/>
          <w:b w:val="0"/>
          <w:bCs w:val="0"/>
          <w:color w:val="auto"/>
          <w:sz w:val="32"/>
          <w:highlight w:val="none"/>
          <w:lang w:val="en-US" w:eastAsia="zh-CN"/>
        </w:rPr>
        <w:fldChar w:fldCharType="separate"/>
      </w:r>
      <w:r>
        <w:rPr>
          <w:rFonts w:hint="eastAsia" w:ascii="Times New Roman" w:hAnsi="Times New Roman" w:eastAsia="黑体" w:cs="Times New Roman"/>
          <w:b w:val="0"/>
          <w:bCs w:val="0"/>
          <w:color w:val="auto"/>
          <w:sz w:val="32"/>
          <w:highlight w:val="none"/>
          <w:lang w:val="en-US" w:eastAsia="zh-CN"/>
        </w:rPr>
        <w:t>十二、投标人及产品的技术、能力、认证等相关证书</w:t>
      </w:r>
      <w:r>
        <w:rPr>
          <w:rFonts w:hint="eastAsia" w:ascii="Times New Roman" w:hAnsi="Times New Roman" w:eastAsia="黑体" w:cs="Times New Roman"/>
          <w:b w:val="0"/>
          <w:bCs w:val="0"/>
          <w:color w:val="auto"/>
          <w:sz w:val="32"/>
          <w:highlight w:val="none"/>
          <w:lang w:val="en-US" w:eastAsia="zh-CN"/>
        </w:rPr>
        <w:fldChar w:fldCharType="end"/>
      </w:r>
      <w:bookmarkEnd w:id="60"/>
      <w:bookmarkEnd w:id="61"/>
    </w:p>
    <w:p>
      <w:pPr>
        <w:pStyle w:val="17"/>
        <w:numPr>
          <w:ilvl w:val="-1"/>
          <w:numId w:val="0"/>
        </w:numPr>
        <w:spacing w:before="0" w:after="0" w:line="560" w:lineRule="exact"/>
        <w:ind w:left="420" w:firstLine="0" w:firstLineChars="0"/>
        <w:rPr>
          <w:rFonts w:hint="default" w:ascii="楷体_GB2312" w:hAnsi="楷体_GB2312" w:eastAsia="楷体_GB2312" w:cs="楷体_GB2312"/>
          <w:b/>
          <w:bCs/>
          <w:sz w:val="32"/>
          <w:lang w:val="en-US" w:eastAsia="zh-CN"/>
        </w:rPr>
      </w:pPr>
      <w:bookmarkStart w:id="62" w:name="_Toc26703"/>
      <w:bookmarkStart w:id="63" w:name="_Toc443719666"/>
      <w:bookmarkStart w:id="64" w:name="_Toc1439688512"/>
      <w:bookmarkStart w:id="65" w:name="_Toc17969"/>
      <w:bookmarkStart w:id="66" w:name="_Toc27318"/>
      <w:r>
        <w:rPr>
          <w:rFonts w:hint="default" w:ascii="楷体_GB2312" w:hAnsi="楷体_GB2312" w:eastAsia="楷体_GB2312" w:cs="楷体_GB2312"/>
          <w:b/>
          <w:bCs/>
          <w:sz w:val="32"/>
          <w:lang w:val="en-US" w:eastAsia="zh-CN"/>
        </w:rPr>
        <w:t>（一）案例要求</w:t>
      </w:r>
      <w:bookmarkEnd w:id="62"/>
      <w:bookmarkEnd w:id="63"/>
      <w:bookmarkEnd w:id="64"/>
    </w:p>
    <w:p>
      <w:pPr>
        <w:keepNext w:val="0"/>
        <w:keepLines w:val="0"/>
        <w:pageBreakBefore w:val="0"/>
        <w:widowControl w:val="0"/>
        <w:kinsoku/>
        <w:wordWrap/>
        <w:overflowPunct/>
        <w:topLinePunct w:val="0"/>
        <w:autoSpaceDE/>
        <w:autoSpaceDN/>
        <w:bidi w:val="0"/>
        <w:snapToGrid/>
        <w:spacing w:beforeLines="0" w:afterLines="0" w:line="560" w:lineRule="exact"/>
        <w:ind w:firstLine="640"/>
        <w:jc w:val="left"/>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投标人具有银行总行级同类项目实施经验（</w:t>
      </w:r>
      <w:r>
        <w:rPr>
          <w:rFonts w:hint="eastAsia" w:ascii="仿宋_GB2312" w:hAnsi="仿宋_GB2312" w:eastAsia="仿宋_GB2312" w:cs="仿宋_GB2312"/>
          <w:sz w:val="32"/>
          <w:szCs w:val="28"/>
          <w:highlight w:val="none"/>
        </w:rPr>
        <w:t>系统重要性银行或开发性金融机构或政策性</w:t>
      </w:r>
      <w:r>
        <w:rPr>
          <w:rFonts w:hint="eastAsia" w:ascii="仿宋_GB2312" w:hAnsi="仿宋_GB2312" w:eastAsia="仿宋_GB2312" w:cs="仿宋_GB2312"/>
          <w:sz w:val="32"/>
          <w:szCs w:val="28"/>
          <w:highlight w:val="none"/>
          <w:lang w:val="en-US" w:eastAsia="zh-CN"/>
        </w:rPr>
        <w:t>银行更佳），请提供近五年（合同签订日期为2020年1月1日后，以签约日期为准）同类项目实施案例，需提供证明文件。并应包括至少1个案例为服务建设银行或其输出客户的案例。同一采购人（含其分支机构）的多个同类项目原则上认定为一个案例。（商务分）</w:t>
      </w:r>
    </w:p>
    <w:p>
      <w:pPr>
        <w:keepNext w:val="0"/>
        <w:keepLines w:val="0"/>
        <w:pageBreakBefore w:val="0"/>
        <w:widowControl w:val="0"/>
        <w:kinsoku/>
        <w:wordWrap/>
        <w:overflowPunct/>
        <w:topLinePunct w:val="0"/>
        <w:autoSpaceDE/>
        <w:autoSpaceDN/>
        <w:bidi w:val="0"/>
        <w:snapToGrid/>
        <w:spacing w:beforeLines="0" w:afterLines="0" w:line="560" w:lineRule="exact"/>
        <w:ind w:firstLine="640"/>
        <w:jc w:val="left"/>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证明材料要求：</w:t>
      </w:r>
    </w:p>
    <w:p>
      <w:pPr>
        <w:keepNext w:val="0"/>
        <w:keepLines w:val="0"/>
        <w:pageBreakBefore w:val="0"/>
        <w:widowControl w:val="0"/>
        <w:kinsoku/>
        <w:wordWrap/>
        <w:overflowPunct/>
        <w:topLinePunct w:val="0"/>
        <w:autoSpaceDE/>
        <w:autoSpaceDN/>
        <w:bidi w:val="0"/>
        <w:snapToGrid/>
        <w:spacing w:beforeLines="0" w:afterLines="0" w:line="560" w:lineRule="exact"/>
        <w:ind w:firstLine="640"/>
        <w:jc w:val="left"/>
        <w:rPr>
          <w:rFonts w:hint="eastAsia" w:ascii="仿宋_GB2312" w:hAnsi="仿宋_GB2312" w:eastAsia="仿宋_GB2312" w:cs="仿宋_GB2312"/>
          <w:sz w:val="32"/>
          <w:szCs w:val="28"/>
          <w:highlight w:val="none"/>
          <w:lang w:val="en-US" w:eastAsia="zh-CN"/>
        </w:rPr>
      </w:pPr>
      <w:r>
        <w:rPr>
          <w:rFonts w:hint="eastAsia" w:ascii="仿宋_GB2312" w:hAnsi="仿宋_GB2312" w:eastAsia="仿宋_GB2312" w:cs="仿宋_GB2312"/>
          <w:sz w:val="32"/>
          <w:szCs w:val="28"/>
          <w:highlight w:val="none"/>
          <w:lang w:val="en-US" w:eastAsia="zh-CN"/>
        </w:rPr>
        <w:t>案例要求为系统开发建设案例，需提供采购合同，合同乙方不限定为投标人；证明材料应包含最终使用方、订单签订日期、合同签字盖章页、所涉及功能、产品型号（名称）及采购数量；不能明确最终使用方、合同/订单签订日期、业务功能、型号（名称）及采购数量的案例无效。证明材料均需加盖原厂商公章。</w:t>
      </w:r>
    </w:p>
    <w:p>
      <w:pPr>
        <w:pStyle w:val="17"/>
        <w:numPr>
          <w:ilvl w:val="0"/>
          <w:numId w:val="0"/>
        </w:numPr>
        <w:spacing w:before="0" w:after="0" w:line="560" w:lineRule="exact"/>
        <w:ind w:left="420" w:firstLine="0" w:firstLineChars="0"/>
        <w:rPr>
          <w:rFonts w:hint="default" w:ascii="楷体_GB2312" w:hAnsi="楷体_GB2312" w:eastAsia="楷体_GB2312" w:cs="楷体_GB2312"/>
          <w:b/>
          <w:bCs/>
          <w:sz w:val="32"/>
          <w:lang w:val="en-US" w:eastAsia="zh-CN"/>
        </w:rPr>
      </w:pPr>
      <w:bookmarkStart w:id="67" w:name="_Toc310755846"/>
      <w:bookmarkStart w:id="68" w:name="_Toc30664"/>
      <w:bookmarkStart w:id="69" w:name="_Toc789597103"/>
      <w:r>
        <w:rPr>
          <w:rFonts w:hint="default" w:ascii="楷体_GB2312" w:hAnsi="楷体_GB2312" w:eastAsia="楷体_GB2312" w:cs="楷体_GB2312"/>
          <w:b/>
          <w:bCs/>
          <w:sz w:val="32"/>
          <w:lang w:val="en-US" w:eastAsia="zh-CN"/>
        </w:rPr>
        <w:t>（二）认证要求</w:t>
      </w:r>
      <w:bookmarkEnd w:id="67"/>
      <w:bookmarkEnd w:id="68"/>
      <w:bookmarkEnd w:id="69"/>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0"/>
        <w:jc w:val="left"/>
        <w:textAlignment w:val="auto"/>
        <w:outlineLvl w:val="9"/>
        <w:rPr>
          <w:rFonts w:hint="eastAsia" w:ascii="仿宋_GB2312" w:hAnsi="仿宋_GB2312" w:eastAsia="仿宋_GB2312" w:cs="仿宋_GB2312"/>
          <w:kern w:val="2"/>
          <w:sz w:val="32"/>
          <w:szCs w:val="28"/>
          <w:highlight w:val="none"/>
          <w:lang w:val="en-US" w:eastAsia="zh-CN" w:bidi="ar-SA"/>
        </w:rPr>
      </w:pPr>
      <w:bookmarkStart w:id="70" w:name="_Toc723689142"/>
      <w:bookmarkStart w:id="71" w:name="_Toc3936"/>
      <w:r>
        <w:rPr>
          <w:rFonts w:hint="eastAsia" w:ascii="仿宋_GB2312" w:hAnsi="仿宋_GB2312" w:eastAsia="仿宋_GB2312" w:cs="仿宋_GB2312"/>
          <w:kern w:val="2"/>
          <w:sz w:val="32"/>
          <w:szCs w:val="28"/>
          <w:highlight w:val="none"/>
          <w:lang w:val="en-US" w:eastAsia="zh-CN" w:bidi="ar-SA"/>
        </w:rPr>
        <w:t>1.近三年内的ISO9001质量管理体系认证证书；（加分项）</w:t>
      </w:r>
      <w:bookmarkEnd w:id="70"/>
      <w:bookmarkEnd w:id="71"/>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0"/>
        <w:jc w:val="left"/>
        <w:textAlignment w:val="auto"/>
        <w:outlineLvl w:val="9"/>
        <w:rPr>
          <w:rFonts w:hint="eastAsia" w:ascii="仿宋_GB2312" w:hAnsi="仿宋_GB2312" w:eastAsia="仿宋_GB2312" w:cs="仿宋_GB2312"/>
          <w:kern w:val="2"/>
          <w:sz w:val="32"/>
          <w:szCs w:val="28"/>
          <w:highlight w:val="none"/>
          <w:lang w:val="en-US" w:eastAsia="zh-CN" w:bidi="ar-SA"/>
        </w:rPr>
      </w:pPr>
      <w:bookmarkStart w:id="72" w:name="_Toc1041581604"/>
      <w:bookmarkStart w:id="73" w:name="_Toc31100"/>
      <w:r>
        <w:rPr>
          <w:rFonts w:hint="eastAsia" w:ascii="仿宋_GB2312" w:hAnsi="仿宋_GB2312" w:eastAsia="仿宋_GB2312" w:cs="仿宋_GB2312"/>
          <w:kern w:val="2"/>
          <w:sz w:val="32"/>
          <w:szCs w:val="28"/>
          <w:highlight w:val="none"/>
          <w:lang w:val="en-US" w:eastAsia="zh-CN" w:bidi="ar-SA"/>
        </w:rPr>
        <w:t>2.近三年内的ISO27001信息安全管理体系认证证书；（加分项）</w:t>
      </w:r>
      <w:bookmarkEnd w:id="72"/>
      <w:bookmarkEnd w:id="73"/>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0"/>
        <w:jc w:val="left"/>
        <w:textAlignment w:val="auto"/>
        <w:outlineLvl w:val="9"/>
        <w:rPr>
          <w:rFonts w:hint="eastAsia" w:ascii="仿宋_GB2312" w:hAnsi="仿宋_GB2312" w:eastAsia="仿宋_GB2312" w:cs="仿宋_GB2312"/>
          <w:kern w:val="2"/>
          <w:sz w:val="32"/>
          <w:szCs w:val="28"/>
          <w:highlight w:val="none"/>
          <w:lang w:val="en-US" w:eastAsia="zh-CN" w:bidi="ar-SA"/>
        </w:rPr>
      </w:pPr>
      <w:bookmarkStart w:id="74" w:name="_Toc24492"/>
      <w:bookmarkStart w:id="75" w:name="_Toc1493070994"/>
      <w:r>
        <w:rPr>
          <w:rFonts w:hint="eastAsia" w:ascii="仿宋_GB2312" w:hAnsi="仿宋_GB2312" w:eastAsia="仿宋_GB2312" w:cs="仿宋_GB2312"/>
          <w:kern w:val="2"/>
          <w:sz w:val="32"/>
          <w:szCs w:val="28"/>
          <w:highlight w:val="none"/>
          <w:lang w:val="en-US" w:eastAsia="zh-CN" w:bidi="ar-SA"/>
        </w:rPr>
        <w:t>3.近三年内的CMMI 4级或以上证书；（加分项）</w:t>
      </w:r>
      <w:bookmarkEnd w:id="74"/>
      <w:bookmarkEnd w:id="75"/>
    </w:p>
    <w:bookmarkEnd w:id="52"/>
    <w:bookmarkEnd w:id="53"/>
    <w:bookmarkEnd w:id="65"/>
    <w:bookmarkEnd w:id="66"/>
    <w:p>
      <w:pPr>
        <w:pStyle w:val="20"/>
        <w:rPr>
          <w:rFonts w:hint="eastAsia" w:ascii="Times New Roman" w:hAnsi="Times New Roman" w:eastAsia="仿宋_GB2312" w:cs="Times New Roman"/>
          <w:sz w:val="32"/>
          <w:highlight w:val="none"/>
          <w:lang w:val="en-US" w:eastAsia="zh-CN"/>
        </w:rPr>
      </w:pPr>
    </w:p>
    <w:p>
      <w:pPr>
        <w:pStyle w:val="20"/>
        <w:rPr>
          <w:rFonts w:hint="eastAsia" w:ascii="Times New Roman" w:hAnsi="Times New Roman" w:eastAsia="仿宋_GB2312" w:cs="Times New Roman"/>
          <w:sz w:val="32"/>
          <w:highlight w:val="none"/>
          <w:lang w:val="en-US" w:eastAsia="zh-CN"/>
        </w:rPr>
      </w:pPr>
    </w:p>
    <w:p>
      <w:pPr>
        <w:pStyle w:val="20"/>
        <w:rPr>
          <w:rFonts w:hint="eastAsia" w:ascii="Times New Roman" w:hAnsi="Times New Roman" w:eastAsia="仿宋_GB2312" w:cs="Times New Roman"/>
          <w:sz w:val="32"/>
          <w:highlight w:val="none"/>
          <w:lang w:val="en-US" w:eastAsia="zh-CN"/>
        </w:rPr>
        <w:sectPr>
          <w:footerReference r:id="rId4"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rtlGutter w:val="0"/>
          <w:docGrid w:type="lines" w:linePitch="318" w:charSpace="0"/>
        </w:sectPr>
      </w:pPr>
    </w:p>
    <w:p>
      <w:pPr>
        <w:pStyle w:val="20"/>
        <w:spacing w:line="560" w:lineRule="exact"/>
        <w:ind w:left="0" w:leftChars="0" w:firstLine="0" w:firstLineChars="0"/>
        <w:rPr>
          <w:rFonts w:hint="eastAsia"/>
          <w:lang w:val="en-US" w:eastAsia="zh-CN"/>
        </w:rPr>
      </w:pPr>
    </w:p>
    <w:sectPr>
      <w:pgSz w:w="11906" w:h="16838"/>
      <w:pgMar w:top="2098" w:right="1474" w:bottom="1984" w:left="1587" w:header="851" w:footer="992" w:gutter="0"/>
      <w:pgBorders>
        <w:top w:val="none" w:sz="0" w:space="0"/>
        <w:left w:val="none" w:sz="0" w:space="0"/>
        <w:bottom w:val="none" w:sz="0" w:space="0"/>
        <w:right w:val="none" w:sz="0" w:space="0"/>
      </w:pgBorders>
      <w:pgNumType w:fmt="decimal"/>
      <w:cols w:equalWidth="0" w:num="2">
        <w:col w:w="4210" w:space="425"/>
        <w:col w:w="4210"/>
      </w:cols>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406D66A-7746-4494-A9B2-73854609B2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808DDAD0-3869-4539-B653-85BAE8DA9333}"/>
  </w:font>
  <w:font w:name="Cambria">
    <w:panose1 w:val="02040503050406030204"/>
    <w:charset w:val="00"/>
    <w:family w:val="roman"/>
    <w:pitch w:val="default"/>
    <w:sig w:usb0="E00006FF" w:usb1="420024FF" w:usb2="02000000" w:usb3="00000000" w:csb0="2000019F"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embedRegular r:id="rId3" w:fontKey="{F2F71E98-DC44-47A2-9534-07292AE80B3B}"/>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4" w:fontKey="{158D680E-60FA-47F4-99B4-2E166993E8CC}"/>
  </w:font>
  <w:font w:name="华文中宋">
    <w:panose1 w:val="02010600040101010101"/>
    <w:charset w:val="86"/>
    <w:family w:val="auto"/>
    <w:pitch w:val="default"/>
    <w:sig w:usb0="00000287" w:usb1="080F0000" w:usb2="00000000" w:usb3="00000000" w:csb0="0004009F" w:csb1="DFD70000"/>
    <w:embedRegular r:id="rId5" w:fontKey="{717A3AE1-DF50-4751-927A-D1ECACD92F35}"/>
  </w:font>
  <w:font w:name="楷体_GB2312">
    <w:panose1 w:val="02010609030101010101"/>
    <w:charset w:val="86"/>
    <w:family w:val="auto"/>
    <w:pitch w:val="default"/>
    <w:sig w:usb0="00000001" w:usb1="080E0000" w:usb2="00000000" w:usb3="00000000" w:csb0="00040000" w:csb1="00000000"/>
    <w:embedRegular r:id="rId6" w:fontKey="{2314F287-C605-4C55-BD94-8936B7944C3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8DQvxOIBAADMAwAADgAA&#10;AAAAAAABACAAAAAeAQAAZHJzL2Uyb0RvYy54bWxQSwUGAAAAAAYABgBZAQAAcgUAAAAA&#10;">
              <v:fill on="f" focussize="0,0"/>
              <v:stroke on="f"/>
              <v:imagedata o:title=""/>
              <o:lock v:ext="edit" aspectratio="f"/>
              <v:textbox inset="0mm,0mm,0mm,0mm" style="mso-fit-shape-to-text:t;">
                <w:txbxContent>
                  <w:p>
                    <w:pPr>
                      <w:pStyle w:val="1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NJWO7QAAAA&#10;BQEAAA8AAAAAAAAAAQAgAAAAIgAAAGRycy9kb3ducmV2LnhtbFBLAQIUABQAAAAIAIdO4kDg2K0o&#10;7AEAANUDAAAOAAAAAAAAAAEAIAAAAB8BAABkcnMvZTJvRG9jLnhtbFBLBQYAAAAABgAGAFkBAAB9&#10;BQAAAAA=&#10;">
              <v:fill on="f" focussize="0,0"/>
              <v:stroke on="f" weight="0.5pt"/>
              <v:imagedata o:title=""/>
              <o:lock v:ext="edit" aspectratio="f"/>
              <v:textbox inset="0mm,0mm,0mm,0mm" style="mso-fit-shape-to-text:t;">
                <w:txbxContent>
                  <w:p>
                    <w:pPr>
                      <w:pStyle w:val="1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84738A"/>
    <w:multiLevelType w:val="singleLevel"/>
    <w:tmpl w:val="AE84738A"/>
    <w:lvl w:ilvl="0" w:tentative="0">
      <w:start w:val="1"/>
      <w:numFmt w:val="decimal"/>
      <w:suff w:val="nothing"/>
      <w:lvlText w:val="%1"/>
      <w:lvlJc w:val="left"/>
      <w:pPr>
        <w:tabs>
          <w:tab w:val="left" w:pos="0"/>
        </w:tabs>
        <w:ind w:left="454" w:hanging="454"/>
      </w:pPr>
      <w:rPr>
        <w:rFonts w:hint="default" w:ascii="宋体" w:hAnsi="宋体" w:eastAsia="宋体" w:cs="宋体"/>
      </w:rPr>
    </w:lvl>
  </w:abstractNum>
  <w:abstractNum w:abstractNumId="1">
    <w:nsid w:val="FB123A50"/>
    <w:multiLevelType w:val="singleLevel"/>
    <w:tmpl w:val="FB123A50"/>
    <w:lvl w:ilvl="0" w:tentative="0">
      <w:start w:val="9"/>
      <w:numFmt w:val="chineseCounting"/>
      <w:suff w:val="nothing"/>
      <w:lvlText w:val="%1、"/>
      <w:lvlJc w:val="left"/>
      <w:rPr>
        <w:rFonts w:hint="eastAsia"/>
      </w:rPr>
    </w:lvl>
  </w:abstractNum>
  <w:abstractNum w:abstractNumId="2">
    <w:nsid w:val="4D4A62E8"/>
    <w:multiLevelType w:val="singleLevel"/>
    <w:tmpl w:val="4D4A62E8"/>
    <w:lvl w:ilvl="0" w:tentative="0">
      <w:start w:val="1"/>
      <w:numFmt w:val="chineseCounting"/>
      <w:suff w:val="nothing"/>
      <w:lvlText w:val="（%1）"/>
      <w:lvlJc w:val="left"/>
      <w:pPr>
        <w:ind w:left="0" w:firstLine="420"/>
      </w:pPr>
      <w:rPr>
        <w:rFonts w:hint="eastAsia"/>
      </w:rPr>
    </w:lvl>
  </w:abstractNum>
  <w:abstractNum w:abstractNumId="3">
    <w:nsid w:val="59AF5EFD"/>
    <w:multiLevelType w:val="multilevel"/>
    <w:tmpl w:val="59AF5EFD"/>
    <w:lvl w:ilvl="0" w:tentative="0">
      <w:start w:val="1"/>
      <w:numFmt w:val="bullet"/>
      <w:pStyle w:val="42"/>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4">
    <w:nsid w:val="73942994"/>
    <w:multiLevelType w:val="singleLevel"/>
    <w:tmpl w:val="73942994"/>
    <w:lvl w:ilvl="0" w:tentative="0">
      <w:start w:val="1"/>
      <w:numFmt w:val="bullet"/>
      <w:lvlText w:val=""/>
      <w:lvlJc w:val="left"/>
      <w:pPr>
        <w:ind w:left="1050" w:hanging="420"/>
      </w:pPr>
      <w:rPr>
        <w:rFonts w:hint="default" w:ascii="Wingdings" w:hAnsi="Wingdings"/>
      </w:rPr>
    </w:lvl>
  </w:abstractNum>
  <w:abstractNum w:abstractNumId="5">
    <w:nsid w:val="748C7C57"/>
    <w:multiLevelType w:val="multilevel"/>
    <w:tmpl w:val="748C7C57"/>
    <w:lvl w:ilvl="0" w:tentative="0">
      <w:start w:val="1"/>
      <w:numFmt w:val="chineseCountingThousand"/>
      <w:lvlText w:val="第%1部分"/>
      <w:lvlJc w:val="left"/>
      <w:pPr>
        <w:ind w:left="432" w:hanging="432"/>
      </w:pPr>
      <w:rPr>
        <w:rFonts w:hint="eastAsia"/>
      </w:rPr>
    </w:lvl>
    <w:lvl w:ilvl="1" w:tentative="0">
      <w:start w:val="1"/>
      <w:numFmt w:val="decimal"/>
      <w:isLgl/>
      <w:lvlText w:val="%1.%2"/>
      <w:lvlJc w:val="left"/>
      <w:pPr>
        <w:ind w:left="576" w:hanging="576"/>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2" w:hanging="1152"/>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4" w:hanging="1584"/>
      </w:pPr>
      <w:rPr>
        <w:rFonts w:hint="eastAsia"/>
      </w:rPr>
    </w:lvl>
  </w:abstractNum>
  <w:num w:numId="1">
    <w:abstractNumId w:val="5"/>
    <w:lvlOverride w:ilvl="2">
      <w:lvl w:ilvl="2" w:tentative="1">
        <w:start w:val="1"/>
        <w:numFmt w:val="decimal"/>
        <w:pStyle w:val="39"/>
        <w:isLgl/>
        <w:lvlText w:val="%1.%2.%3"/>
        <w:lvlJc w:val="left"/>
        <w:pPr>
          <w:ind w:left="720" w:hanging="720"/>
        </w:pPr>
        <w:rPr>
          <w:rFonts w:hint="eastAsia"/>
          <w:lang w:val="en-US"/>
        </w:rPr>
      </w:lvl>
    </w:lvlOverride>
  </w:num>
  <w:num w:numId="2">
    <w:abstractNumId w:val="3"/>
  </w:num>
  <w:num w:numId="3">
    <w:abstractNumId w:val="0"/>
    <w:lvlOverride w:ilvl="0">
      <w:startOverride w:val="1"/>
    </w:lvlOverride>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3YjEwYzg4MzZlM2VkY2YxYTI3YmEyN2JmODJkZDUifQ=="/>
  </w:docVars>
  <w:rsids>
    <w:rsidRoot w:val="0092543F"/>
    <w:rsid w:val="000659A1"/>
    <w:rsid w:val="0009713E"/>
    <w:rsid w:val="0009758E"/>
    <w:rsid w:val="001D4A59"/>
    <w:rsid w:val="0023486E"/>
    <w:rsid w:val="00261015"/>
    <w:rsid w:val="00264F28"/>
    <w:rsid w:val="002A1129"/>
    <w:rsid w:val="00337586"/>
    <w:rsid w:val="00415DEA"/>
    <w:rsid w:val="00505379"/>
    <w:rsid w:val="005C5C54"/>
    <w:rsid w:val="008D5A6B"/>
    <w:rsid w:val="0092543F"/>
    <w:rsid w:val="009352E5"/>
    <w:rsid w:val="00A03253"/>
    <w:rsid w:val="00B0713A"/>
    <w:rsid w:val="00CF07EB"/>
    <w:rsid w:val="00D4117C"/>
    <w:rsid w:val="00DF0056"/>
    <w:rsid w:val="00E35537"/>
    <w:rsid w:val="00E87DF9"/>
    <w:rsid w:val="00EA69D6"/>
    <w:rsid w:val="00EB2473"/>
    <w:rsid w:val="00F63F32"/>
    <w:rsid w:val="00F74D9A"/>
    <w:rsid w:val="010853C2"/>
    <w:rsid w:val="010A6538"/>
    <w:rsid w:val="01253A8E"/>
    <w:rsid w:val="01381F17"/>
    <w:rsid w:val="01425CA9"/>
    <w:rsid w:val="01941C6B"/>
    <w:rsid w:val="019B20CA"/>
    <w:rsid w:val="01B20307"/>
    <w:rsid w:val="01DF1BA2"/>
    <w:rsid w:val="01E75148"/>
    <w:rsid w:val="01FF73FD"/>
    <w:rsid w:val="02027E22"/>
    <w:rsid w:val="02247E5C"/>
    <w:rsid w:val="0232771D"/>
    <w:rsid w:val="02397CB2"/>
    <w:rsid w:val="023C25D3"/>
    <w:rsid w:val="023E1BBB"/>
    <w:rsid w:val="02474A49"/>
    <w:rsid w:val="026622A7"/>
    <w:rsid w:val="029240D7"/>
    <w:rsid w:val="02A603C1"/>
    <w:rsid w:val="02EE5CD6"/>
    <w:rsid w:val="02F922EE"/>
    <w:rsid w:val="0311051D"/>
    <w:rsid w:val="032A4620"/>
    <w:rsid w:val="03701033"/>
    <w:rsid w:val="03BB6A24"/>
    <w:rsid w:val="03C338F5"/>
    <w:rsid w:val="03C60BD6"/>
    <w:rsid w:val="03DF3F22"/>
    <w:rsid w:val="03FC35CA"/>
    <w:rsid w:val="03FE411B"/>
    <w:rsid w:val="040C0819"/>
    <w:rsid w:val="04177243"/>
    <w:rsid w:val="04270E99"/>
    <w:rsid w:val="043164D2"/>
    <w:rsid w:val="046F1BE7"/>
    <w:rsid w:val="047404AE"/>
    <w:rsid w:val="047B118D"/>
    <w:rsid w:val="047B7B21"/>
    <w:rsid w:val="04820ADC"/>
    <w:rsid w:val="04A55885"/>
    <w:rsid w:val="04AF06BB"/>
    <w:rsid w:val="04B03541"/>
    <w:rsid w:val="04B63D03"/>
    <w:rsid w:val="04DE7C78"/>
    <w:rsid w:val="050454EC"/>
    <w:rsid w:val="050A34FD"/>
    <w:rsid w:val="052C2E7F"/>
    <w:rsid w:val="057F4B07"/>
    <w:rsid w:val="05810ECD"/>
    <w:rsid w:val="058C4826"/>
    <w:rsid w:val="05952F37"/>
    <w:rsid w:val="05974A4A"/>
    <w:rsid w:val="05AA3D7A"/>
    <w:rsid w:val="05AC600B"/>
    <w:rsid w:val="05C1727E"/>
    <w:rsid w:val="05C3318D"/>
    <w:rsid w:val="05C50C80"/>
    <w:rsid w:val="05C63706"/>
    <w:rsid w:val="05C70B95"/>
    <w:rsid w:val="05D0502B"/>
    <w:rsid w:val="05E60344"/>
    <w:rsid w:val="05F620BB"/>
    <w:rsid w:val="0626761D"/>
    <w:rsid w:val="0639341C"/>
    <w:rsid w:val="063A548B"/>
    <w:rsid w:val="06700CFE"/>
    <w:rsid w:val="06750027"/>
    <w:rsid w:val="06CC51B2"/>
    <w:rsid w:val="06E03EEF"/>
    <w:rsid w:val="07156F4A"/>
    <w:rsid w:val="07326CB9"/>
    <w:rsid w:val="074A7B2F"/>
    <w:rsid w:val="076649CC"/>
    <w:rsid w:val="079F4F79"/>
    <w:rsid w:val="07AA7A26"/>
    <w:rsid w:val="07B405F9"/>
    <w:rsid w:val="07C531CC"/>
    <w:rsid w:val="07E5154E"/>
    <w:rsid w:val="07F51140"/>
    <w:rsid w:val="082D0888"/>
    <w:rsid w:val="08343B28"/>
    <w:rsid w:val="085E05EE"/>
    <w:rsid w:val="086123E0"/>
    <w:rsid w:val="086D48B5"/>
    <w:rsid w:val="08741B27"/>
    <w:rsid w:val="089718A3"/>
    <w:rsid w:val="08973453"/>
    <w:rsid w:val="08B00838"/>
    <w:rsid w:val="08F00370"/>
    <w:rsid w:val="08F23333"/>
    <w:rsid w:val="09050131"/>
    <w:rsid w:val="09117B90"/>
    <w:rsid w:val="095D7AA5"/>
    <w:rsid w:val="097C4A9B"/>
    <w:rsid w:val="09BC7D92"/>
    <w:rsid w:val="09CC13A3"/>
    <w:rsid w:val="09E10FDD"/>
    <w:rsid w:val="09E72BB9"/>
    <w:rsid w:val="09FA52F4"/>
    <w:rsid w:val="09FD7023"/>
    <w:rsid w:val="09FF2EF6"/>
    <w:rsid w:val="0A1F0C00"/>
    <w:rsid w:val="0A2B3879"/>
    <w:rsid w:val="0A3C0D58"/>
    <w:rsid w:val="0A522CFE"/>
    <w:rsid w:val="0A5B5F5D"/>
    <w:rsid w:val="0A676EAE"/>
    <w:rsid w:val="0A9B2209"/>
    <w:rsid w:val="0AA27FB1"/>
    <w:rsid w:val="0AB233DC"/>
    <w:rsid w:val="0AB35E1D"/>
    <w:rsid w:val="0ADF43E5"/>
    <w:rsid w:val="0AF43B3B"/>
    <w:rsid w:val="0AFC1A95"/>
    <w:rsid w:val="0B2335A6"/>
    <w:rsid w:val="0B5B6A2B"/>
    <w:rsid w:val="0B6B55CC"/>
    <w:rsid w:val="0B7156CB"/>
    <w:rsid w:val="0B7A1AE1"/>
    <w:rsid w:val="0B852940"/>
    <w:rsid w:val="0BEA7692"/>
    <w:rsid w:val="0BEB051C"/>
    <w:rsid w:val="0C3A3904"/>
    <w:rsid w:val="0C7D1417"/>
    <w:rsid w:val="0C7F3FE6"/>
    <w:rsid w:val="0C9D11C1"/>
    <w:rsid w:val="0CAE4E62"/>
    <w:rsid w:val="0CB877EC"/>
    <w:rsid w:val="0CC07EEC"/>
    <w:rsid w:val="0CD273C1"/>
    <w:rsid w:val="0D025C0B"/>
    <w:rsid w:val="0D1B6FCA"/>
    <w:rsid w:val="0D1C5DB4"/>
    <w:rsid w:val="0D3F7772"/>
    <w:rsid w:val="0D464BF0"/>
    <w:rsid w:val="0D5612CD"/>
    <w:rsid w:val="0D811225"/>
    <w:rsid w:val="0DBD5C27"/>
    <w:rsid w:val="0DCA50E0"/>
    <w:rsid w:val="0DCB75F9"/>
    <w:rsid w:val="0DE17B9E"/>
    <w:rsid w:val="0E032C8D"/>
    <w:rsid w:val="0E3548F9"/>
    <w:rsid w:val="0E3AA469"/>
    <w:rsid w:val="0E6551A9"/>
    <w:rsid w:val="0EA67E40"/>
    <w:rsid w:val="0EBC4BEA"/>
    <w:rsid w:val="0F295F6C"/>
    <w:rsid w:val="0F534BB2"/>
    <w:rsid w:val="0F560561"/>
    <w:rsid w:val="0F7046C0"/>
    <w:rsid w:val="0F923225"/>
    <w:rsid w:val="0F9C6D0E"/>
    <w:rsid w:val="100D1E94"/>
    <w:rsid w:val="1023528A"/>
    <w:rsid w:val="107B4366"/>
    <w:rsid w:val="109B4B10"/>
    <w:rsid w:val="10D14D21"/>
    <w:rsid w:val="10F84AC3"/>
    <w:rsid w:val="111636DA"/>
    <w:rsid w:val="112422B4"/>
    <w:rsid w:val="113B1A46"/>
    <w:rsid w:val="118063A3"/>
    <w:rsid w:val="11BC168F"/>
    <w:rsid w:val="11C34005"/>
    <w:rsid w:val="11D20449"/>
    <w:rsid w:val="11FC0BCB"/>
    <w:rsid w:val="12125322"/>
    <w:rsid w:val="12170AB5"/>
    <w:rsid w:val="121D3BF2"/>
    <w:rsid w:val="122162F2"/>
    <w:rsid w:val="122E2AA7"/>
    <w:rsid w:val="12436AF1"/>
    <w:rsid w:val="1255789D"/>
    <w:rsid w:val="128351D0"/>
    <w:rsid w:val="12851DCF"/>
    <w:rsid w:val="129C4DFB"/>
    <w:rsid w:val="129E2F84"/>
    <w:rsid w:val="12A10E46"/>
    <w:rsid w:val="12B51B75"/>
    <w:rsid w:val="12E0583C"/>
    <w:rsid w:val="1300693C"/>
    <w:rsid w:val="130A135D"/>
    <w:rsid w:val="13255C3B"/>
    <w:rsid w:val="133E77FA"/>
    <w:rsid w:val="136E783A"/>
    <w:rsid w:val="136F7349"/>
    <w:rsid w:val="137607BE"/>
    <w:rsid w:val="137D3871"/>
    <w:rsid w:val="13844E86"/>
    <w:rsid w:val="138D323E"/>
    <w:rsid w:val="13960100"/>
    <w:rsid w:val="144F4060"/>
    <w:rsid w:val="145F0716"/>
    <w:rsid w:val="147815B3"/>
    <w:rsid w:val="148443FC"/>
    <w:rsid w:val="14904223"/>
    <w:rsid w:val="151165AC"/>
    <w:rsid w:val="15455939"/>
    <w:rsid w:val="1573554C"/>
    <w:rsid w:val="158524FB"/>
    <w:rsid w:val="158A5087"/>
    <w:rsid w:val="15BB347F"/>
    <w:rsid w:val="15EE5609"/>
    <w:rsid w:val="167417EC"/>
    <w:rsid w:val="16791541"/>
    <w:rsid w:val="169C022D"/>
    <w:rsid w:val="16A04237"/>
    <w:rsid w:val="16A073D6"/>
    <w:rsid w:val="16B709FB"/>
    <w:rsid w:val="16DE6045"/>
    <w:rsid w:val="16E8315C"/>
    <w:rsid w:val="16FF643C"/>
    <w:rsid w:val="170A5375"/>
    <w:rsid w:val="17D347EA"/>
    <w:rsid w:val="17F6462B"/>
    <w:rsid w:val="183710C7"/>
    <w:rsid w:val="1847105B"/>
    <w:rsid w:val="1847548F"/>
    <w:rsid w:val="186C4CE7"/>
    <w:rsid w:val="187C518C"/>
    <w:rsid w:val="189A2440"/>
    <w:rsid w:val="18BC5F92"/>
    <w:rsid w:val="18C4651B"/>
    <w:rsid w:val="18DA6A92"/>
    <w:rsid w:val="18EF6677"/>
    <w:rsid w:val="19237DCB"/>
    <w:rsid w:val="192F62D1"/>
    <w:rsid w:val="195B34BE"/>
    <w:rsid w:val="19A70024"/>
    <w:rsid w:val="19AE2C7A"/>
    <w:rsid w:val="19CC544B"/>
    <w:rsid w:val="19DA41C8"/>
    <w:rsid w:val="19F85B6E"/>
    <w:rsid w:val="1A050756"/>
    <w:rsid w:val="1A0A6FE4"/>
    <w:rsid w:val="1A2E1092"/>
    <w:rsid w:val="1AD05A7C"/>
    <w:rsid w:val="1ADF4320"/>
    <w:rsid w:val="1AF84392"/>
    <w:rsid w:val="1B010952"/>
    <w:rsid w:val="1B1B1747"/>
    <w:rsid w:val="1B206236"/>
    <w:rsid w:val="1B5D2E7D"/>
    <w:rsid w:val="1B70225B"/>
    <w:rsid w:val="1BAC1CE7"/>
    <w:rsid w:val="1BBE7BE6"/>
    <w:rsid w:val="1BD50639"/>
    <w:rsid w:val="1C2E5379"/>
    <w:rsid w:val="1C4508ED"/>
    <w:rsid w:val="1C4820F7"/>
    <w:rsid w:val="1C4A05F8"/>
    <w:rsid w:val="1C5B5271"/>
    <w:rsid w:val="1C7B0737"/>
    <w:rsid w:val="1C7B4336"/>
    <w:rsid w:val="1C7C3099"/>
    <w:rsid w:val="1C811491"/>
    <w:rsid w:val="1C8D6E3E"/>
    <w:rsid w:val="1C990F1E"/>
    <w:rsid w:val="1C99254D"/>
    <w:rsid w:val="1C9A333D"/>
    <w:rsid w:val="1CA45510"/>
    <w:rsid w:val="1CB97CC3"/>
    <w:rsid w:val="1CC730D8"/>
    <w:rsid w:val="1D0D03C0"/>
    <w:rsid w:val="1D226E31"/>
    <w:rsid w:val="1D3443E5"/>
    <w:rsid w:val="1D84707B"/>
    <w:rsid w:val="1D883AF0"/>
    <w:rsid w:val="1D9848E3"/>
    <w:rsid w:val="1DA614B5"/>
    <w:rsid w:val="1DC7545D"/>
    <w:rsid w:val="1DF7222E"/>
    <w:rsid w:val="1DF872B6"/>
    <w:rsid w:val="1E0D7210"/>
    <w:rsid w:val="1E1665EA"/>
    <w:rsid w:val="1E2152B1"/>
    <w:rsid w:val="1E2B6B5E"/>
    <w:rsid w:val="1E594203"/>
    <w:rsid w:val="1E795231"/>
    <w:rsid w:val="1E7C33AF"/>
    <w:rsid w:val="1E9C7B3A"/>
    <w:rsid w:val="1EB54CA7"/>
    <w:rsid w:val="1EEB2007"/>
    <w:rsid w:val="1F1257BA"/>
    <w:rsid w:val="1F3510FF"/>
    <w:rsid w:val="1F3A7811"/>
    <w:rsid w:val="1F79265F"/>
    <w:rsid w:val="1F9C736C"/>
    <w:rsid w:val="1FA50A15"/>
    <w:rsid w:val="1FCB50C2"/>
    <w:rsid w:val="1FE9112B"/>
    <w:rsid w:val="2069535B"/>
    <w:rsid w:val="20777171"/>
    <w:rsid w:val="207818A5"/>
    <w:rsid w:val="20CC1C2F"/>
    <w:rsid w:val="20E3645C"/>
    <w:rsid w:val="20EC2AA9"/>
    <w:rsid w:val="20EE03A4"/>
    <w:rsid w:val="21143A54"/>
    <w:rsid w:val="212671F1"/>
    <w:rsid w:val="212F082E"/>
    <w:rsid w:val="213F5CF3"/>
    <w:rsid w:val="21521A6F"/>
    <w:rsid w:val="21634C19"/>
    <w:rsid w:val="217F2202"/>
    <w:rsid w:val="21867A05"/>
    <w:rsid w:val="21993DCC"/>
    <w:rsid w:val="21A66C7F"/>
    <w:rsid w:val="21B31B30"/>
    <w:rsid w:val="21DD0233"/>
    <w:rsid w:val="22005619"/>
    <w:rsid w:val="220D32CF"/>
    <w:rsid w:val="224F5B31"/>
    <w:rsid w:val="22513B6F"/>
    <w:rsid w:val="225E0ACD"/>
    <w:rsid w:val="22A7560F"/>
    <w:rsid w:val="22A86C7D"/>
    <w:rsid w:val="22B76683"/>
    <w:rsid w:val="22CB5324"/>
    <w:rsid w:val="22DE4344"/>
    <w:rsid w:val="22EA5D72"/>
    <w:rsid w:val="22F141D2"/>
    <w:rsid w:val="231946B4"/>
    <w:rsid w:val="234D02FA"/>
    <w:rsid w:val="235A4CA6"/>
    <w:rsid w:val="23762439"/>
    <w:rsid w:val="23817F9C"/>
    <w:rsid w:val="23AC4599"/>
    <w:rsid w:val="23B37820"/>
    <w:rsid w:val="23B819CC"/>
    <w:rsid w:val="23DB6EFD"/>
    <w:rsid w:val="23DD2BE2"/>
    <w:rsid w:val="242D74E9"/>
    <w:rsid w:val="24462560"/>
    <w:rsid w:val="24493596"/>
    <w:rsid w:val="24527207"/>
    <w:rsid w:val="24534A8E"/>
    <w:rsid w:val="246031BB"/>
    <w:rsid w:val="2472475B"/>
    <w:rsid w:val="247962E4"/>
    <w:rsid w:val="24D4056B"/>
    <w:rsid w:val="24E53E47"/>
    <w:rsid w:val="24F536AF"/>
    <w:rsid w:val="253357AE"/>
    <w:rsid w:val="25882F2A"/>
    <w:rsid w:val="259427F1"/>
    <w:rsid w:val="25956469"/>
    <w:rsid w:val="259D02A0"/>
    <w:rsid w:val="25A17809"/>
    <w:rsid w:val="25B02628"/>
    <w:rsid w:val="25B30F7C"/>
    <w:rsid w:val="25BC5FCD"/>
    <w:rsid w:val="25D06BD0"/>
    <w:rsid w:val="25EB4230"/>
    <w:rsid w:val="26004B9C"/>
    <w:rsid w:val="261C073A"/>
    <w:rsid w:val="26284E0B"/>
    <w:rsid w:val="26301B3C"/>
    <w:rsid w:val="26531112"/>
    <w:rsid w:val="267E2D49"/>
    <w:rsid w:val="269B7432"/>
    <w:rsid w:val="2755433D"/>
    <w:rsid w:val="27733409"/>
    <w:rsid w:val="279B3267"/>
    <w:rsid w:val="27B86868"/>
    <w:rsid w:val="27D305E4"/>
    <w:rsid w:val="27DB3EDB"/>
    <w:rsid w:val="28057099"/>
    <w:rsid w:val="283050FB"/>
    <w:rsid w:val="283E36BB"/>
    <w:rsid w:val="284C3F37"/>
    <w:rsid w:val="286B5D23"/>
    <w:rsid w:val="2888016A"/>
    <w:rsid w:val="2891145E"/>
    <w:rsid w:val="289B60F1"/>
    <w:rsid w:val="28C64076"/>
    <w:rsid w:val="29283912"/>
    <w:rsid w:val="299375C6"/>
    <w:rsid w:val="29C1200E"/>
    <w:rsid w:val="29D33D0B"/>
    <w:rsid w:val="2A080060"/>
    <w:rsid w:val="2A353D77"/>
    <w:rsid w:val="2A461476"/>
    <w:rsid w:val="2A64145E"/>
    <w:rsid w:val="2A7725E1"/>
    <w:rsid w:val="2A904A29"/>
    <w:rsid w:val="2AAA4817"/>
    <w:rsid w:val="2AB61621"/>
    <w:rsid w:val="2AB624C2"/>
    <w:rsid w:val="2AC26EC8"/>
    <w:rsid w:val="2B026F3B"/>
    <w:rsid w:val="2B071E20"/>
    <w:rsid w:val="2B135D0C"/>
    <w:rsid w:val="2B5841C1"/>
    <w:rsid w:val="2B602ABA"/>
    <w:rsid w:val="2B604C5D"/>
    <w:rsid w:val="2B74267D"/>
    <w:rsid w:val="2B962EEE"/>
    <w:rsid w:val="2BD27208"/>
    <w:rsid w:val="2BF612E4"/>
    <w:rsid w:val="2C0B2FE1"/>
    <w:rsid w:val="2C35005E"/>
    <w:rsid w:val="2C3B68CC"/>
    <w:rsid w:val="2C8104E5"/>
    <w:rsid w:val="2CA34700"/>
    <w:rsid w:val="2CA54ADE"/>
    <w:rsid w:val="2CB64ED7"/>
    <w:rsid w:val="2CD112FA"/>
    <w:rsid w:val="2CD44498"/>
    <w:rsid w:val="2CEE54D4"/>
    <w:rsid w:val="2CF33A75"/>
    <w:rsid w:val="2CF8172E"/>
    <w:rsid w:val="2D07170F"/>
    <w:rsid w:val="2D1A0E0E"/>
    <w:rsid w:val="2D24440C"/>
    <w:rsid w:val="2D327748"/>
    <w:rsid w:val="2D4B4560"/>
    <w:rsid w:val="2D6C34BD"/>
    <w:rsid w:val="2D73499D"/>
    <w:rsid w:val="2D98715B"/>
    <w:rsid w:val="2DAE2197"/>
    <w:rsid w:val="2DBE3BCF"/>
    <w:rsid w:val="2DC34358"/>
    <w:rsid w:val="2DD400F4"/>
    <w:rsid w:val="2DD45857"/>
    <w:rsid w:val="2DE03FF9"/>
    <w:rsid w:val="2DF83B22"/>
    <w:rsid w:val="2E1F002D"/>
    <w:rsid w:val="2E420688"/>
    <w:rsid w:val="2E55724A"/>
    <w:rsid w:val="2E641740"/>
    <w:rsid w:val="2E6650CB"/>
    <w:rsid w:val="2E861706"/>
    <w:rsid w:val="2E985C3E"/>
    <w:rsid w:val="2E9B2B55"/>
    <w:rsid w:val="2EA57C9A"/>
    <w:rsid w:val="2EA62316"/>
    <w:rsid w:val="2EBC4261"/>
    <w:rsid w:val="2ED62EBD"/>
    <w:rsid w:val="2EEB22F1"/>
    <w:rsid w:val="2F204A56"/>
    <w:rsid w:val="2F2B1E2F"/>
    <w:rsid w:val="2F2D07B2"/>
    <w:rsid w:val="2F334B7E"/>
    <w:rsid w:val="2F522664"/>
    <w:rsid w:val="2F604549"/>
    <w:rsid w:val="2F61560E"/>
    <w:rsid w:val="2F996040"/>
    <w:rsid w:val="2FBA16E7"/>
    <w:rsid w:val="2FBE4144"/>
    <w:rsid w:val="2FDF7015"/>
    <w:rsid w:val="300C5A26"/>
    <w:rsid w:val="3016371E"/>
    <w:rsid w:val="302D1463"/>
    <w:rsid w:val="30346CAB"/>
    <w:rsid w:val="304A6646"/>
    <w:rsid w:val="305E6844"/>
    <w:rsid w:val="306B1739"/>
    <w:rsid w:val="30A40DE0"/>
    <w:rsid w:val="30C145B6"/>
    <w:rsid w:val="30C714A1"/>
    <w:rsid w:val="30CD31C1"/>
    <w:rsid w:val="30CE471F"/>
    <w:rsid w:val="30D82AB0"/>
    <w:rsid w:val="30DB19AC"/>
    <w:rsid w:val="31112E8F"/>
    <w:rsid w:val="317B42DB"/>
    <w:rsid w:val="317F20DE"/>
    <w:rsid w:val="31967FD7"/>
    <w:rsid w:val="319D7F4B"/>
    <w:rsid w:val="319E651F"/>
    <w:rsid w:val="31A20BD3"/>
    <w:rsid w:val="31AF5092"/>
    <w:rsid w:val="31B431C8"/>
    <w:rsid w:val="31DC468E"/>
    <w:rsid w:val="31F06609"/>
    <w:rsid w:val="32003B98"/>
    <w:rsid w:val="322104B7"/>
    <w:rsid w:val="32231A2F"/>
    <w:rsid w:val="323F10FE"/>
    <w:rsid w:val="32491A0D"/>
    <w:rsid w:val="325054D5"/>
    <w:rsid w:val="3267003E"/>
    <w:rsid w:val="327E38FF"/>
    <w:rsid w:val="32CC1227"/>
    <w:rsid w:val="32D74E08"/>
    <w:rsid w:val="32DF35DD"/>
    <w:rsid w:val="32EB029B"/>
    <w:rsid w:val="32EE2005"/>
    <w:rsid w:val="32F01183"/>
    <w:rsid w:val="33973635"/>
    <w:rsid w:val="33A94E88"/>
    <w:rsid w:val="33AC5C3D"/>
    <w:rsid w:val="33D9150F"/>
    <w:rsid w:val="3447227C"/>
    <w:rsid w:val="3448275F"/>
    <w:rsid w:val="3450431C"/>
    <w:rsid w:val="347F7212"/>
    <w:rsid w:val="34E77982"/>
    <w:rsid w:val="35297B3A"/>
    <w:rsid w:val="352D301B"/>
    <w:rsid w:val="352E5F4D"/>
    <w:rsid w:val="353F3CFB"/>
    <w:rsid w:val="354B63CD"/>
    <w:rsid w:val="35545CFF"/>
    <w:rsid w:val="359F1121"/>
    <w:rsid w:val="35AD1716"/>
    <w:rsid w:val="35F85A38"/>
    <w:rsid w:val="35FA7C22"/>
    <w:rsid w:val="363E2844"/>
    <w:rsid w:val="36470152"/>
    <w:rsid w:val="366E6ADF"/>
    <w:rsid w:val="368A771B"/>
    <w:rsid w:val="36A80FE0"/>
    <w:rsid w:val="36AF46FD"/>
    <w:rsid w:val="36BC7B43"/>
    <w:rsid w:val="36C249A8"/>
    <w:rsid w:val="36DD195C"/>
    <w:rsid w:val="36E1106C"/>
    <w:rsid w:val="36E878A1"/>
    <w:rsid w:val="36F73523"/>
    <w:rsid w:val="378F0340"/>
    <w:rsid w:val="37922808"/>
    <w:rsid w:val="379B3587"/>
    <w:rsid w:val="37A46956"/>
    <w:rsid w:val="37AD50AB"/>
    <w:rsid w:val="37B249E0"/>
    <w:rsid w:val="37CD7C0F"/>
    <w:rsid w:val="37F21D11"/>
    <w:rsid w:val="37F72A62"/>
    <w:rsid w:val="37F86058"/>
    <w:rsid w:val="37FFF672"/>
    <w:rsid w:val="38197D83"/>
    <w:rsid w:val="381A0A76"/>
    <w:rsid w:val="382677A7"/>
    <w:rsid w:val="382F433C"/>
    <w:rsid w:val="38A058F5"/>
    <w:rsid w:val="38BF1E37"/>
    <w:rsid w:val="38CA4AA2"/>
    <w:rsid w:val="38CB10F9"/>
    <w:rsid w:val="38D15CEB"/>
    <w:rsid w:val="38EB1FDF"/>
    <w:rsid w:val="390A4B5B"/>
    <w:rsid w:val="390D700C"/>
    <w:rsid w:val="393125DC"/>
    <w:rsid w:val="394B7F8C"/>
    <w:rsid w:val="394F5403"/>
    <w:rsid w:val="39570EF8"/>
    <w:rsid w:val="395E3EEA"/>
    <w:rsid w:val="396665B7"/>
    <w:rsid w:val="39A22A78"/>
    <w:rsid w:val="39B23B23"/>
    <w:rsid w:val="39B85AED"/>
    <w:rsid w:val="39C06A95"/>
    <w:rsid w:val="39D40AE0"/>
    <w:rsid w:val="39F87197"/>
    <w:rsid w:val="3A172F86"/>
    <w:rsid w:val="3A5D2C2A"/>
    <w:rsid w:val="3A7A3A64"/>
    <w:rsid w:val="3AA15E8F"/>
    <w:rsid w:val="3AB25BD7"/>
    <w:rsid w:val="3AC249DF"/>
    <w:rsid w:val="3AE25532"/>
    <w:rsid w:val="3AE7557D"/>
    <w:rsid w:val="3AEA7B09"/>
    <w:rsid w:val="3AED7D8E"/>
    <w:rsid w:val="3AFB7DFB"/>
    <w:rsid w:val="3B0B6CFF"/>
    <w:rsid w:val="3B677002"/>
    <w:rsid w:val="3BD630E8"/>
    <w:rsid w:val="3BEF55C0"/>
    <w:rsid w:val="3C0427B1"/>
    <w:rsid w:val="3C0E4317"/>
    <w:rsid w:val="3C10546A"/>
    <w:rsid w:val="3C79571C"/>
    <w:rsid w:val="3C7D35C0"/>
    <w:rsid w:val="3CB92B2F"/>
    <w:rsid w:val="3CBA05B2"/>
    <w:rsid w:val="3CBD68D3"/>
    <w:rsid w:val="3CD7289E"/>
    <w:rsid w:val="3CD82CDF"/>
    <w:rsid w:val="3CE53F8F"/>
    <w:rsid w:val="3CEB4444"/>
    <w:rsid w:val="3D096223"/>
    <w:rsid w:val="3D597E11"/>
    <w:rsid w:val="3D5F4FA1"/>
    <w:rsid w:val="3DA0122B"/>
    <w:rsid w:val="3DBC5B14"/>
    <w:rsid w:val="3DD675AC"/>
    <w:rsid w:val="3DE40C1B"/>
    <w:rsid w:val="3E012549"/>
    <w:rsid w:val="3E096D82"/>
    <w:rsid w:val="3E171AF0"/>
    <w:rsid w:val="3E2A13E6"/>
    <w:rsid w:val="3E4A71D6"/>
    <w:rsid w:val="3E4F7FFF"/>
    <w:rsid w:val="3EE872B8"/>
    <w:rsid w:val="3F0C27FB"/>
    <w:rsid w:val="3F347A43"/>
    <w:rsid w:val="3F6A112E"/>
    <w:rsid w:val="3F7136A4"/>
    <w:rsid w:val="3F7D6C63"/>
    <w:rsid w:val="3F7E0EE7"/>
    <w:rsid w:val="3FA23805"/>
    <w:rsid w:val="3FB33614"/>
    <w:rsid w:val="3FF23382"/>
    <w:rsid w:val="40110966"/>
    <w:rsid w:val="40111F29"/>
    <w:rsid w:val="404C715C"/>
    <w:rsid w:val="409F7ED5"/>
    <w:rsid w:val="40A43FE1"/>
    <w:rsid w:val="40EA548F"/>
    <w:rsid w:val="41477DA7"/>
    <w:rsid w:val="41633AB2"/>
    <w:rsid w:val="416769A1"/>
    <w:rsid w:val="41990F0C"/>
    <w:rsid w:val="419F3CB9"/>
    <w:rsid w:val="41A05B22"/>
    <w:rsid w:val="41C31810"/>
    <w:rsid w:val="41C75889"/>
    <w:rsid w:val="41D7394A"/>
    <w:rsid w:val="41E55E6F"/>
    <w:rsid w:val="41EC3DB8"/>
    <w:rsid w:val="4204145F"/>
    <w:rsid w:val="42451C25"/>
    <w:rsid w:val="424A7759"/>
    <w:rsid w:val="42683702"/>
    <w:rsid w:val="42906002"/>
    <w:rsid w:val="42AD6748"/>
    <w:rsid w:val="42B152CB"/>
    <w:rsid w:val="42E03096"/>
    <w:rsid w:val="43064B62"/>
    <w:rsid w:val="43142587"/>
    <w:rsid w:val="43310BCC"/>
    <w:rsid w:val="43447F70"/>
    <w:rsid w:val="43476835"/>
    <w:rsid w:val="439814AE"/>
    <w:rsid w:val="439E1C85"/>
    <w:rsid w:val="43A35238"/>
    <w:rsid w:val="43A91320"/>
    <w:rsid w:val="43C42339"/>
    <w:rsid w:val="43E90552"/>
    <w:rsid w:val="43F14B51"/>
    <w:rsid w:val="440E1EEA"/>
    <w:rsid w:val="447C536B"/>
    <w:rsid w:val="44801089"/>
    <w:rsid w:val="44E22A77"/>
    <w:rsid w:val="451E6B21"/>
    <w:rsid w:val="45424C62"/>
    <w:rsid w:val="457A7EBB"/>
    <w:rsid w:val="45824C19"/>
    <w:rsid w:val="458C2FAA"/>
    <w:rsid w:val="45950735"/>
    <w:rsid w:val="45BB24DF"/>
    <w:rsid w:val="45BB265C"/>
    <w:rsid w:val="45EE3F48"/>
    <w:rsid w:val="46120BF3"/>
    <w:rsid w:val="461A3815"/>
    <w:rsid w:val="46494B0D"/>
    <w:rsid w:val="46541946"/>
    <w:rsid w:val="46987F5C"/>
    <w:rsid w:val="46D44808"/>
    <w:rsid w:val="46E61A49"/>
    <w:rsid w:val="47006EA7"/>
    <w:rsid w:val="47071601"/>
    <w:rsid w:val="471A6DE4"/>
    <w:rsid w:val="471C4C5D"/>
    <w:rsid w:val="474474E9"/>
    <w:rsid w:val="47794D7B"/>
    <w:rsid w:val="47863686"/>
    <w:rsid w:val="47A12F04"/>
    <w:rsid w:val="47B76DB7"/>
    <w:rsid w:val="47D42224"/>
    <w:rsid w:val="47E26E94"/>
    <w:rsid w:val="480B0A3F"/>
    <w:rsid w:val="480D472B"/>
    <w:rsid w:val="48224FDC"/>
    <w:rsid w:val="48403498"/>
    <w:rsid w:val="48757D08"/>
    <w:rsid w:val="48B03F98"/>
    <w:rsid w:val="48B607AB"/>
    <w:rsid w:val="48E543C2"/>
    <w:rsid w:val="48EE48B5"/>
    <w:rsid w:val="490F1461"/>
    <w:rsid w:val="492A0E97"/>
    <w:rsid w:val="49417CB0"/>
    <w:rsid w:val="495925BD"/>
    <w:rsid w:val="495E1EBA"/>
    <w:rsid w:val="496A0929"/>
    <w:rsid w:val="498826B0"/>
    <w:rsid w:val="49C91698"/>
    <w:rsid w:val="49CF7426"/>
    <w:rsid w:val="49EB2866"/>
    <w:rsid w:val="49F57898"/>
    <w:rsid w:val="49FC1D63"/>
    <w:rsid w:val="49FC2097"/>
    <w:rsid w:val="49FE2A68"/>
    <w:rsid w:val="4A055A50"/>
    <w:rsid w:val="4A0655F7"/>
    <w:rsid w:val="4A2319E6"/>
    <w:rsid w:val="4A4554B8"/>
    <w:rsid w:val="4AA77F21"/>
    <w:rsid w:val="4AC81CD2"/>
    <w:rsid w:val="4ACC3E2B"/>
    <w:rsid w:val="4B1231D3"/>
    <w:rsid w:val="4B1F63D1"/>
    <w:rsid w:val="4B8322F0"/>
    <w:rsid w:val="4B8371F6"/>
    <w:rsid w:val="4BB319AC"/>
    <w:rsid w:val="4BE44913"/>
    <w:rsid w:val="4BF25C98"/>
    <w:rsid w:val="4C1C524A"/>
    <w:rsid w:val="4C1F7BAC"/>
    <w:rsid w:val="4C207114"/>
    <w:rsid w:val="4C2A5B6F"/>
    <w:rsid w:val="4C30395B"/>
    <w:rsid w:val="4C3677AE"/>
    <w:rsid w:val="4C4D2A82"/>
    <w:rsid w:val="4C73547C"/>
    <w:rsid w:val="4C816E5A"/>
    <w:rsid w:val="4C824743"/>
    <w:rsid w:val="4C8B3E82"/>
    <w:rsid w:val="4CBD45F6"/>
    <w:rsid w:val="4CCE5C39"/>
    <w:rsid w:val="4D014D12"/>
    <w:rsid w:val="4D082F2B"/>
    <w:rsid w:val="4D121B0D"/>
    <w:rsid w:val="4D71459A"/>
    <w:rsid w:val="4D7328BC"/>
    <w:rsid w:val="4D9537B4"/>
    <w:rsid w:val="4DB87928"/>
    <w:rsid w:val="4E113FA9"/>
    <w:rsid w:val="4E47273C"/>
    <w:rsid w:val="4E486C7C"/>
    <w:rsid w:val="4E5505B6"/>
    <w:rsid w:val="4E555EE6"/>
    <w:rsid w:val="4E751832"/>
    <w:rsid w:val="4ECA1785"/>
    <w:rsid w:val="4EF773D5"/>
    <w:rsid w:val="4EFA3BA1"/>
    <w:rsid w:val="4F0949F1"/>
    <w:rsid w:val="4F23119A"/>
    <w:rsid w:val="4F26376B"/>
    <w:rsid w:val="4F293E81"/>
    <w:rsid w:val="4F2A53F1"/>
    <w:rsid w:val="4F586964"/>
    <w:rsid w:val="4F66599C"/>
    <w:rsid w:val="4F9547EC"/>
    <w:rsid w:val="4FA04A91"/>
    <w:rsid w:val="4FA2553E"/>
    <w:rsid w:val="4FEC0BC3"/>
    <w:rsid w:val="50606C56"/>
    <w:rsid w:val="50632489"/>
    <w:rsid w:val="5065050A"/>
    <w:rsid w:val="507963E7"/>
    <w:rsid w:val="50AE3C80"/>
    <w:rsid w:val="50DF2ABC"/>
    <w:rsid w:val="50E37775"/>
    <w:rsid w:val="50E91B38"/>
    <w:rsid w:val="50EE4AFC"/>
    <w:rsid w:val="513F50A1"/>
    <w:rsid w:val="51691416"/>
    <w:rsid w:val="51751B8E"/>
    <w:rsid w:val="517F298F"/>
    <w:rsid w:val="519805C3"/>
    <w:rsid w:val="51B5729C"/>
    <w:rsid w:val="51BC69A8"/>
    <w:rsid w:val="51D34F44"/>
    <w:rsid w:val="51D81722"/>
    <w:rsid w:val="51F27B53"/>
    <w:rsid w:val="52185CBC"/>
    <w:rsid w:val="525748A7"/>
    <w:rsid w:val="525A3245"/>
    <w:rsid w:val="525C100F"/>
    <w:rsid w:val="526E1B7B"/>
    <w:rsid w:val="5279285E"/>
    <w:rsid w:val="5283316D"/>
    <w:rsid w:val="52C73FF6"/>
    <w:rsid w:val="52CE3926"/>
    <w:rsid w:val="52E02D46"/>
    <w:rsid w:val="531B0347"/>
    <w:rsid w:val="536522FF"/>
    <w:rsid w:val="53A25729"/>
    <w:rsid w:val="53F0411E"/>
    <w:rsid w:val="540A5E66"/>
    <w:rsid w:val="544A5A5C"/>
    <w:rsid w:val="544C687D"/>
    <w:rsid w:val="54810975"/>
    <w:rsid w:val="54A50091"/>
    <w:rsid w:val="54AA5D1D"/>
    <w:rsid w:val="54AF3C0F"/>
    <w:rsid w:val="54F9421E"/>
    <w:rsid w:val="55195A2F"/>
    <w:rsid w:val="552C443B"/>
    <w:rsid w:val="55547800"/>
    <w:rsid w:val="556804C7"/>
    <w:rsid w:val="55704ABA"/>
    <w:rsid w:val="559049A1"/>
    <w:rsid w:val="559A7384"/>
    <w:rsid w:val="56265247"/>
    <w:rsid w:val="56611E44"/>
    <w:rsid w:val="568D16B9"/>
    <w:rsid w:val="56AD20E1"/>
    <w:rsid w:val="56B2462F"/>
    <w:rsid w:val="56FA3102"/>
    <w:rsid w:val="57342326"/>
    <w:rsid w:val="573B0177"/>
    <w:rsid w:val="574163F9"/>
    <w:rsid w:val="57461CFC"/>
    <w:rsid w:val="577E4E8B"/>
    <w:rsid w:val="57890C46"/>
    <w:rsid w:val="57A2219C"/>
    <w:rsid w:val="57A753B3"/>
    <w:rsid w:val="57B7022C"/>
    <w:rsid w:val="57B74973"/>
    <w:rsid w:val="57DB4580"/>
    <w:rsid w:val="57E976FD"/>
    <w:rsid w:val="57F84657"/>
    <w:rsid w:val="57FC7666"/>
    <w:rsid w:val="58130CEC"/>
    <w:rsid w:val="58162CB9"/>
    <w:rsid w:val="58207565"/>
    <w:rsid w:val="583A6BB8"/>
    <w:rsid w:val="58545203"/>
    <w:rsid w:val="58845D45"/>
    <w:rsid w:val="588717C9"/>
    <w:rsid w:val="58AD3254"/>
    <w:rsid w:val="58BA7F29"/>
    <w:rsid w:val="58F63263"/>
    <w:rsid w:val="59022F96"/>
    <w:rsid w:val="59184ED2"/>
    <w:rsid w:val="5937223D"/>
    <w:rsid w:val="5949510A"/>
    <w:rsid w:val="595F3E32"/>
    <w:rsid w:val="59744244"/>
    <w:rsid w:val="59B54439"/>
    <w:rsid w:val="59C31ED9"/>
    <w:rsid w:val="59D52BD8"/>
    <w:rsid w:val="59DE3233"/>
    <w:rsid w:val="59E24AD2"/>
    <w:rsid w:val="5A1F5D26"/>
    <w:rsid w:val="5A3D6C9C"/>
    <w:rsid w:val="5A3F5EAB"/>
    <w:rsid w:val="5A5B3CCD"/>
    <w:rsid w:val="5A5E31E8"/>
    <w:rsid w:val="5A621D05"/>
    <w:rsid w:val="5A8E79A0"/>
    <w:rsid w:val="5A971D60"/>
    <w:rsid w:val="5AAE2453"/>
    <w:rsid w:val="5ADE5322"/>
    <w:rsid w:val="5B1F3A0B"/>
    <w:rsid w:val="5B2D07A3"/>
    <w:rsid w:val="5B572D99"/>
    <w:rsid w:val="5B6836FC"/>
    <w:rsid w:val="5B771124"/>
    <w:rsid w:val="5B871580"/>
    <w:rsid w:val="5B876ADC"/>
    <w:rsid w:val="5B9A3355"/>
    <w:rsid w:val="5B9D7ACA"/>
    <w:rsid w:val="5BB30D9C"/>
    <w:rsid w:val="5BB43E84"/>
    <w:rsid w:val="5C440727"/>
    <w:rsid w:val="5C56150A"/>
    <w:rsid w:val="5C5D4718"/>
    <w:rsid w:val="5C7414C4"/>
    <w:rsid w:val="5C7F0150"/>
    <w:rsid w:val="5C7F2172"/>
    <w:rsid w:val="5CA21365"/>
    <w:rsid w:val="5CA903DB"/>
    <w:rsid w:val="5CF15024"/>
    <w:rsid w:val="5D224DDA"/>
    <w:rsid w:val="5D485E88"/>
    <w:rsid w:val="5D4C0621"/>
    <w:rsid w:val="5D5A5B2C"/>
    <w:rsid w:val="5D946993"/>
    <w:rsid w:val="5D96269B"/>
    <w:rsid w:val="5D9B7A75"/>
    <w:rsid w:val="5DC02280"/>
    <w:rsid w:val="5DF64FF0"/>
    <w:rsid w:val="5E1B289C"/>
    <w:rsid w:val="5E623D7B"/>
    <w:rsid w:val="5E6B6243"/>
    <w:rsid w:val="5E6D1EF9"/>
    <w:rsid w:val="5E710B1A"/>
    <w:rsid w:val="5E7A5C21"/>
    <w:rsid w:val="5E801E92"/>
    <w:rsid w:val="5E87736A"/>
    <w:rsid w:val="5EBE3C6B"/>
    <w:rsid w:val="5EC7722F"/>
    <w:rsid w:val="5ED6097D"/>
    <w:rsid w:val="5EE71EFF"/>
    <w:rsid w:val="5EFE0325"/>
    <w:rsid w:val="5F164E4A"/>
    <w:rsid w:val="5F184F44"/>
    <w:rsid w:val="5F323F74"/>
    <w:rsid w:val="5F4B368E"/>
    <w:rsid w:val="5F521080"/>
    <w:rsid w:val="5F622211"/>
    <w:rsid w:val="5F903F66"/>
    <w:rsid w:val="5FA42567"/>
    <w:rsid w:val="5FB00CD9"/>
    <w:rsid w:val="60017D91"/>
    <w:rsid w:val="60053385"/>
    <w:rsid w:val="603902DF"/>
    <w:rsid w:val="60783253"/>
    <w:rsid w:val="609F3489"/>
    <w:rsid w:val="60BF4AD9"/>
    <w:rsid w:val="60F15327"/>
    <w:rsid w:val="60F30682"/>
    <w:rsid w:val="610944D4"/>
    <w:rsid w:val="61365007"/>
    <w:rsid w:val="61441117"/>
    <w:rsid w:val="617F354E"/>
    <w:rsid w:val="61877033"/>
    <w:rsid w:val="618C1999"/>
    <w:rsid w:val="618D247F"/>
    <w:rsid w:val="61A96C17"/>
    <w:rsid w:val="61B06AED"/>
    <w:rsid w:val="61B57FDA"/>
    <w:rsid w:val="61BA4B64"/>
    <w:rsid w:val="61BD53A2"/>
    <w:rsid w:val="61D92AF6"/>
    <w:rsid w:val="61E40392"/>
    <w:rsid w:val="61E909C7"/>
    <w:rsid w:val="61F83EDC"/>
    <w:rsid w:val="62087EC2"/>
    <w:rsid w:val="62127362"/>
    <w:rsid w:val="621454CF"/>
    <w:rsid w:val="62195032"/>
    <w:rsid w:val="623426DB"/>
    <w:rsid w:val="62352D6E"/>
    <w:rsid w:val="623E733C"/>
    <w:rsid w:val="624B1C6F"/>
    <w:rsid w:val="62751A14"/>
    <w:rsid w:val="627C6CC3"/>
    <w:rsid w:val="628C5F22"/>
    <w:rsid w:val="62A80F69"/>
    <w:rsid w:val="62E25D3F"/>
    <w:rsid w:val="62E418BB"/>
    <w:rsid w:val="62E56E7D"/>
    <w:rsid w:val="63075B0B"/>
    <w:rsid w:val="63182F48"/>
    <w:rsid w:val="632B573B"/>
    <w:rsid w:val="633702E2"/>
    <w:rsid w:val="637A56E3"/>
    <w:rsid w:val="63857653"/>
    <w:rsid w:val="63C15D59"/>
    <w:rsid w:val="63EC561F"/>
    <w:rsid w:val="63F6668D"/>
    <w:rsid w:val="64116758"/>
    <w:rsid w:val="64154EC7"/>
    <w:rsid w:val="64357CB9"/>
    <w:rsid w:val="643B38FE"/>
    <w:rsid w:val="64644EC8"/>
    <w:rsid w:val="646A37CF"/>
    <w:rsid w:val="647372DB"/>
    <w:rsid w:val="647B0F6F"/>
    <w:rsid w:val="64A357A5"/>
    <w:rsid w:val="64B623D4"/>
    <w:rsid w:val="64B62688"/>
    <w:rsid w:val="64B8674B"/>
    <w:rsid w:val="64C115D9"/>
    <w:rsid w:val="64C42EA0"/>
    <w:rsid w:val="64C722F3"/>
    <w:rsid w:val="64CF6370"/>
    <w:rsid w:val="64F54908"/>
    <w:rsid w:val="651E730F"/>
    <w:rsid w:val="65363B5B"/>
    <w:rsid w:val="65421564"/>
    <w:rsid w:val="6556649C"/>
    <w:rsid w:val="65895B75"/>
    <w:rsid w:val="65954E34"/>
    <w:rsid w:val="65AE37F5"/>
    <w:rsid w:val="65B627DF"/>
    <w:rsid w:val="65D45C1E"/>
    <w:rsid w:val="660336CB"/>
    <w:rsid w:val="664E4752"/>
    <w:rsid w:val="667F3538"/>
    <w:rsid w:val="66B145D8"/>
    <w:rsid w:val="66BE361D"/>
    <w:rsid w:val="66C52871"/>
    <w:rsid w:val="66C57280"/>
    <w:rsid w:val="66D22B91"/>
    <w:rsid w:val="66F909CC"/>
    <w:rsid w:val="670A2576"/>
    <w:rsid w:val="671C4264"/>
    <w:rsid w:val="672B4917"/>
    <w:rsid w:val="672E283D"/>
    <w:rsid w:val="675009B3"/>
    <w:rsid w:val="6751640F"/>
    <w:rsid w:val="676336CA"/>
    <w:rsid w:val="676416CA"/>
    <w:rsid w:val="67AB5E6A"/>
    <w:rsid w:val="67C6082F"/>
    <w:rsid w:val="67DE35C5"/>
    <w:rsid w:val="67EF08F3"/>
    <w:rsid w:val="67FF3D44"/>
    <w:rsid w:val="68465D0E"/>
    <w:rsid w:val="6852376A"/>
    <w:rsid w:val="685C4A37"/>
    <w:rsid w:val="688177FF"/>
    <w:rsid w:val="68A01214"/>
    <w:rsid w:val="68A670CA"/>
    <w:rsid w:val="68D61FDD"/>
    <w:rsid w:val="68D66149"/>
    <w:rsid w:val="68DA35CA"/>
    <w:rsid w:val="69162878"/>
    <w:rsid w:val="694110E9"/>
    <w:rsid w:val="69590392"/>
    <w:rsid w:val="695A2F82"/>
    <w:rsid w:val="6963099A"/>
    <w:rsid w:val="69A769FD"/>
    <w:rsid w:val="69AA6BD2"/>
    <w:rsid w:val="6A0851EB"/>
    <w:rsid w:val="6A3A4A33"/>
    <w:rsid w:val="6A3C18D8"/>
    <w:rsid w:val="6AC412B9"/>
    <w:rsid w:val="6B221A83"/>
    <w:rsid w:val="6B264B93"/>
    <w:rsid w:val="6B420181"/>
    <w:rsid w:val="6B877EA1"/>
    <w:rsid w:val="6B895556"/>
    <w:rsid w:val="6BA676ED"/>
    <w:rsid w:val="6BD64B90"/>
    <w:rsid w:val="6BE306DD"/>
    <w:rsid w:val="6BE33C8F"/>
    <w:rsid w:val="6BF42734"/>
    <w:rsid w:val="6BF57D58"/>
    <w:rsid w:val="6BF7754D"/>
    <w:rsid w:val="6C105A58"/>
    <w:rsid w:val="6C346766"/>
    <w:rsid w:val="6C3D350D"/>
    <w:rsid w:val="6C4343BD"/>
    <w:rsid w:val="6C4526AF"/>
    <w:rsid w:val="6C51632C"/>
    <w:rsid w:val="6C7F2AD3"/>
    <w:rsid w:val="6C9740E3"/>
    <w:rsid w:val="6CB378F9"/>
    <w:rsid w:val="6CC85207"/>
    <w:rsid w:val="6CE7260C"/>
    <w:rsid w:val="6CF87FF6"/>
    <w:rsid w:val="6D162119"/>
    <w:rsid w:val="6D2C3705"/>
    <w:rsid w:val="6D485F0B"/>
    <w:rsid w:val="6D7D4DE5"/>
    <w:rsid w:val="6D873010"/>
    <w:rsid w:val="6D8D0448"/>
    <w:rsid w:val="6DDC046F"/>
    <w:rsid w:val="6DE210EC"/>
    <w:rsid w:val="6DEA07E1"/>
    <w:rsid w:val="6DEF7BE9"/>
    <w:rsid w:val="6E16292A"/>
    <w:rsid w:val="6E2267D8"/>
    <w:rsid w:val="6E2C0B71"/>
    <w:rsid w:val="6E3021CD"/>
    <w:rsid w:val="6E41410C"/>
    <w:rsid w:val="6E617DB5"/>
    <w:rsid w:val="6E881964"/>
    <w:rsid w:val="6EAA4474"/>
    <w:rsid w:val="6EAC4123"/>
    <w:rsid w:val="6ECD507F"/>
    <w:rsid w:val="6EFF0DB0"/>
    <w:rsid w:val="6EFFF49A"/>
    <w:rsid w:val="6F1624C1"/>
    <w:rsid w:val="6F27365A"/>
    <w:rsid w:val="6F2A435C"/>
    <w:rsid w:val="6F6B3132"/>
    <w:rsid w:val="6F9261A7"/>
    <w:rsid w:val="6F9F49B0"/>
    <w:rsid w:val="6FB87AD8"/>
    <w:rsid w:val="6FD85E0E"/>
    <w:rsid w:val="6FE85FAC"/>
    <w:rsid w:val="6FEF1509"/>
    <w:rsid w:val="6FF879A7"/>
    <w:rsid w:val="700A7C70"/>
    <w:rsid w:val="70213099"/>
    <w:rsid w:val="70311402"/>
    <w:rsid w:val="704B0DE5"/>
    <w:rsid w:val="704E3B0A"/>
    <w:rsid w:val="70707286"/>
    <w:rsid w:val="70997814"/>
    <w:rsid w:val="70C35002"/>
    <w:rsid w:val="70D421A3"/>
    <w:rsid w:val="70E31094"/>
    <w:rsid w:val="71094BE2"/>
    <w:rsid w:val="710D7AB3"/>
    <w:rsid w:val="711060E4"/>
    <w:rsid w:val="711E28A2"/>
    <w:rsid w:val="71313367"/>
    <w:rsid w:val="714D3A87"/>
    <w:rsid w:val="717539A9"/>
    <w:rsid w:val="71854BFE"/>
    <w:rsid w:val="72493564"/>
    <w:rsid w:val="72581FD1"/>
    <w:rsid w:val="72845A81"/>
    <w:rsid w:val="7293781E"/>
    <w:rsid w:val="729F4DE6"/>
    <w:rsid w:val="72BC22AC"/>
    <w:rsid w:val="72E551B3"/>
    <w:rsid w:val="72E925E9"/>
    <w:rsid w:val="73167737"/>
    <w:rsid w:val="731B6E65"/>
    <w:rsid w:val="733C4DFB"/>
    <w:rsid w:val="736C11ED"/>
    <w:rsid w:val="737A19CC"/>
    <w:rsid w:val="738D2681"/>
    <w:rsid w:val="73992FB6"/>
    <w:rsid w:val="73AB7A5B"/>
    <w:rsid w:val="73B409E6"/>
    <w:rsid w:val="73BFC2F8"/>
    <w:rsid w:val="73C216D3"/>
    <w:rsid w:val="73C80282"/>
    <w:rsid w:val="73C83F5E"/>
    <w:rsid w:val="73E516C0"/>
    <w:rsid w:val="73FF4C06"/>
    <w:rsid w:val="74017DF2"/>
    <w:rsid w:val="743D3CAA"/>
    <w:rsid w:val="744650DB"/>
    <w:rsid w:val="745E1897"/>
    <w:rsid w:val="747E7852"/>
    <w:rsid w:val="74AB1F57"/>
    <w:rsid w:val="74B47867"/>
    <w:rsid w:val="74C413D4"/>
    <w:rsid w:val="74E431FA"/>
    <w:rsid w:val="74E9443F"/>
    <w:rsid w:val="74F82FA3"/>
    <w:rsid w:val="74F91C79"/>
    <w:rsid w:val="751246D7"/>
    <w:rsid w:val="75210EA2"/>
    <w:rsid w:val="75232ABD"/>
    <w:rsid w:val="753546A4"/>
    <w:rsid w:val="753610E6"/>
    <w:rsid w:val="75666069"/>
    <w:rsid w:val="75867211"/>
    <w:rsid w:val="758A32E3"/>
    <w:rsid w:val="75922EB0"/>
    <w:rsid w:val="75925B77"/>
    <w:rsid w:val="75A0327F"/>
    <w:rsid w:val="75A30E29"/>
    <w:rsid w:val="75BE7912"/>
    <w:rsid w:val="75CA4550"/>
    <w:rsid w:val="75DB6764"/>
    <w:rsid w:val="76010AE4"/>
    <w:rsid w:val="76251C4D"/>
    <w:rsid w:val="7625426C"/>
    <w:rsid w:val="76360BD5"/>
    <w:rsid w:val="76376B7F"/>
    <w:rsid w:val="76377102"/>
    <w:rsid w:val="76384B84"/>
    <w:rsid w:val="763C3F4F"/>
    <w:rsid w:val="766E5C13"/>
    <w:rsid w:val="76BD7AD7"/>
    <w:rsid w:val="76C6095F"/>
    <w:rsid w:val="76CB24E7"/>
    <w:rsid w:val="76DF266D"/>
    <w:rsid w:val="76FA1A37"/>
    <w:rsid w:val="770C53FF"/>
    <w:rsid w:val="771E1FB8"/>
    <w:rsid w:val="776F4486"/>
    <w:rsid w:val="777C3F16"/>
    <w:rsid w:val="77932EE6"/>
    <w:rsid w:val="7794370B"/>
    <w:rsid w:val="77A541C8"/>
    <w:rsid w:val="77B10335"/>
    <w:rsid w:val="77C73C0A"/>
    <w:rsid w:val="77C745E6"/>
    <w:rsid w:val="77D067C7"/>
    <w:rsid w:val="77EC2046"/>
    <w:rsid w:val="77EE673C"/>
    <w:rsid w:val="77EF5926"/>
    <w:rsid w:val="77F343F5"/>
    <w:rsid w:val="78165B25"/>
    <w:rsid w:val="782245A4"/>
    <w:rsid w:val="783E7EAF"/>
    <w:rsid w:val="78773D2D"/>
    <w:rsid w:val="788E25FA"/>
    <w:rsid w:val="789B0C8D"/>
    <w:rsid w:val="78B50CC4"/>
    <w:rsid w:val="78BF32A9"/>
    <w:rsid w:val="791F31F5"/>
    <w:rsid w:val="792451CB"/>
    <w:rsid w:val="79415749"/>
    <w:rsid w:val="79526D7F"/>
    <w:rsid w:val="79570BE0"/>
    <w:rsid w:val="795B0471"/>
    <w:rsid w:val="796849BB"/>
    <w:rsid w:val="797A09D8"/>
    <w:rsid w:val="797D7F1B"/>
    <w:rsid w:val="79824691"/>
    <w:rsid w:val="79CB2844"/>
    <w:rsid w:val="79E02D82"/>
    <w:rsid w:val="79FC1981"/>
    <w:rsid w:val="7A1962BE"/>
    <w:rsid w:val="7A2E4784"/>
    <w:rsid w:val="7A5955C8"/>
    <w:rsid w:val="7A5A29EC"/>
    <w:rsid w:val="7A5A3BF2"/>
    <w:rsid w:val="7A633959"/>
    <w:rsid w:val="7A9D0EFB"/>
    <w:rsid w:val="7ACE3009"/>
    <w:rsid w:val="7ADE2688"/>
    <w:rsid w:val="7ADE60D1"/>
    <w:rsid w:val="7AE50739"/>
    <w:rsid w:val="7B0940E7"/>
    <w:rsid w:val="7B236FD3"/>
    <w:rsid w:val="7B3C0681"/>
    <w:rsid w:val="7B762E74"/>
    <w:rsid w:val="7B7E1655"/>
    <w:rsid w:val="7B9D6653"/>
    <w:rsid w:val="7BA829B9"/>
    <w:rsid w:val="7BA82CDA"/>
    <w:rsid w:val="7BDB7CC3"/>
    <w:rsid w:val="7C023D5C"/>
    <w:rsid w:val="7C0D0571"/>
    <w:rsid w:val="7C2B54C3"/>
    <w:rsid w:val="7C9C2DAE"/>
    <w:rsid w:val="7CA2387C"/>
    <w:rsid w:val="7CB71996"/>
    <w:rsid w:val="7CB91896"/>
    <w:rsid w:val="7CD6149E"/>
    <w:rsid w:val="7CEF7382"/>
    <w:rsid w:val="7D042C28"/>
    <w:rsid w:val="7D1A2F7D"/>
    <w:rsid w:val="7D6733BC"/>
    <w:rsid w:val="7D6A4C5A"/>
    <w:rsid w:val="7D6E2658"/>
    <w:rsid w:val="7D717D97"/>
    <w:rsid w:val="7D8F1157"/>
    <w:rsid w:val="7DA36ABE"/>
    <w:rsid w:val="7DD143E1"/>
    <w:rsid w:val="7DD70F7E"/>
    <w:rsid w:val="7DFE460D"/>
    <w:rsid w:val="7E1A121E"/>
    <w:rsid w:val="7E2E4EFD"/>
    <w:rsid w:val="7E3A2CA5"/>
    <w:rsid w:val="7E8B75AC"/>
    <w:rsid w:val="7EAB5BA9"/>
    <w:rsid w:val="7EE32887"/>
    <w:rsid w:val="7F50786C"/>
    <w:rsid w:val="7F791185"/>
    <w:rsid w:val="7F801114"/>
    <w:rsid w:val="7FBD786E"/>
    <w:rsid w:val="7FE36660"/>
    <w:rsid w:val="7FE84A32"/>
    <w:rsid w:val="D795B13B"/>
    <w:rsid w:val="F9FF1F1E"/>
    <w:rsid w:val="FF9BF711"/>
    <w:rsid w:val="FF9F9AF7"/>
    <w:rsid w:val="FFB1B9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21"/>
      <w:szCs w:val="24"/>
      <w:lang w:val="en-US" w:eastAsia="zh-CN" w:bidi="ar-SA"/>
    </w:rPr>
  </w:style>
  <w:style w:type="paragraph" w:styleId="4">
    <w:name w:val="heading 1"/>
    <w:basedOn w:val="1"/>
    <w:next w:val="1"/>
    <w:link w:val="28"/>
    <w:qFormat/>
    <w:uiPriority w:val="0"/>
    <w:pPr>
      <w:keepNext/>
      <w:keepLines/>
      <w:spacing w:line="576" w:lineRule="auto"/>
      <w:outlineLvl w:val="0"/>
    </w:pPr>
    <w:rPr>
      <w:b/>
      <w:bCs/>
      <w:kern w:val="44"/>
      <w:sz w:val="44"/>
      <w:szCs w:val="44"/>
    </w:rPr>
  </w:style>
  <w:style w:type="paragraph" w:styleId="5">
    <w:name w:val="heading 2"/>
    <w:basedOn w:val="1"/>
    <w:next w:val="1"/>
    <w:unhideWhenUsed/>
    <w:qFormat/>
    <w:uiPriority w:val="0"/>
    <w:pPr>
      <w:keepNext/>
      <w:keepLines/>
      <w:spacing w:before="260" w:after="260" w:line="416" w:lineRule="auto"/>
      <w:outlineLvl w:val="1"/>
    </w:pPr>
    <w:rPr>
      <w:rFonts w:ascii="Cambria" w:hAnsi="Cambria"/>
      <w:b/>
      <w:bCs/>
    </w:rPr>
  </w:style>
  <w:style w:type="paragraph" w:styleId="6">
    <w:name w:val="heading 3"/>
    <w:basedOn w:val="1"/>
    <w:next w:val="1"/>
    <w:link w:val="45"/>
    <w:unhideWhenUsed/>
    <w:qFormat/>
    <w:uiPriority w:val="0"/>
    <w:pPr>
      <w:keepNext/>
      <w:keepLines/>
      <w:spacing w:before="260" w:after="260" w:line="416" w:lineRule="atLeast"/>
      <w:outlineLvl w:val="2"/>
    </w:pPr>
    <w:rPr>
      <w:b/>
      <w:bCs/>
      <w:sz w:val="32"/>
      <w:szCs w:val="32"/>
    </w:rPr>
  </w:style>
  <w:style w:type="paragraph" w:styleId="7">
    <w:name w:val="heading 4"/>
    <w:basedOn w:val="1"/>
    <w:next w:val="1"/>
    <w:unhideWhenUsed/>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2">
    <w:name w:val="Normal Indent"/>
    <w:basedOn w:val="1"/>
    <w:next w:val="3"/>
    <w:unhideWhenUsed/>
    <w:qFormat/>
    <w:uiPriority w:val="0"/>
    <w:pPr>
      <w:ind w:firstLine="420"/>
    </w:pPr>
  </w:style>
  <w:style w:type="paragraph" w:styleId="3">
    <w:name w:val="caption"/>
    <w:basedOn w:val="1"/>
    <w:next w:val="1"/>
    <w:unhideWhenUsed/>
    <w:qFormat/>
    <w:uiPriority w:val="0"/>
    <w:rPr>
      <w:rFonts w:ascii="DejaVu Sans" w:hAnsi="DejaVu Sans" w:eastAsia="方正黑体_GBK"/>
      <w:sz w:val="20"/>
    </w:rPr>
  </w:style>
  <w:style w:type="paragraph" w:styleId="8">
    <w:name w:val="annotation text"/>
    <w:basedOn w:val="1"/>
    <w:link w:val="29"/>
    <w:qFormat/>
    <w:uiPriority w:val="0"/>
    <w:pPr>
      <w:jc w:val="left"/>
    </w:pPr>
  </w:style>
  <w:style w:type="paragraph" w:styleId="9">
    <w:name w:val="Body Text"/>
    <w:basedOn w:val="1"/>
    <w:qFormat/>
    <w:uiPriority w:val="0"/>
    <w:pPr>
      <w:spacing w:after="120"/>
    </w:pPr>
  </w:style>
  <w:style w:type="paragraph" w:styleId="10">
    <w:name w:val="Body Text Indent"/>
    <w:basedOn w:val="1"/>
    <w:next w:val="11"/>
    <w:qFormat/>
    <w:uiPriority w:val="0"/>
    <w:pPr>
      <w:ind w:left="420" w:leftChars="200"/>
    </w:pPr>
  </w:style>
  <w:style w:type="paragraph" w:styleId="11">
    <w:name w:val="envelope return"/>
    <w:basedOn w:val="1"/>
    <w:unhideWhenUsed/>
    <w:qFormat/>
    <w:uiPriority w:val="99"/>
    <w:pPr>
      <w:snapToGrid w:val="0"/>
    </w:pPr>
    <w:rPr>
      <w:rFonts w:ascii="Arial" w:hAnsi="Arial"/>
    </w:rPr>
  </w:style>
  <w:style w:type="paragraph" w:styleId="12">
    <w:name w:val="footer"/>
    <w:basedOn w:val="1"/>
    <w:link w:val="30"/>
    <w:qFormat/>
    <w:uiPriority w:val="0"/>
    <w:pPr>
      <w:tabs>
        <w:tab w:val="center" w:pos="4153"/>
        <w:tab w:val="right" w:pos="8306"/>
      </w:tabs>
      <w:snapToGrid w:val="0"/>
      <w:jc w:val="left"/>
    </w:pPr>
    <w:rPr>
      <w:sz w:val="18"/>
      <w:szCs w:val="18"/>
    </w:rPr>
  </w:style>
  <w:style w:type="paragraph" w:styleId="13">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style>
  <w:style w:type="paragraph" w:styleId="15">
    <w:name w:val="footnote text"/>
    <w:basedOn w:val="1"/>
    <w:qFormat/>
    <w:uiPriority w:val="0"/>
    <w:pPr>
      <w:snapToGrid w:val="0"/>
      <w:jc w:val="left"/>
    </w:pPr>
    <w:rPr>
      <w:sz w:val="18"/>
    </w:rPr>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7">
    <w:name w:val="Title"/>
    <w:basedOn w:val="5"/>
    <w:next w:val="1"/>
    <w:qFormat/>
    <w:uiPriority w:val="0"/>
    <w:pPr>
      <w:spacing w:beforeLines="50" w:afterLines="50" w:line="240" w:lineRule="auto"/>
    </w:pPr>
    <w:rPr>
      <w:rFonts w:ascii="楷体" w:hAnsi="楷体" w:eastAsia="楷体"/>
      <w:sz w:val="28"/>
      <w:szCs w:val="28"/>
    </w:rPr>
  </w:style>
  <w:style w:type="paragraph" w:styleId="18">
    <w:name w:val="annotation subject"/>
    <w:basedOn w:val="8"/>
    <w:next w:val="8"/>
    <w:link w:val="32"/>
    <w:qFormat/>
    <w:uiPriority w:val="0"/>
    <w:rPr>
      <w:b/>
      <w:bCs/>
    </w:rPr>
  </w:style>
  <w:style w:type="paragraph" w:styleId="19">
    <w:name w:val="Body Text First Indent"/>
    <w:basedOn w:val="9"/>
    <w:qFormat/>
    <w:uiPriority w:val="0"/>
    <w:pPr>
      <w:ind w:firstLine="420" w:firstLineChars="100"/>
    </w:pPr>
    <w:rPr>
      <w:szCs w:val="24"/>
    </w:rPr>
  </w:style>
  <w:style w:type="paragraph" w:styleId="20">
    <w:name w:val="Body Text First Indent 2"/>
    <w:basedOn w:val="10"/>
    <w:next w:val="19"/>
    <w:unhideWhenUsed/>
    <w:qFormat/>
    <w:uiPriority w:val="99"/>
    <w:pPr>
      <w:ind w:firstLine="42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character" w:styleId="25">
    <w:name w:val="Emphasis"/>
    <w:basedOn w:val="23"/>
    <w:qFormat/>
    <w:uiPriority w:val="0"/>
    <w:rPr>
      <w:i/>
    </w:rPr>
  </w:style>
  <w:style w:type="character" w:styleId="26">
    <w:name w:val="annotation reference"/>
    <w:basedOn w:val="23"/>
    <w:qFormat/>
    <w:uiPriority w:val="0"/>
    <w:rPr>
      <w:sz w:val="21"/>
      <w:szCs w:val="21"/>
    </w:rPr>
  </w:style>
  <w:style w:type="character" w:styleId="27">
    <w:name w:val="footnote reference"/>
    <w:basedOn w:val="23"/>
    <w:qFormat/>
    <w:uiPriority w:val="0"/>
    <w:rPr>
      <w:vertAlign w:val="superscript"/>
    </w:rPr>
  </w:style>
  <w:style w:type="character" w:customStyle="1" w:styleId="28">
    <w:name w:val="标题 1 Char"/>
    <w:link w:val="4"/>
    <w:qFormat/>
    <w:uiPriority w:val="0"/>
    <w:rPr>
      <w:b/>
      <w:bCs/>
      <w:kern w:val="44"/>
      <w:sz w:val="44"/>
      <w:szCs w:val="44"/>
    </w:rPr>
  </w:style>
  <w:style w:type="character" w:customStyle="1" w:styleId="29">
    <w:name w:val="批注文字 字符"/>
    <w:basedOn w:val="23"/>
    <w:link w:val="8"/>
    <w:qFormat/>
    <w:uiPriority w:val="0"/>
    <w:rPr>
      <w:kern w:val="2"/>
      <w:sz w:val="21"/>
      <w:szCs w:val="24"/>
    </w:rPr>
  </w:style>
  <w:style w:type="character" w:customStyle="1" w:styleId="30">
    <w:name w:val="页脚 字符"/>
    <w:basedOn w:val="23"/>
    <w:link w:val="12"/>
    <w:qFormat/>
    <w:uiPriority w:val="0"/>
    <w:rPr>
      <w:kern w:val="2"/>
      <w:sz w:val="18"/>
      <w:szCs w:val="18"/>
    </w:rPr>
  </w:style>
  <w:style w:type="character" w:customStyle="1" w:styleId="31">
    <w:name w:val="页眉 字符"/>
    <w:basedOn w:val="23"/>
    <w:link w:val="13"/>
    <w:qFormat/>
    <w:uiPriority w:val="0"/>
    <w:rPr>
      <w:kern w:val="2"/>
      <w:sz w:val="18"/>
      <w:szCs w:val="18"/>
    </w:rPr>
  </w:style>
  <w:style w:type="character" w:customStyle="1" w:styleId="32">
    <w:name w:val="批注主题 字符"/>
    <w:basedOn w:val="29"/>
    <w:link w:val="18"/>
    <w:qFormat/>
    <w:uiPriority w:val="0"/>
    <w:rPr>
      <w:b/>
      <w:bCs/>
      <w:kern w:val="2"/>
      <w:sz w:val="21"/>
      <w:szCs w:val="24"/>
    </w:rPr>
  </w:style>
  <w:style w:type="paragraph" w:customStyle="1" w:styleId="33">
    <w:name w:val="标题3"/>
    <w:basedOn w:val="6"/>
    <w:next w:val="1"/>
    <w:qFormat/>
    <w:uiPriority w:val="0"/>
    <w:pPr>
      <w:spacing w:beforeLines="50" w:afterLines="50" w:line="240" w:lineRule="auto"/>
    </w:pPr>
    <w:rPr>
      <w:rFonts w:ascii="隶书" w:hAnsi="仿宋" w:eastAsia="隶书"/>
      <w:b w:val="0"/>
      <w:sz w:val="28"/>
      <w:szCs w:val="28"/>
    </w:rPr>
  </w:style>
  <w:style w:type="paragraph" w:customStyle="1" w:styleId="34">
    <w:name w:val="标题4"/>
    <w:basedOn w:val="33"/>
    <w:next w:val="1"/>
    <w:qFormat/>
    <w:uiPriority w:val="0"/>
    <w:pPr>
      <w:outlineLvl w:val="3"/>
    </w:pPr>
    <w:rPr>
      <w:rFonts w:ascii="楷体" w:hAnsi="楷体" w:eastAsia="楷体"/>
      <w:bCs w:val="0"/>
    </w:rPr>
  </w:style>
  <w:style w:type="paragraph" w:customStyle="1" w:styleId="35">
    <w:name w:val="摘录引用方案"/>
    <w:basedOn w:val="1"/>
    <w:next w:val="1"/>
    <w:qFormat/>
    <w:uiPriority w:val="0"/>
    <w:rPr>
      <w:i/>
      <w:color w:val="FF0000"/>
    </w:rPr>
  </w:style>
  <w:style w:type="paragraph" w:customStyle="1" w:styleId="36">
    <w:name w:val="* Body1"/>
    <w:basedOn w:val="1"/>
    <w:qFormat/>
    <w:uiPriority w:val="0"/>
    <w:pPr>
      <w:spacing w:afterLines="50" w:line="360" w:lineRule="auto"/>
    </w:pPr>
    <w:rPr>
      <w:rFonts w:cs="宋体"/>
      <w:sz w:val="24"/>
    </w:rPr>
  </w:style>
  <w:style w:type="paragraph" w:customStyle="1" w:styleId="37">
    <w:name w:val="Revision"/>
    <w:unhideWhenUsed/>
    <w:qFormat/>
    <w:uiPriority w:val="99"/>
    <w:rPr>
      <w:rFonts w:ascii="Times New Roman" w:hAnsi="Times New Roman" w:eastAsia="宋体" w:cs="Times New Roman"/>
      <w:kern w:val="2"/>
      <w:sz w:val="21"/>
      <w:szCs w:val="24"/>
      <w:lang w:val="en-US" w:eastAsia="zh-CN" w:bidi="ar-SA"/>
    </w:rPr>
  </w:style>
  <w:style w:type="paragraph" w:customStyle="1" w:styleId="38">
    <w:name w:val="WPSOffice手动目录 1"/>
    <w:qFormat/>
    <w:uiPriority w:val="0"/>
    <w:pPr>
      <w:ind w:leftChars="0"/>
    </w:pPr>
    <w:rPr>
      <w:rFonts w:ascii="Times New Roman" w:hAnsi="Times New Roman" w:eastAsia="宋体" w:cs="Times New Roman"/>
      <w:sz w:val="20"/>
      <w:szCs w:val="20"/>
    </w:rPr>
  </w:style>
  <w:style w:type="paragraph" w:customStyle="1" w:styleId="39">
    <w:name w:val="H3"/>
    <w:basedOn w:val="1"/>
    <w:qFormat/>
    <w:uiPriority w:val="0"/>
    <w:pPr>
      <w:numPr>
        <w:ilvl w:val="2"/>
        <w:numId w:val="1"/>
      </w:numPr>
      <w:spacing w:before="120" w:beforeLines="50" w:after="120" w:afterLines="50" w:line="360" w:lineRule="auto"/>
      <w:outlineLvl w:val="2"/>
    </w:pPr>
    <w:rPr>
      <w:rFonts w:ascii="黑体" w:hAnsi="黑体" w:eastAsia="黑体"/>
      <w:b/>
      <w:bCs/>
      <w:sz w:val="24"/>
      <w:szCs w:val="24"/>
    </w:rPr>
  </w:style>
  <w:style w:type="paragraph" w:styleId="40">
    <w:name w:val="List Paragraph"/>
    <w:basedOn w:val="1"/>
    <w:qFormat/>
    <w:uiPriority w:val="99"/>
    <w:pPr>
      <w:ind w:firstLine="420" w:firstLineChars="200"/>
    </w:pPr>
  </w:style>
  <w:style w:type="paragraph" w:customStyle="1" w:styleId="41">
    <w:name w:val="正文段落"/>
    <w:basedOn w:val="1"/>
    <w:qFormat/>
    <w:uiPriority w:val="0"/>
    <w:pPr>
      <w:widowControl/>
      <w:ind w:firstLine="440" w:firstLineChars="200"/>
    </w:pPr>
    <w:rPr>
      <w:kern w:val="0"/>
      <w:sz w:val="22"/>
      <w:szCs w:val="22"/>
      <w:lang w:val="de-DE"/>
    </w:rPr>
  </w:style>
  <w:style w:type="paragraph" w:customStyle="1" w:styleId="42">
    <w:name w:val="列表1"/>
    <w:basedOn w:val="40"/>
    <w:qFormat/>
    <w:uiPriority w:val="0"/>
    <w:pPr>
      <w:numPr>
        <w:ilvl w:val="0"/>
        <w:numId w:val="2"/>
      </w:numPr>
      <w:ind w:firstLine="0" w:firstLineChars="0"/>
    </w:pPr>
    <w:rPr>
      <w:rFonts w:ascii="微软雅黑" w:hAnsi="微软雅黑" w:eastAsia="微软雅黑"/>
      <w:sz w:val="22"/>
      <w:szCs w:val="22"/>
    </w:rPr>
  </w:style>
  <w:style w:type="paragraph" w:customStyle="1" w:styleId="43">
    <w:name w:val="列出段落1"/>
    <w:basedOn w:val="1"/>
    <w:qFormat/>
    <w:uiPriority w:val="0"/>
    <w:pPr>
      <w:ind w:left="720"/>
      <w:contextualSpacing/>
    </w:pPr>
  </w:style>
  <w:style w:type="paragraph" w:customStyle="1" w:styleId="44">
    <w:name w:val="表格文字"/>
    <w:qFormat/>
    <w:uiPriority w:val="0"/>
    <w:rPr>
      <w:rFonts w:ascii="Times New Roman" w:hAnsi="Times New Roman" w:eastAsia="仿宋_GB2312" w:cs="Times New Roman"/>
      <w:bCs/>
      <w:sz w:val="24"/>
      <w:lang w:val="en-US" w:eastAsia="zh-CN" w:bidi="ar-SA"/>
    </w:rPr>
  </w:style>
  <w:style w:type="character" w:customStyle="1" w:styleId="45">
    <w:name w:val="标题 3 字符"/>
    <w:link w:val="6"/>
    <w:qFormat/>
    <w:uiPriority w:val="0"/>
    <w:rPr>
      <w:b/>
      <w:bCs/>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10419</Words>
  <Characters>11108</Characters>
  <Lines>35</Lines>
  <Paragraphs>9</Paragraphs>
  <TotalTime>0</TotalTime>
  <ScaleCrop>false</ScaleCrop>
  <LinksUpToDate>false</LinksUpToDate>
  <CharactersWithSpaces>11367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2023-06-12T10:35:00Z</dcterms:created>
  <dc:creator>zh-sunbb</dc:creator>
  <cp:lastModifiedBy>张艺凡</cp:lastModifiedBy>
  <cp:lastPrinted>2025-09-29T08:49:00Z</cp:lastPrinted>
  <dcterms:modified xsi:type="dcterms:W3CDTF">2026-04-17T02:49:14Z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BAEEED2FA2A94561AED16F459B5FD5A2</vt:lpwstr>
  </property>
</Properties>
</file>