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粗仿宋" w:hAnsi="宋体" w:eastAsia="彩虹粗仿宋"/>
          <w:snapToGrid w:val="0"/>
          <w:kern w:val="0"/>
          <w:sz w:val="36"/>
          <w:szCs w:val="36"/>
        </w:rPr>
      </w:pPr>
      <w:r>
        <w:rPr>
          <w:rFonts w:hint="eastAsia" w:ascii="彩虹粗仿宋" w:hAnsi="宋体" w:eastAsia="彩虹粗仿宋"/>
          <w:snapToGrid w:val="0"/>
          <w:kern w:val="0"/>
          <w:sz w:val="36"/>
          <w:szCs w:val="36"/>
        </w:rPr>
        <w:t>软件产品采购需求主要内容</w:t>
      </w:r>
    </w:p>
    <w:p>
      <w:pPr>
        <w:adjustRightInd w:val="0"/>
        <w:snapToGrid w:val="0"/>
        <w:spacing w:line="360" w:lineRule="auto"/>
        <w:ind w:firstLine="562" w:firstLineChars="200"/>
        <w:rPr>
          <w:rFonts w:ascii="彩虹粗仿宋" w:hAnsi="宋体" w:eastAsia="彩虹粗仿宋"/>
          <w:b/>
          <w:sz w:val="28"/>
          <w:szCs w:val="28"/>
        </w:rPr>
      </w:pPr>
      <w:r>
        <w:rPr>
          <w:rFonts w:hint="eastAsia" w:ascii="彩虹粗仿宋" w:hAnsi="宋体" w:eastAsia="彩虹粗仿宋"/>
          <w:b/>
          <w:sz w:val="28"/>
          <w:szCs w:val="28"/>
        </w:rPr>
        <w:t>一、基本要求：</w:t>
      </w:r>
    </w:p>
    <w:p>
      <w:pPr>
        <w:adjustRightInd w:val="0"/>
        <w:snapToGrid w:val="0"/>
        <w:spacing w:line="560" w:lineRule="atLeast"/>
        <w:ind w:firstLine="560" w:firstLineChars="200"/>
        <w:jc w:val="left"/>
        <w:rPr>
          <w:rFonts w:hint="default" w:ascii="彩虹粗仿宋" w:hAnsi="宋体" w:eastAsia="彩虹粗仿宋"/>
          <w:sz w:val="28"/>
          <w:szCs w:val="28"/>
          <w:lang w:val="en-US" w:eastAsia="zh-CN"/>
        </w:rPr>
      </w:pPr>
      <w:r>
        <w:rPr>
          <w:rFonts w:hint="eastAsia" w:ascii="彩虹粗仿宋" w:hAnsi="宋体" w:eastAsia="彩虹粗仿宋"/>
          <w:sz w:val="28"/>
          <w:szCs w:val="28"/>
        </w:rPr>
        <w:t>采购的供应商须符合《中华人民共和国政府采购法》第二十二条规定之条件，有能力提供合同项下全部采购内容（资格审查要求）：</w:t>
      </w:r>
      <w:r>
        <w:rPr>
          <w:rFonts w:hint="eastAsia" w:ascii="彩虹粗仿宋" w:hAnsi="宋体" w:eastAsia="彩虹粗仿宋"/>
          <w:sz w:val="28"/>
          <w:szCs w:val="28"/>
        </w:rPr>
        <w:br w:type="textWrapping"/>
      </w:r>
      <w:r>
        <w:rPr>
          <w:rFonts w:hint="eastAsia" w:ascii="彩虹粗仿宋" w:hAnsi="宋体" w:eastAsia="彩虹粗仿宋"/>
          <w:sz w:val="28"/>
          <w:szCs w:val="28"/>
        </w:rPr>
        <w:t xml:space="preserve">   </w:t>
      </w:r>
      <w:r>
        <w:rPr>
          <w:rFonts w:hint="eastAsia" w:ascii="彩虹粗仿宋" w:hAnsi="宋体" w:eastAsia="彩虹粗仿宋"/>
          <w:sz w:val="28"/>
          <w:szCs w:val="28"/>
          <w:lang w:eastAsia="zh-CN"/>
        </w:rPr>
        <w:t>（1）申请人为中华人民共和国境内合法注册的独立法人，具有独立承担民事责任的能力，遵守国家有关法律、法规，具有良好的商业信誉。</w:t>
      </w:r>
      <w:r>
        <w:rPr>
          <w:rFonts w:hint="eastAsia" w:ascii="彩虹粗仿宋" w:hAnsi="宋体" w:eastAsia="彩虹粗仿宋"/>
          <w:sz w:val="28"/>
          <w:szCs w:val="28"/>
          <w:lang w:eastAsia="zh-CN"/>
        </w:rPr>
        <w:br w:type="textWrapping"/>
      </w:r>
      <w:r>
        <w:rPr>
          <w:rFonts w:hint="eastAsia" w:ascii="彩虹粗仿宋" w:hAnsi="宋体" w:eastAsia="彩虹粗仿宋"/>
          <w:sz w:val="28"/>
          <w:szCs w:val="28"/>
          <w:lang w:eastAsia="zh-CN"/>
        </w:rPr>
        <w:t xml:space="preserve">   （</w:t>
      </w:r>
      <w:r>
        <w:rPr>
          <w:rFonts w:hint="eastAsia" w:ascii="彩虹粗仿宋" w:hAnsi="宋体" w:eastAsia="彩虹粗仿宋"/>
          <w:sz w:val="28"/>
          <w:szCs w:val="28"/>
          <w:lang w:val="en-US" w:eastAsia="zh-CN"/>
        </w:rPr>
        <w:t>2</w:t>
      </w:r>
      <w:r>
        <w:rPr>
          <w:rFonts w:hint="eastAsia" w:ascii="彩虹粗仿宋" w:hAnsi="宋体" w:eastAsia="彩虹粗仿宋"/>
          <w:sz w:val="28"/>
          <w:szCs w:val="28"/>
          <w:lang w:eastAsia="zh-CN"/>
        </w:rPr>
        <w:t>）至少提供一个最近一年（2024年1月1日以来）的软件销售案例。</w:t>
      </w:r>
      <w:r>
        <w:rPr>
          <w:rFonts w:hint="eastAsia" w:ascii="彩虹粗仿宋" w:hAnsi="宋体" w:eastAsia="彩虹粗仿宋"/>
          <w:sz w:val="28"/>
          <w:szCs w:val="28"/>
          <w:lang w:eastAsia="zh-CN"/>
        </w:rPr>
        <w:br w:type="textWrapping"/>
      </w:r>
      <w:r>
        <w:rPr>
          <w:rFonts w:hint="eastAsia" w:ascii="彩虹粗仿宋" w:hAnsi="宋体" w:eastAsia="彩虹粗仿宋"/>
          <w:sz w:val="28"/>
          <w:szCs w:val="28"/>
          <w:lang w:eastAsia="zh-CN"/>
        </w:rPr>
        <w:t xml:space="preserve">   （</w:t>
      </w:r>
      <w:r>
        <w:rPr>
          <w:rFonts w:hint="eastAsia" w:ascii="彩虹粗仿宋" w:hAnsi="宋体" w:eastAsia="彩虹粗仿宋"/>
          <w:sz w:val="28"/>
          <w:szCs w:val="28"/>
          <w:lang w:val="en-US" w:eastAsia="zh-CN"/>
        </w:rPr>
        <w:t>3</w:t>
      </w:r>
      <w:r>
        <w:rPr>
          <w:rFonts w:hint="eastAsia" w:ascii="彩虹粗仿宋" w:hAnsi="宋体" w:eastAsia="彩虹粗仿宋"/>
          <w:sz w:val="28"/>
          <w:szCs w:val="28"/>
          <w:lang w:eastAsia="zh-CN"/>
        </w:rPr>
        <w:t>）供应商出具加盖公司公章的《项目沟通完成情况说明》，并经</w:t>
      </w:r>
      <w:r>
        <w:rPr>
          <w:rFonts w:hint="eastAsia" w:ascii="彩虹粗仿宋" w:hAnsi="宋体" w:eastAsia="彩虹粗仿宋"/>
          <w:sz w:val="28"/>
          <w:szCs w:val="28"/>
          <w:lang w:val="en-US" w:eastAsia="zh-CN"/>
        </w:rPr>
        <w:t>宜丰县住建局</w:t>
      </w:r>
      <w:r>
        <w:rPr>
          <w:rFonts w:hint="eastAsia" w:ascii="彩虹粗仿宋" w:hAnsi="宋体" w:eastAsia="彩虹粗仿宋"/>
          <w:sz w:val="28"/>
          <w:szCs w:val="28"/>
          <w:lang w:eastAsia="zh-CN"/>
        </w:rPr>
        <w:t>盖章认可。内容包括但不限于：承诺提供的产品能够全部免费适配及兼容</w:t>
      </w:r>
      <w:r>
        <w:rPr>
          <w:rFonts w:hint="eastAsia" w:ascii="彩虹粗仿宋" w:hAnsi="宋体" w:eastAsia="彩虹粗仿宋"/>
          <w:sz w:val="28"/>
          <w:szCs w:val="28"/>
          <w:lang w:val="en-US" w:eastAsia="zh-CN"/>
        </w:rPr>
        <w:t>宜丰县住建局</w:t>
      </w:r>
      <w:r>
        <w:rPr>
          <w:rFonts w:hint="eastAsia" w:ascii="彩虹粗仿宋" w:hAnsi="宋体" w:eastAsia="彩虹粗仿宋"/>
          <w:sz w:val="28"/>
          <w:szCs w:val="28"/>
          <w:lang w:eastAsia="zh-CN"/>
        </w:rPr>
        <w:t>现有</w:t>
      </w:r>
      <w:r>
        <w:rPr>
          <w:rFonts w:hint="eastAsia" w:ascii="彩虹粗仿宋" w:hAnsi="宋体" w:eastAsia="彩虹粗仿宋"/>
          <w:sz w:val="28"/>
          <w:szCs w:val="28"/>
          <w:lang w:val="en-US" w:eastAsia="zh-CN"/>
        </w:rPr>
        <w:t>宜丰住建局预售资金监管</w:t>
      </w:r>
      <w:r>
        <w:rPr>
          <w:rFonts w:hint="eastAsia" w:ascii="彩虹粗仿宋" w:hAnsi="宋体" w:eastAsia="彩虹粗仿宋"/>
          <w:sz w:val="28"/>
          <w:szCs w:val="28"/>
          <w:lang w:eastAsia="zh-CN"/>
        </w:rPr>
        <w:t>系统、供应商报名前已经与</w:t>
      </w:r>
      <w:r>
        <w:rPr>
          <w:rFonts w:hint="eastAsia" w:ascii="彩虹粗仿宋" w:hAnsi="宋体" w:eastAsia="彩虹粗仿宋"/>
          <w:sz w:val="28"/>
          <w:szCs w:val="28"/>
          <w:lang w:val="en-US" w:eastAsia="zh-CN"/>
        </w:rPr>
        <w:t>宜丰县住建局</w:t>
      </w:r>
      <w:r>
        <w:rPr>
          <w:rFonts w:hint="eastAsia" w:ascii="彩虹粗仿宋" w:hAnsi="宋体" w:eastAsia="彩虹粗仿宋"/>
          <w:sz w:val="28"/>
          <w:szCs w:val="28"/>
          <w:lang w:eastAsia="zh-CN"/>
        </w:rPr>
        <w:t>沟通本项目建设内容，充分了解</w:t>
      </w:r>
      <w:r>
        <w:rPr>
          <w:rFonts w:hint="eastAsia" w:ascii="彩虹粗仿宋" w:hAnsi="宋体" w:eastAsia="彩虹粗仿宋"/>
          <w:sz w:val="28"/>
          <w:szCs w:val="28"/>
          <w:lang w:val="en-US" w:eastAsia="zh-CN"/>
        </w:rPr>
        <w:t>宜丰县住建局</w:t>
      </w:r>
      <w:r>
        <w:rPr>
          <w:rFonts w:hint="eastAsia" w:ascii="彩虹粗仿宋" w:hAnsi="宋体" w:eastAsia="彩虹粗仿宋"/>
          <w:sz w:val="28"/>
          <w:szCs w:val="28"/>
          <w:lang w:eastAsia="zh-CN"/>
        </w:rPr>
        <w:t>实际采购需求，公司有能力满足项目整体建设需求。</w:t>
      </w:r>
    </w:p>
    <w:p>
      <w:pPr>
        <w:adjustRightInd w:val="0"/>
        <w:snapToGrid w:val="0"/>
        <w:spacing w:line="560" w:lineRule="atLeast"/>
        <w:ind w:firstLine="562" w:firstLineChars="200"/>
        <w:jc w:val="left"/>
        <w:rPr>
          <w:rFonts w:hint="eastAsia" w:ascii="彩虹粗仿宋" w:hAnsi="彩虹粗仿宋" w:eastAsia="彩虹粗仿宋" w:cs="彩虹粗仿宋"/>
          <w:b/>
          <w:bCs w:val="0"/>
          <w:sz w:val="28"/>
          <w:szCs w:val="28"/>
          <w:lang w:eastAsia="zh-CN"/>
        </w:rPr>
      </w:pPr>
      <w:r>
        <w:rPr>
          <w:rFonts w:hint="eastAsia" w:ascii="彩虹粗仿宋" w:hAnsi="宋体" w:eastAsia="彩虹粗仿宋"/>
          <w:b/>
          <w:bCs w:val="0"/>
          <w:sz w:val="28"/>
          <w:szCs w:val="28"/>
        </w:rPr>
        <w:t>二、功能要求，包括功能说明、功能模块列表等，数量要求，包</w:t>
      </w:r>
      <w:r>
        <w:rPr>
          <w:rFonts w:hint="eastAsia" w:ascii="彩虹粗仿宋" w:hAnsi="宋体" w:eastAsia="彩虹粗仿宋"/>
          <w:b/>
          <w:bCs w:val="0"/>
          <w:sz w:val="28"/>
          <w:szCs w:val="28"/>
          <w:lang w:eastAsia="zh-CN"/>
        </w:rPr>
        <w:t>括套数、用户数、版本等：</w:t>
      </w:r>
    </w:p>
    <w:p>
      <w:pPr>
        <w:adjustRightInd w:val="0"/>
        <w:snapToGrid w:val="0"/>
        <w:spacing w:line="560" w:lineRule="atLeast"/>
        <w:ind w:firstLine="560" w:firstLineChars="200"/>
        <w:jc w:val="left"/>
        <w:rPr>
          <w:rFonts w:hint="eastAsia" w:ascii="彩虹粗仿宋" w:hAnsi="彩虹粗仿宋" w:eastAsia="彩虹粗仿宋" w:cs="彩虹粗仿宋"/>
          <w:sz w:val="28"/>
          <w:szCs w:val="28"/>
          <w:lang w:eastAsia="zh-CN"/>
        </w:rPr>
      </w:pPr>
      <w:r>
        <w:rPr>
          <w:rFonts w:hint="eastAsia" w:ascii="彩虹粗仿宋" w:hAnsi="彩虹粗仿宋" w:eastAsia="彩虹粗仿宋" w:cs="彩虹粗仿宋"/>
          <w:sz w:val="28"/>
          <w:szCs w:val="28"/>
          <w:lang w:eastAsia="zh-CN"/>
        </w:rPr>
        <w:t>宜丰县住建局按照宜春市最新预售资</w:t>
      </w:r>
      <w:r>
        <w:rPr>
          <w:rFonts w:hint="eastAsia" w:ascii="彩虹粗仿宋" w:hAnsi="彩虹粗仿宋" w:eastAsia="彩虹粗仿宋" w:cs="彩虹粗仿宋"/>
          <w:sz w:val="28"/>
          <w:szCs w:val="28"/>
          <w:lang w:val="en-US" w:eastAsia="zh-CN"/>
        </w:rPr>
        <w:t>金</w:t>
      </w:r>
      <w:r>
        <w:rPr>
          <w:rFonts w:hint="eastAsia" w:ascii="彩虹粗仿宋" w:hAnsi="彩虹粗仿宋" w:eastAsia="彩虹粗仿宋" w:cs="彩虹粗仿宋"/>
          <w:sz w:val="28"/>
          <w:szCs w:val="28"/>
          <w:lang w:eastAsia="zh-CN"/>
        </w:rPr>
        <w:t>监管办法对商品房预售资</w:t>
      </w:r>
      <w:r>
        <w:rPr>
          <w:rFonts w:hint="eastAsia" w:ascii="彩虹粗仿宋" w:hAnsi="彩虹粗仿宋" w:eastAsia="彩虹粗仿宋" w:cs="彩虹粗仿宋"/>
          <w:sz w:val="28"/>
          <w:szCs w:val="28"/>
          <w:lang w:val="en-US" w:eastAsia="zh-CN"/>
        </w:rPr>
        <w:t>金</w:t>
      </w:r>
      <w:r>
        <w:rPr>
          <w:rFonts w:hint="eastAsia" w:ascii="彩虹粗仿宋" w:hAnsi="彩虹粗仿宋" w:eastAsia="彩虹粗仿宋" w:cs="彩虹粗仿宋"/>
          <w:sz w:val="28"/>
          <w:szCs w:val="28"/>
          <w:lang w:eastAsia="zh-CN"/>
        </w:rPr>
        <w:t>监管系统进⾏升级改造。改造后，要实现宜丰县新建商品房预售监管资金的缴存、对账、拨付、网签备案等各项功能的优化，通过建设数据交换平台，实现预售监管资金账户的银行业务结算实时联网，同步监管账户数据。主要涵盖对应的预售资</w:t>
      </w:r>
      <w:r>
        <w:rPr>
          <w:rFonts w:hint="eastAsia" w:ascii="彩虹粗仿宋" w:hAnsi="彩虹粗仿宋" w:eastAsia="彩虹粗仿宋" w:cs="彩虹粗仿宋"/>
          <w:sz w:val="28"/>
          <w:szCs w:val="28"/>
          <w:lang w:val="en-US" w:eastAsia="zh-CN"/>
        </w:rPr>
        <w:t>金</w:t>
      </w:r>
      <w:r>
        <w:rPr>
          <w:rFonts w:hint="eastAsia" w:ascii="彩虹粗仿宋" w:hAnsi="彩虹粗仿宋" w:eastAsia="彩虹粗仿宋" w:cs="彩虹粗仿宋"/>
          <w:sz w:val="28"/>
          <w:szCs w:val="28"/>
          <w:lang w:eastAsia="zh-CN"/>
        </w:rPr>
        <w:t>监管专</w:t>
      </w:r>
      <w:r>
        <w:rPr>
          <w:rFonts w:hint="eastAsia" w:ascii="彩虹粗仿宋" w:hAnsi="彩虹粗仿宋" w:eastAsia="彩虹粗仿宋" w:cs="彩虹粗仿宋"/>
          <w:sz w:val="28"/>
          <w:szCs w:val="28"/>
          <w:lang w:val="en-US" w:eastAsia="zh-CN"/>
        </w:rPr>
        <w:t>用</w:t>
      </w:r>
      <w:r>
        <w:rPr>
          <w:rFonts w:hint="eastAsia" w:ascii="彩虹粗仿宋" w:hAnsi="彩虹粗仿宋" w:eastAsia="彩虹粗仿宋" w:cs="彩虹粗仿宋"/>
          <w:sz w:val="28"/>
          <w:szCs w:val="28"/>
          <w:lang w:eastAsia="zh-CN"/>
        </w:rPr>
        <w:t>POS机缴费、银⾏卡转账缴费、账单发送、缴费信息接收、拨付信息</w:t>
      </w:r>
      <w:r>
        <w:rPr>
          <w:rFonts w:hint="eastAsia" w:ascii="彩虹粗仿宋" w:hAnsi="彩虹粗仿宋" w:eastAsia="彩虹粗仿宋" w:cs="彩虹粗仿宋"/>
          <w:sz w:val="28"/>
          <w:szCs w:val="28"/>
          <w:lang w:val="en-US" w:eastAsia="zh-CN"/>
        </w:rPr>
        <w:t>自</w:t>
      </w:r>
      <w:r>
        <w:rPr>
          <w:rFonts w:hint="eastAsia" w:ascii="彩虹粗仿宋" w:hAnsi="彩虹粗仿宋" w:eastAsia="彩虹粗仿宋" w:cs="彩虹粗仿宋"/>
          <w:sz w:val="28"/>
          <w:szCs w:val="28"/>
          <w:lang w:eastAsia="zh-CN"/>
        </w:rPr>
        <w:t>动发送银⾏柜</w:t>
      </w:r>
      <w:r>
        <w:rPr>
          <w:rFonts w:hint="eastAsia" w:ascii="彩虹粗仿宋" w:hAnsi="彩虹粗仿宋" w:eastAsia="彩虹粗仿宋" w:cs="彩虹粗仿宋"/>
          <w:sz w:val="28"/>
          <w:szCs w:val="28"/>
          <w:lang w:val="en-US" w:eastAsia="zh-CN"/>
        </w:rPr>
        <w:t>面</w:t>
      </w:r>
      <w:r>
        <w:rPr>
          <w:rFonts w:hint="eastAsia" w:ascii="彩虹粗仿宋" w:hAnsi="彩虹粗仿宋" w:eastAsia="彩虹粗仿宋" w:cs="彩虹粗仿宋"/>
          <w:sz w:val="28"/>
          <w:szCs w:val="28"/>
          <w:lang w:eastAsia="zh-CN"/>
        </w:rPr>
        <w:t>系统，</w:t>
      </w:r>
      <w:r>
        <w:rPr>
          <w:rFonts w:hint="eastAsia" w:ascii="彩虹粗仿宋" w:hAnsi="彩虹粗仿宋" w:eastAsia="彩虹粗仿宋" w:cs="彩虹粗仿宋"/>
          <w:sz w:val="28"/>
          <w:szCs w:val="28"/>
          <w:lang w:val="en-US" w:eastAsia="zh-CN"/>
        </w:rPr>
        <w:t>自</w:t>
      </w:r>
      <w:r>
        <w:rPr>
          <w:rFonts w:hint="eastAsia" w:ascii="彩虹粗仿宋" w:hAnsi="彩虹粗仿宋" w:eastAsia="彩虹粗仿宋" w:cs="彩虹粗仿宋"/>
          <w:sz w:val="28"/>
          <w:szCs w:val="28"/>
          <w:lang w:eastAsia="zh-CN"/>
        </w:rPr>
        <w:t>动</w:t>
      </w:r>
      <w:r>
        <w:rPr>
          <w:rFonts w:hint="eastAsia" w:ascii="彩虹粗仿宋" w:hAnsi="彩虹粗仿宋" w:eastAsia="彩虹粗仿宋" w:cs="彩虹粗仿宋"/>
          <w:sz w:val="28"/>
          <w:szCs w:val="28"/>
          <w:lang w:val="en-US" w:eastAsia="zh-CN"/>
        </w:rPr>
        <w:t>生</w:t>
      </w:r>
      <w:r>
        <w:rPr>
          <w:rFonts w:hint="eastAsia" w:ascii="彩虹粗仿宋" w:hAnsi="彩虹粗仿宋" w:eastAsia="彩虹粗仿宋" w:cs="彩虹粗仿宋"/>
          <w:sz w:val="28"/>
          <w:szCs w:val="28"/>
          <w:lang w:eastAsia="zh-CN"/>
        </w:rPr>
        <w:t>成交易账单。</w:t>
      </w:r>
    </w:p>
    <w:p>
      <w:pPr>
        <w:adjustRightInd w:val="0"/>
        <w:snapToGrid w:val="0"/>
        <w:spacing w:line="560" w:lineRule="atLeast"/>
        <w:ind w:firstLine="560" w:firstLineChars="200"/>
        <w:jc w:val="left"/>
        <w:rPr>
          <w:rFonts w:hint="eastAsia" w:ascii="彩虹粗仿宋" w:hAnsi="彩虹粗仿宋" w:eastAsia="彩虹粗仿宋" w:cs="彩虹粗仿宋"/>
          <w:sz w:val="28"/>
          <w:szCs w:val="28"/>
          <w:lang w:eastAsia="zh-CN"/>
        </w:rPr>
      </w:pPr>
      <w:r>
        <w:rPr>
          <w:rFonts w:hint="eastAsia" w:ascii="彩虹粗仿宋" w:hAnsi="彩虹粗仿宋" w:eastAsia="彩虹粗仿宋" w:cs="彩虹粗仿宋"/>
          <w:sz w:val="28"/>
          <w:szCs w:val="28"/>
          <w:lang w:eastAsia="zh-CN"/>
        </w:rPr>
        <w:t>功能说明：开发数据交互平台与监管银行实时交互数据。采用 Socket 通讯、多线程、FTP、Web Service 等主流技术构建的数据交换平台，制定统一的数据交换标准接口，实现资金监管部门与监管银行的数据实时交互。数据交换平台负责在线应答各大监管银行的资金缴存信息、资金拨付信息、数据更新、对账单上传等业务操作，同时实现监管银行的账户数据和资金监管系统中的账户数据实时同步。</w:t>
      </w:r>
    </w:p>
    <w:p>
      <w:pPr>
        <w:adjustRightInd w:val="0"/>
        <w:snapToGrid w:val="0"/>
        <w:spacing w:line="360" w:lineRule="auto"/>
        <w:ind w:firstLine="560" w:firstLineChars="200"/>
        <w:rPr>
          <w:rFonts w:hint="eastAsia" w:ascii="彩虹粗仿宋" w:hAnsi="宋体" w:eastAsia="彩虹粗仿宋"/>
          <w:sz w:val="28"/>
          <w:szCs w:val="28"/>
          <w:lang w:eastAsia="zh-CN"/>
        </w:rPr>
      </w:pPr>
      <w:r>
        <w:rPr>
          <w:rFonts w:hint="eastAsia" w:ascii="彩虹粗仿宋" w:hAnsi="宋体" w:eastAsia="彩虹粗仿宋"/>
          <w:sz w:val="28"/>
          <w:szCs w:val="28"/>
          <w:lang w:eastAsia="zh-CN"/>
        </w:rPr>
        <w:t>接口事件</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4"/>
        <w:gridCol w:w="2662"/>
        <w:gridCol w:w="1740"/>
        <w:gridCol w:w="1695"/>
        <w:gridCol w:w="1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序号</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事件</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发起方</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接收方</w:t>
            </w:r>
          </w:p>
        </w:tc>
        <w:tc>
          <w:tcPr>
            <w:tcW w:w="1261"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01</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应缴资金查询</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261" w:type="dxa"/>
          </w:tcPr>
          <w:p>
            <w:pPr>
              <w:adjustRightInd w:val="0"/>
              <w:snapToGrid w:val="0"/>
              <w:spacing w:line="360" w:lineRule="auto"/>
              <w:ind w:firstLine="420" w:firstLineChars="20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02</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监管资金缴存确认</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261" w:type="dxa"/>
          </w:tcPr>
          <w:p>
            <w:pPr>
              <w:adjustRightInd w:val="0"/>
              <w:snapToGrid w:val="0"/>
              <w:spacing w:line="360" w:lineRule="auto"/>
              <w:ind w:firstLine="420" w:firstLineChars="20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03</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应付资金查询</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261" w:type="dxa"/>
          </w:tcPr>
          <w:p>
            <w:pPr>
              <w:adjustRightInd w:val="0"/>
              <w:snapToGrid w:val="0"/>
              <w:spacing w:line="360" w:lineRule="auto"/>
              <w:ind w:firstLine="420" w:firstLineChars="20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04</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监管资金支付确认</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261" w:type="dxa"/>
          </w:tcPr>
          <w:p>
            <w:pPr>
              <w:adjustRightInd w:val="0"/>
              <w:snapToGrid w:val="0"/>
              <w:spacing w:line="360" w:lineRule="auto"/>
              <w:ind w:firstLine="420" w:firstLineChars="20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05</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退票确认</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261" w:type="dxa"/>
          </w:tcPr>
          <w:p>
            <w:pPr>
              <w:adjustRightInd w:val="0"/>
              <w:snapToGrid w:val="0"/>
              <w:spacing w:line="360" w:lineRule="auto"/>
              <w:ind w:firstLine="420" w:firstLineChars="20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06</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监管账户状态查询</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261" w:type="dxa"/>
          </w:tcPr>
          <w:p>
            <w:pPr>
              <w:adjustRightInd w:val="0"/>
              <w:snapToGrid w:val="0"/>
              <w:spacing w:line="360" w:lineRule="auto"/>
              <w:ind w:firstLine="420" w:firstLineChars="20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07</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银行冻结监管账户确认</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261" w:type="dxa"/>
          </w:tcPr>
          <w:p>
            <w:pPr>
              <w:adjustRightInd w:val="0"/>
              <w:snapToGrid w:val="0"/>
              <w:spacing w:line="360" w:lineRule="auto"/>
              <w:ind w:firstLine="420" w:firstLineChars="20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08</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银行解冻监管账户确认</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261" w:type="dxa"/>
          </w:tcPr>
          <w:p>
            <w:pPr>
              <w:adjustRightInd w:val="0"/>
              <w:snapToGrid w:val="0"/>
              <w:spacing w:line="360" w:lineRule="auto"/>
              <w:ind w:firstLine="420" w:firstLineChars="20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09</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监管中心限制监管账户确认</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261" w:type="dxa"/>
          </w:tcPr>
          <w:p>
            <w:pPr>
              <w:adjustRightInd w:val="0"/>
              <w:snapToGrid w:val="0"/>
              <w:spacing w:line="360" w:lineRule="auto"/>
              <w:ind w:firstLine="420" w:firstLineChars="20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10</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监管中心解冻监管账户确认</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261" w:type="dxa"/>
          </w:tcPr>
          <w:p>
            <w:pPr>
              <w:adjustRightInd w:val="0"/>
              <w:snapToGrid w:val="0"/>
              <w:spacing w:line="360" w:lineRule="auto"/>
              <w:ind w:firstLine="420" w:firstLineChars="20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11</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监管状态告知</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261" w:type="dxa"/>
          </w:tcPr>
          <w:p>
            <w:pPr>
              <w:adjustRightInd w:val="0"/>
              <w:snapToGrid w:val="0"/>
              <w:spacing w:line="360" w:lineRule="auto"/>
              <w:ind w:firstLine="420" w:firstLineChars="20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12</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接收不明款</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261" w:type="dxa"/>
          </w:tcPr>
          <w:p>
            <w:pPr>
              <w:adjustRightInd w:val="0"/>
              <w:snapToGrid w:val="0"/>
              <w:spacing w:line="360" w:lineRule="auto"/>
              <w:ind w:firstLine="420" w:firstLineChars="20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13</w:t>
            </w:r>
          </w:p>
        </w:tc>
        <w:tc>
          <w:tcPr>
            <w:tcW w:w="2662"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监管账户余额查询</w:t>
            </w:r>
          </w:p>
        </w:tc>
        <w:tc>
          <w:tcPr>
            <w:tcW w:w="1740"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监管机构</w:t>
            </w:r>
          </w:p>
        </w:tc>
        <w:tc>
          <w:tcPr>
            <w:tcW w:w="1695" w:type="dxa"/>
          </w:tcPr>
          <w:p>
            <w:pPr>
              <w:adjustRightInd w:val="0"/>
              <w:snapToGrid w:val="0"/>
              <w:spacing w:line="360" w:lineRule="auto"/>
              <w:ind w:firstLine="420" w:firstLineChars="200"/>
              <w:rPr>
                <w:sz w:val="21"/>
                <w:szCs w:val="21"/>
              </w:rPr>
            </w:pPr>
            <w:r>
              <w:rPr>
                <w:rFonts w:hint="eastAsia" w:ascii="彩虹粗仿宋" w:hAnsi="宋体" w:eastAsia="彩虹粗仿宋"/>
                <w:sz w:val="21"/>
                <w:szCs w:val="21"/>
                <w:lang w:eastAsia="zh-CN"/>
              </w:rPr>
              <w:t>金融机构</w:t>
            </w:r>
          </w:p>
        </w:tc>
        <w:tc>
          <w:tcPr>
            <w:tcW w:w="1261" w:type="dxa"/>
          </w:tcPr>
          <w:p>
            <w:pPr>
              <w:adjustRightInd w:val="0"/>
              <w:snapToGrid w:val="0"/>
              <w:spacing w:line="360" w:lineRule="auto"/>
              <w:ind w:firstLine="420" w:firstLineChars="200"/>
              <w:rPr>
                <w:sz w:val="21"/>
                <w:szCs w:val="21"/>
              </w:rPr>
            </w:pPr>
          </w:p>
        </w:tc>
      </w:tr>
    </w:tbl>
    <w:p>
      <w:pPr>
        <w:adjustRightInd w:val="0"/>
        <w:snapToGrid w:val="0"/>
        <w:spacing w:line="360" w:lineRule="auto"/>
        <w:rPr>
          <w:rFonts w:ascii="彩虹粗仿宋" w:hAnsi="宋体" w:eastAsia="彩虹粗仿宋"/>
          <w:sz w:val="32"/>
          <w:szCs w:val="32"/>
        </w:rPr>
      </w:pPr>
    </w:p>
    <w:p>
      <w:pPr>
        <w:adjustRightInd w:val="0"/>
        <w:snapToGrid w:val="0"/>
        <w:spacing w:line="360" w:lineRule="auto"/>
        <w:ind w:firstLine="562" w:firstLineChars="200"/>
        <w:rPr>
          <w:rFonts w:ascii="彩虹粗仿宋" w:hAnsi="宋体" w:eastAsia="彩虹粗仿宋"/>
          <w:b/>
          <w:sz w:val="28"/>
          <w:szCs w:val="28"/>
        </w:rPr>
      </w:pPr>
      <w:r>
        <w:rPr>
          <w:rFonts w:hint="eastAsia" w:ascii="彩虹粗仿宋" w:hAnsi="宋体" w:eastAsia="彩虹粗仿宋"/>
          <w:b/>
          <w:sz w:val="28"/>
          <w:szCs w:val="28"/>
        </w:rPr>
        <w:t>三、技术要求：</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1.平台支持要求：</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web服务器操作系统：Windows Server 2008或更高版本。</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浏览器要求：推荐IE系列（最低IE8）浏览器。</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2.完整性和独立性要求：</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产品供应商应提供制造商原装、全新的、无侵权、符合国家及用户提出的有关质量标准的产品，产品质量符合国家和行业标准要求。</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软件应符合中国政府颁布的产品、质量、技术、安全标准及环保标准。</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3.性能要求。</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延迟：本系统所有精确性操作的响应时间不能超过1秒，模糊性操作响应时间不超过5秒；</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并发量：支持同时在线操作用户不少于100个；</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容量：本系统最多可容纳1,000,000条数据的查询；</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吞吐量：支持每周不少于10,000笔接口查询业务；</w:t>
      </w:r>
    </w:p>
    <w:p>
      <w:pPr>
        <w:adjustRightInd w:val="0"/>
        <w:snapToGrid w:val="0"/>
        <w:spacing w:line="360" w:lineRule="auto"/>
        <w:ind w:firstLine="562" w:firstLineChars="200"/>
        <w:rPr>
          <w:rFonts w:hint="eastAsia" w:ascii="彩虹粗仿宋" w:hAnsi="宋体" w:eastAsia="彩虹粗仿宋"/>
          <w:b/>
          <w:sz w:val="28"/>
          <w:szCs w:val="28"/>
          <w:lang w:eastAsia="zh-CN"/>
        </w:rPr>
      </w:pPr>
      <w:r>
        <w:rPr>
          <w:rFonts w:hint="eastAsia" w:ascii="彩虹粗仿宋" w:hAnsi="宋体" w:eastAsia="彩虹粗仿宋"/>
          <w:b/>
          <w:sz w:val="28"/>
          <w:szCs w:val="28"/>
        </w:rPr>
        <w:t>四、到货日期及验收标准等</w:t>
      </w:r>
      <w:r>
        <w:rPr>
          <w:rFonts w:hint="eastAsia" w:ascii="彩虹粗仿宋" w:hAnsi="宋体" w:eastAsia="彩虹粗仿宋"/>
          <w:b/>
          <w:sz w:val="28"/>
          <w:szCs w:val="28"/>
          <w:lang w:eastAsia="zh-CN"/>
        </w:rPr>
        <w:t>：</w:t>
      </w:r>
    </w:p>
    <w:p>
      <w:pPr>
        <w:adjustRightInd w:val="0"/>
        <w:snapToGrid w:val="0"/>
        <w:spacing w:line="360" w:lineRule="auto"/>
        <w:ind w:firstLine="560" w:firstLineChars="200"/>
        <w:rPr>
          <w:rFonts w:hint="eastAsia" w:ascii="彩虹粗仿宋" w:hAnsi="宋体" w:eastAsia="彩虹粗仿宋"/>
          <w:sz w:val="28"/>
          <w:szCs w:val="28"/>
          <w:lang w:eastAsia="zh-CN"/>
        </w:rPr>
      </w:pPr>
      <w:r>
        <w:rPr>
          <w:rFonts w:hint="eastAsia" w:ascii="彩虹粗仿宋" w:hAnsi="宋体" w:eastAsia="彩虹粗仿宋"/>
          <w:sz w:val="28"/>
          <w:szCs w:val="28"/>
        </w:rPr>
        <w:t>交货时间：合同签订之日起</w:t>
      </w:r>
      <w:r>
        <w:rPr>
          <w:rFonts w:hint="eastAsia" w:ascii="彩虹粗仿宋" w:hAnsi="宋体" w:eastAsia="彩虹粗仿宋"/>
          <w:sz w:val="28"/>
          <w:szCs w:val="28"/>
          <w:lang w:val="en-US" w:eastAsia="zh-CN"/>
        </w:rPr>
        <w:t>60</w:t>
      </w:r>
      <w:r>
        <w:rPr>
          <w:rFonts w:hint="eastAsia" w:ascii="彩虹粗仿宋" w:hAnsi="宋体" w:eastAsia="彩虹粗仿宋"/>
          <w:sz w:val="28"/>
          <w:szCs w:val="28"/>
        </w:rPr>
        <w:t>个日历内完成软件开发、供货、安装、调试、上线及正式交付使用，并完成项目的验收工作。如因我方原因（如没有开发系统可接入本系统或在接入本系统通讯测试中不配合工作）无法接入该系统，系统使用时间则按实际情况协商</w:t>
      </w:r>
      <w:r>
        <w:rPr>
          <w:rFonts w:hint="eastAsia" w:ascii="彩虹粗仿宋" w:hAnsi="宋体" w:eastAsia="彩虹粗仿宋"/>
          <w:sz w:val="28"/>
          <w:szCs w:val="28"/>
          <w:lang w:eastAsia="zh-CN"/>
        </w:rPr>
        <w:t>。</w:t>
      </w:r>
    </w:p>
    <w:p>
      <w:pPr>
        <w:adjustRightInd w:val="0"/>
        <w:snapToGrid w:val="0"/>
        <w:spacing w:line="360" w:lineRule="auto"/>
        <w:ind w:firstLine="560" w:firstLineChars="200"/>
        <w:rPr>
          <w:rFonts w:hint="eastAsia" w:ascii="彩虹粗仿宋" w:hAnsi="宋体" w:eastAsia="彩虹粗仿宋"/>
          <w:sz w:val="28"/>
          <w:szCs w:val="28"/>
        </w:rPr>
      </w:pPr>
      <w:r>
        <w:rPr>
          <w:rFonts w:hint="eastAsia" w:ascii="彩虹粗仿宋" w:hAnsi="宋体" w:eastAsia="彩虹粗仿宋"/>
          <w:sz w:val="28"/>
          <w:szCs w:val="28"/>
        </w:rPr>
        <w:t>项目供应商负责产品的安装部署服务。项目供应商将委派经验丰富的项目经理，现场完成产品的安装调试工作，并确保该产品的安装和运行合格。试运行</w:t>
      </w:r>
      <w:r>
        <w:rPr>
          <w:rFonts w:hint="eastAsia" w:ascii="彩虹粗仿宋" w:hAnsi="宋体" w:eastAsia="彩虹粗仿宋"/>
          <w:sz w:val="28"/>
          <w:szCs w:val="28"/>
          <w:lang w:val="en-US" w:eastAsia="zh-CN"/>
        </w:rPr>
        <w:t>5</w:t>
      </w:r>
      <w:r>
        <w:rPr>
          <w:rFonts w:hint="eastAsia" w:ascii="彩虹粗仿宋" w:hAnsi="宋体" w:eastAsia="彩虹粗仿宋"/>
          <w:sz w:val="28"/>
          <w:szCs w:val="28"/>
        </w:rPr>
        <w:t>个工作日</w:t>
      </w:r>
      <w:r>
        <w:rPr>
          <w:rFonts w:hint="eastAsia" w:ascii="彩虹粗仿宋" w:hAnsi="宋体" w:eastAsia="彩虹粗仿宋"/>
          <w:sz w:val="28"/>
          <w:szCs w:val="28"/>
          <w:lang w:eastAsia="zh-CN"/>
        </w:rPr>
        <w:t>以上</w:t>
      </w:r>
      <w:r>
        <w:rPr>
          <w:rFonts w:hint="eastAsia" w:ascii="彩虹粗仿宋" w:hAnsi="宋体" w:eastAsia="彩虹粗仿宋"/>
          <w:sz w:val="28"/>
          <w:szCs w:val="28"/>
        </w:rPr>
        <w:t>，使用正常后，经供应商提请，由我方和</w:t>
      </w:r>
      <w:r>
        <w:rPr>
          <w:rFonts w:hint="eastAsia" w:ascii="彩虹粗仿宋" w:hAnsi="宋体" w:eastAsia="彩虹粗仿宋"/>
          <w:sz w:val="28"/>
          <w:szCs w:val="28"/>
          <w:lang w:eastAsia="zh-CN"/>
        </w:rPr>
        <w:t>宜丰</w:t>
      </w:r>
      <w:r>
        <w:rPr>
          <w:rFonts w:hint="eastAsia" w:ascii="彩虹粗仿宋" w:hAnsi="宋体" w:eastAsia="彩虹粗仿宋"/>
          <w:sz w:val="28"/>
          <w:szCs w:val="28"/>
        </w:rPr>
        <w:t>县住建局组织相关人员完成合同验收。</w:t>
      </w:r>
    </w:p>
    <w:p>
      <w:pPr>
        <w:adjustRightInd w:val="0"/>
        <w:snapToGrid w:val="0"/>
        <w:spacing w:line="360" w:lineRule="auto"/>
        <w:ind w:firstLine="562" w:firstLineChars="200"/>
        <w:rPr>
          <w:rFonts w:hint="eastAsia" w:ascii="彩虹粗仿宋" w:hAnsi="宋体" w:eastAsia="彩虹粗仿宋"/>
          <w:b/>
          <w:sz w:val="28"/>
          <w:szCs w:val="28"/>
          <w:lang w:eastAsia="zh-CN"/>
        </w:rPr>
      </w:pPr>
      <w:r>
        <w:rPr>
          <w:rFonts w:hint="eastAsia" w:ascii="彩虹粗仿宋" w:hAnsi="宋体" w:eastAsia="彩虹粗仿宋"/>
          <w:b/>
          <w:sz w:val="28"/>
          <w:szCs w:val="28"/>
        </w:rPr>
        <w:t>五、后续服务要求</w:t>
      </w:r>
      <w:r>
        <w:rPr>
          <w:rFonts w:hint="eastAsia" w:ascii="彩虹粗仿宋" w:hAnsi="宋体" w:eastAsia="彩虹粗仿宋"/>
          <w:b/>
          <w:sz w:val="28"/>
          <w:szCs w:val="28"/>
          <w:lang w:eastAsia="zh-CN"/>
        </w:rPr>
        <w:t>：</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从合同验收完成日起项目供应商继续提供以下技术维护服务。</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(1)供应商确保软件系统使用功能符合我方和</w:t>
      </w:r>
      <w:r>
        <w:rPr>
          <w:rFonts w:hint="eastAsia" w:ascii="彩虹粗仿宋" w:hAnsi="宋体" w:eastAsia="彩虹粗仿宋"/>
          <w:sz w:val="28"/>
          <w:szCs w:val="28"/>
          <w:lang w:eastAsia="zh-CN"/>
        </w:rPr>
        <w:t>宜丰</w:t>
      </w:r>
      <w:r>
        <w:rPr>
          <w:rFonts w:hint="eastAsia" w:ascii="彩虹粗仿宋" w:hAnsi="宋体" w:eastAsia="彩虹粗仿宋"/>
          <w:sz w:val="28"/>
          <w:szCs w:val="28"/>
        </w:rPr>
        <w:t>县住建局要求。</w:t>
      </w:r>
    </w:p>
    <w:p>
      <w:pPr>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(2)</w:t>
      </w:r>
      <w:r>
        <w:rPr>
          <w:rFonts w:hint="eastAsia" w:ascii="彩虹粗仿宋" w:hAnsi="宋体" w:eastAsia="彩虹粗仿宋"/>
          <w:sz w:val="28"/>
          <w:szCs w:val="28"/>
          <w:lang w:eastAsia="zh-CN"/>
        </w:rPr>
        <w:t>宜丰</w:t>
      </w:r>
      <w:r>
        <w:rPr>
          <w:rFonts w:hint="eastAsia" w:ascii="彩虹粗仿宋" w:hAnsi="宋体" w:eastAsia="彩虹粗仿宋"/>
          <w:sz w:val="28"/>
          <w:szCs w:val="28"/>
        </w:rPr>
        <w:t>县住建局在使用系统的过程中，如果系统存在缺陷性问题，供应商无条件负责修复。</w:t>
      </w:r>
    </w:p>
    <w:p>
      <w:pPr>
        <w:adjustRightInd w:val="0"/>
        <w:snapToGrid w:val="0"/>
        <w:spacing w:line="360" w:lineRule="auto"/>
        <w:ind w:firstLine="560" w:firstLineChars="200"/>
        <w:rPr>
          <w:rFonts w:hint="eastAsia" w:ascii="彩虹粗仿宋" w:hAnsi="宋体" w:eastAsia="彩虹粗仿宋"/>
          <w:sz w:val="28"/>
          <w:szCs w:val="28"/>
        </w:rPr>
      </w:pPr>
      <w:r>
        <w:rPr>
          <w:rFonts w:hint="eastAsia" w:ascii="彩虹粗仿宋" w:hAnsi="宋体" w:eastAsia="彩虹粗仿宋"/>
          <w:sz w:val="28"/>
          <w:szCs w:val="28"/>
        </w:rPr>
        <w:t>(3)为</w:t>
      </w:r>
      <w:r>
        <w:rPr>
          <w:rFonts w:hint="eastAsia" w:ascii="彩虹粗仿宋" w:hAnsi="宋体" w:eastAsia="彩虹粗仿宋"/>
          <w:sz w:val="28"/>
          <w:szCs w:val="28"/>
          <w:lang w:eastAsia="zh-CN"/>
        </w:rPr>
        <w:t>宜丰</w:t>
      </w:r>
      <w:r>
        <w:rPr>
          <w:rFonts w:hint="eastAsia" w:ascii="彩虹粗仿宋" w:hAnsi="宋体" w:eastAsia="彩虹粗仿宋"/>
          <w:sz w:val="28"/>
          <w:szCs w:val="28"/>
        </w:rPr>
        <w:t>县住建局提供软件使用培训。</w:t>
      </w:r>
    </w:p>
    <w:p>
      <w:pPr>
        <w:adjustRightInd w:val="0"/>
        <w:snapToGrid w:val="0"/>
        <w:spacing w:line="360" w:lineRule="auto"/>
        <w:ind w:firstLine="560" w:firstLineChars="200"/>
        <w:rPr>
          <w:rFonts w:hint="eastAsia" w:ascii="彩虹粗仿宋" w:hAnsi="宋体" w:eastAsia="彩虹粗仿宋"/>
          <w:sz w:val="28"/>
          <w:szCs w:val="28"/>
        </w:rPr>
      </w:pPr>
      <w:r>
        <w:rPr>
          <w:rFonts w:hint="eastAsia" w:ascii="彩虹粗仿宋" w:hAnsi="宋体" w:eastAsia="彩虹粗仿宋"/>
          <w:sz w:val="28"/>
          <w:szCs w:val="28"/>
        </w:rPr>
        <w:t>(4)本系统维护服务为系统成功验收后壹个自然年。</w:t>
      </w:r>
    </w:p>
    <w:p>
      <w:pPr>
        <w:adjustRightInd w:val="0"/>
        <w:snapToGrid w:val="0"/>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(5）提供7x24小时电话支持服务，提供1小时内响应，24小时内消除故障的技术服务。</w:t>
      </w:r>
    </w:p>
    <w:p>
      <w:pPr>
        <w:adjustRightInd w:val="0"/>
        <w:snapToGrid w:val="0"/>
        <w:spacing w:line="360" w:lineRule="auto"/>
        <w:ind w:firstLine="562" w:firstLineChars="200"/>
        <w:rPr>
          <w:rFonts w:ascii="彩虹粗仿宋" w:hAnsi="宋体" w:eastAsia="彩虹粗仿宋"/>
          <w:b/>
          <w:sz w:val="28"/>
          <w:szCs w:val="28"/>
        </w:rPr>
      </w:pPr>
      <w:r>
        <w:rPr>
          <w:rFonts w:hint="eastAsia" w:ascii="彩虹粗仿宋" w:hAnsi="宋体" w:eastAsia="彩虹粗仿宋"/>
          <w:b/>
          <w:sz w:val="28"/>
          <w:szCs w:val="28"/>
        </w:rPr>
        <w:t>六、报价要求，包括对拟采购物品的不含税价格，适用增值税税率等。</w:t>
      </w:r>
    </w:p>
    <w:p>
      <w:pPr>
        <w:spacing w:line="360" w:lineRule="auto"/>
        <w:ind w:firstLine="480"/>
        <w:rPr>
          <w:rFonts w:hint="eastAsia" w:ascii="彩虹粗仿宋" w:hAnsi="宋体" w:eastAsia="彩虹粗仿宋"/>
          <w:color w:val="auto"/>
          <w:sz w:val="28"/>
          <w:szCs w:val="28"/>
        </w:rPr>
      </w:pPr>
      <w:r>
        <w:rPr>
          <w:rFonts w:hint="eastAsia" w:ascii="宋体" w:hAnsi="宋体"/>
          <w:color w:val="auto"/>
          <w:sz w:val="24"/>
        </w:rPr>
        <w:t xml:space="preserve"> </w:t>
      </w:r>
      <w:r>
        <w:rPr>
          <w:rFonts w:hint="eastAsia" w:ascii="彩虹粗仿宋" w:hAnsi="宋体" w:eastAsia="彩虹粗仿宋"/>
          <w:color w:val="auto"/>
          <w:sz w:val="28"/>
          <w:szCs w:val="28"/>
        </w:rPr>
        <w:t>提供项目整体报价，含税价、适用的</w:t>
      </w:r>
      <w:r>
        <w:rPr>
          <w:rFonts w:ascii="彩虹粗仿宋" w:hAnsi="宋体" w:eastAsia="彩虹粗仿宋"/>
          <w:color w:val="auto"/>
          <w:sz w:val="28"/>
          <w:szCs w:val="28"/>
        </w:rPr>
        <w:t>增值税</w:t>
      </w:r>
      <w:r>
        <w:rPr>
          <w:rFonts w:hint="eastAsia" w:ascii="彩虹粗仿宋" w:hAnsi="宋体" w:eastAsia="彩虹粗仿宋"/>
          <w:color w:val="auto"/>
          <w:sz w:val="28"/>
          <w:szCs w:val="28"/>
        </w:rPr>
        <w:t>率、不含税价。报价包含并不限于满足本项目应用要求的软件版权费用、系统开发费用、第三方技术服务费、全部软件价格、税费、培训费用、数据整理录入费用等。报价为</w:t>
      </w:r>
      <w:r>
        <w:rPr>
          <w:rFonts w:hint="eastAsia" w:ascii="彩虹粗仿宋" w:hAnsi="宋体" w:eastAsia="彩虹粗仿宋"/>
          <w:color w:val="auto"/>
          <w:sz w:val="28"/>
          <w:szCs w:val="28"/>
          <w:lang w:eastAsia="zh-CN"/>
        </w:rPr>
        <w:t>不</w:t>
      </w:r>
      <w:r>
        <w:rPr>
          <w:rFonts w:hint="eastAsia" w:ascii="彩虹粗仿宋" w:hAnsi="宋体" w:eastAsia="彩虹粗仿宋"/>
          <w:color w:val="auto"/>
          <w:sz w:val="28"/>
          <w:szCs w:val="28"/>
        </w:rPr>
        <w:t>含增值税价格。</w:t>
      </w:r>
    </w:p>
    <w:p>
      <w:pPr>
        <w:adjustRightInd w:val="0"/>
        <w:snapToGrid w:val="0"/>
        <w:spacing w:line="360" w:lineRule="auto"/>
        <w:ind w:firstLine="562" w:firstLineChars="200"/>
        <w:rPr>
          <w:rFonts w:ascii="彩虹粗仿宋" w:hAnsi="宋体" w:eastAsia="彩虹粗仿宋"/>
          <w:b/>
          <w:sz w:val="28"/>
          <w:szCs w:val="28"/>
          <w:highlight w:val="none"/>
        </w:rPr>
      </w:pPr>
      <w:r>
        <w:rPr>
          <w:rFonts w:hint="eastAsia" w:ascii="彩虹粗仿宋" w:hAnsi="宋体" w:eastAsia="彩虹粗仿宋"/>
          <w:b/>
          <w:sz w:val="28"/>
          <w:szCs w:val="28"/>
          <w:highlight w:val="none"/>
        </w:rPr>
        <w:t>七、款项支付要求，包括分期付款要求、付款方式等。</w:t>
      </w:r>
    </w:p>
    <w:p>
      <w:pPr>
        <w:spacing w:line="360" w:lineRule="auto"/>
        <w:ind w:firstLine="560" w:firstLineChars="200"/>
        <w:rPr>
          <w:rFonts w:ascii="彩虹粗仿宋" w:hAnsi="宋体" w:eastAsia="彩虹粗仿宋"/>
          <w:sz w:val="28"/>
          <w:szCs w:val="28"/>
          <w:highlight w:val="none"/>
        </w:rPr>
      </w:pPr>
      <w:r>
        <w:rPr>
          <w:rFonts w:hint="eastAsia" w:ascii="彩虹粗仿宋" w:hAnsi="宋体" w:eastAsia="彩虹粗仿宋"/>
          <w:sz w:val="28"/>
          <w:szCs w:val="28"/>
          <w:highlight w:val="none"/>
        </w:rPr>
        <w:t>付款必须凭增值税专用发票办理，发票载明的增值税税率必须与合同约定税率一致，否则不予付款。款项支付到入选供应商的建行对公结算账户。</w:t>
      </w:r>
    </w:p>
    <w:p>
      <w:pPr>
        <w:spacing w:line="360" w:lineRule="auto"/>
        <w:ind w:firstLine="560" w:firstLineChars="200"/>
        <w:rPr>
          <w:rFonts w:ascii="彩虹粗仿宋" w:hAnsi="宋体" w:eastAsia="彩虹粗仿宋"/>
          <w:sz w:val="28"/>
          <w:szCs w:val="28"/>
          <w:highlight w:val="none"/>
        </w:rPr>
      </w:pPr>
      <w:r>
        <w:rPr>
          <w:rFonts w:hint="eastAsia" w:ascii="彩虹粗仿宋" w:hAnsi="宋体" w:eastAsia="彩虹粗仿宋"/>
          <w:sz w:val="28"/>
          <w:szCs w:val="28"/>
          <w:highlight w:val="none"/>
        </w:rPr>
        <w:t>（1）双方项目合同签订完成后，经建行宜春市分行收到开具增值税专用发票支付合同总价款的</w:t>
      </w:r>
      <w:r>
        <w:rPr>
          <w:rFonts w:hint="eastAsia" w:ascii="彩虹粗仿宋" w:hAnsi="宋体" w:eastAsia="彩虹粗仿宋"/>
          <w:sz w:val="28"/>
          <w:szCs w:val="28"/>
          <w:highlight w:val="none"/>
          <w:lang w:val="en-US" w:eastAsia="zh-CN"/>
        </w:rPr>
        <w:t>9</w:t>
      </w:r>
      <w:r>
        <w:rPr>
          <w:rFonts w:hint="eastAsia" w:ascii="彩虹粗仿宋" w:hAnsi="宋体" w:eastAsia="彩虹粗仿宋"/>
          <w:sz w:val="28"/>
          <w:szCs w:val="28"/>
          <w:highlight w:val="none"/>
        </w:rPr>
        <w:t>0%。</w:t>
      </w:r>
    </w:p>
    <w:p>
      <w:pPr>
        <w:spacing w:line="360" w:lineRule="auto"/>
        <w:ind w:firstLine="560" w:firstLineChars="200"/>
        <w:rPr>
          <w:rFonts w:ascii="彩虹粗仿宋" w:hAnsi="宋体" w:eastAsia="彩虹粗仿宋"/>
          <w:sz w:val="28"/>
          <w:szCs w:val="28"/>
          <w:highlight w:val="none"/>
        </w:rPr>
      </w:pPr>
      <w:r>
        <w:rPr>
          <w:rFonts w:hint="eastAsia" w:ascii="彩虹粗仿宋" w:hAnsi="宋体" w:eastAsia="彩虹粗仿宋"/>
          <w:sz w:val="28"/>
          <w:szCs w:val="28"/>
          <w:highlight w:val="none"/>
        </w:rPr>
        <w:t>（2）自项目上线验收后支付合同总价款的</w:t>
      </w:r>
      <w:r>
        <w:rPr>
          <w:rFonts w:hint="eastAsia" w:ascii="彩虹粗仿宋" w:hAnsi="宋体" w:eastAsia="彩虹粗仿宋"/>
          <w:sz w:val="28"/>
          <w:szCs w:val="28"/>
          <w:highlight w:val="none"/>
          <w:lang w:val="en-US" w:eastAsia="zh-CN"/>
        </w:rPr>
        <w:t>1</w:t>
      </w:r>
      <w:r>
        <w:rPr>
          <w:rFonts w:hint="eastAsia" w:ascii="彩虹粗仿宋" w:hAnsi="宋体" w:eastAsia="彩虹粗仿宋"/>
          <w:sz w:val="28"/>
          <w:szCs w:val="28"/>
          <w:highlight w:val="none"/>
        </w:rPr>
        <w:t>0%，依据项目验收报告结算。</w:t>
      </w:r>
    </w:p>
    <w:p>
      <w:pPr>
        <w:adjustRightInd w:val="0"/>
        <w:snapToGrid w:val="0"/>
        <w:spacing w:line="360" w:lineRule="auto"/>
        <w:ind w:firstLine="562" w:firstLineChars="200"/>
        <w:rPr>
          <w:rFonts w:ascii="彩虹粗仿宋" w:hAnsi="宋体" w:eastAsia="彩虹粗仿宋"/>
          <w:b/>
          <w:sz w:val="28"/>
          <w:szCs w:val="28"/>
        </w:rPr>
      </w:pPr>
      <w:r>
        <w:rPr>
          <w:rFonts w:hint="eastAsia" w:ascii="彩虹粗仿宋" w:hAnsi="宋体" w:eastAsia="彩虹粗仿宋"/>
          <w:b/>
          <w:sz w:val="28"/>
          <w:szCs w:val="28"/>
        </w:rPr>
        <w:t>八、其他要求（知识产权、信息保密）</w:t>
      </w:r>
    </w:p>
    <w:p>
      <w:pPr>
        <w:ind w:firstLine="420" w:firstLineChars="150"/>
        <w:rPr>
          <w:rFonts w:ascii="彩虹粗仿宋" w:hAnsi="宋体" w:eastAsia="彩虹粗仿宋"/>
          <w:sz w:val="28"/>
          <w:szCs w:val="28"/>
        </w:rPr>
      </w:pPr>
      <w:r>
        <w:rPr>
          <w:rFonts w:hint="eastAsia" w:ascii="彩虹粗仿宋" w:hAnsi="宋体" w:eastAsia="彩虹粗仿宋"/>
          <w:sz w:val="28"/>
          <w:szCs w:val="28"/>
        </w:rPr>
        <w:t>(一)知识产权</w:t>
      </w:r>
    </w:p>
    <w:p>
      <w:pPr>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1.产品供应商保证提供的软件产品或服务不存在任何侵犯第三方知识产权的情形。如果第三方声称产品供应商向我方提供的软件产品或服务侵犯其知识产权，并已就此对产品供应商或我方提起法律诉讼程序或知识产权行政执法程序，则知悉上述事项的一方应立即通知合同对方，我方有权：（1）暂停履行对侵权诉讼所涉软件产品或服务的采购或支付义务直至侵权诉讼完全解决，并要求产品供应商自担费用向我方提供与该第三方协商、诉讼、和解所需的一切协助；且（2）我方有权选择与该第三方达成和解，并由产品供应商支付和解协议所约定的全部费用以及我方因侵权诉讼而遭受的全部损失或费用（包括但不限于诉讼/仲裁费、律师费、交通费、通讯费、差旅费、对第三方的损害赔偿金、行政处罚罚款、获取该软件产品或服务相应使用许可的费用、因停止使用或修改、替换侵权威胁所涉及的软件产品或服务而遭受的损失等）。如果我方选择继续参加侵权诉讼法律程序，产品供应商应当赔偿我方因侵权诉讼及履行生效法律裁判而需支付的费用或遭受的损失，但生效法律裁判认定产品供应商软件产品或服务不存在侵犯第三方知识产权情形的除外。</w:t>
      </w:r>
    </w:p>
    <w:p>
      <w:pPr>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2.不论本采购合同是否解除或终止，本条款持续有效。</w:t>
      </w:r>
    </w:p>
    <w:p>
      <w:pPr>
        <w:ind w:firstLine="420" w:firstLineChars="150"/>
        <w:rPr>
          <w:rFonts w:ascii="彩虹粗仿宋" w:hAnsi="宋体" w:eastAsia="彩虹粗仿宋"/>
          <w:sz w:val="28"/>
          <w:szCs w:val="28"/>
        </w:rPr>
      </w:pPr>
      <w:r>
        <w:rPr>
          <w:rFonts w:hint="eastAsia" w:ascii="彩虹粗仿宋" w:hAnsi="宋体" w:eastAsia="彩虹粗仿宋"/>
          <w:sz w:val="28"/>
          <w:szCs w:val="28"/>
        </w:rPr>
        <w:t>（二）保密要求</w:t>
      </w:r>
    </w:p>
    <w:p>
      <w:pPr>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1.双方应当对本合同的内容以及在签订、履行本合同过程中知悉或获得的所有有关对方的商业秘密、客户资料等信息（即“保密信息”）予以保密，除非该信息是：（1）披露方以书面方式明确注明为非保密性质的信息；或（2）公众已经知晓的或通过公开渠道可获得的信息，且不是因为接受方违反本保密义务而导致该信息公知公晓的；（3）接受方从有权披露该信息的第三方获取的信息，且接受方对该信息无保密义务；（4）在本合同谈判前接受方已独立开发的信息。</w:t>
      </w:r>
    </w:p>
    <w:p>
      <w:pPr>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2.在本合同约定的保密期限内，未经披露方书面同意，接受方不得将保密信息用于本合同以外的目的，并不得将其泄漏给任何第三方。接受方的雇员为履行本合同约定而必须接触相关保密信息时，接受方可以将此部分保密信息披露给该雇员，但接受方应当告知该雇员相关的保密义务并和其签署书面保密协议，使其承担不低于本保密条款约定的保密义务。</w:t>
      </w:r>
    </w:p>
    <w:p>
      <w:pPr>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3.双方有权根据法律法规及监管要求而披露相关保密信息。</w:t>
      </w:r>
    </w:p>
    <w:p>
      <w:pPr>
        <w:spacing w:line="360" w:lineRule="auto"/>
        <w:ind w:firstLine="560" w:firstLineChars="200"/>
        <w:rPr>
          <w:rFonts w:ascii="彩虹粗仿宋" w:hAnsi="宋体" w:eastAsia="彩虹粗仿宋"/>
          <w:sz w:val="28"/>
          <w:szCs w:val="28"/>
        </w:rPr>
      </w:pPr>
      <w:r>
        <w:rPr>
          <w:rFonts w:hint="eastAsia" w:ascii="彩虹粗仿宋" w:hAnsi="宋体" w:eastAsia="彩虹粗仿宋"/>
          <w:sz w:val="28"/>
          <w:szCs w:val="28"/>
        </w:rPr>
        <w:t>4.接受方或其雇员（无论该雇员是否已从接受方离职）在本条约定的保密期限内违反保密义务的，接受方应当对披露方因此所遭受的损失承担赔偿责任。如果接受方在本合同有效期内严重违反保密义务，披露方同时还有权提前终止本合同。</w:t>
      </w:r>
    </w:p>
    <w:p>
      <w:pPr>
        <w:spacing w:line="360" w:lineRule="auto"/>
        <w:ind w:firstLine="562" w:firstLineChars="200"/>
        <w:rPr>
          <w:rFonts w:hint="eastAsia" w:ascii="彩虹粗仿宋" w:hAnsi="宋体" w:eastAsia="彩虹粗仿宋"/>
          <w:b/>
          <w:bCs/>
          <w:sz w:val="28"/>
          <w:szCs w:val="28"/>
          <w:lang w:val="en-US" w:eastAsia="zh-CN"/>
        </w:rPr>
      </w:pPr>
      <w:r>
        <w:rPr>
          <w:rFonts w:hint="eastAsia" w:ascii="彩虹粗仿宋" w:hAnsi="宋体" w:eastAsia="彩虹粗仿宋"/>
          <w:b/>
          <w:bCs/>
          <w:sz w:val="28"/>
          <w:szCs w:val="28"/>
          <w:lang w:val="en-US" w:eastAsia="zh-CN"/>
        </w:rPr>
        <w:t>九、违约责任</w:t>
      </w:r>
    </w:p>
    <w:p>
      <w:pPr>
        <w:spacing w:line="360" w:lineRule="auto"/>
        <w:ind w:firstLine="560" w:firstLineChars="200"/>
        <w:rPr>
          <w:rFonts w:hint="default" w:ascii="彩虹粗仿宋" w:hAnsi="宋体" w:eastAsia="彩虹粗仿宋"/>
          <w:sz w:val="28"/>
          <w:szCs w:val="28"/>
          <w:lang w:val="en-US" w:eastAsia="zh-CN"/>
        </w:rPr>
      </w:pPr>
      <w:r>
        <w:rPr>
          <w:rFonts w:hint="default" w:ascii="彩虹粗仿宋" w:hAnsi="宋体" w:eastAsia="彩虹粗仿宋"/>
          <w:sz w:val="28"/>
          <w:szCs w:val="28"/>
          <w:lang w:val="en-US" w:eastAsia="zh-CN"/>
        </w:rPr>
        <w:t>1.乙方交付的软件产品介质、技术资料、文档及使用许可证明文件等存在损坏或短缺，或软件产品种类、版本等不符合合同约定的，乙方应当按照甲方要求立即进行更换或补足，并承担由此产生的全部费用。在该部分软件产品或其资料文件进行更换或补足前，甲方有权拒付相应合同价款。因乙方更换或补足造成逾期交付的，甲方同时有权按照下款约定行使权利。</w:t>
      </w:r>
    </w:p>
    <w:p>
      <w:pPr>
        <w:spacing w:line="360" w:lineRule="auto"/>
        <w:ind w:firstLine="560" w:firstLineChars="200"/>
        <w:rPr>
          <w:rFonts w:hint="default" w:ascii="彩虹粗仿宋" w:hAnsi="宋体" w:eastAsia="彩虹粗仿宋"/>
          <w:sz w:val="28"/>
          <w:szCs w:val="28"/>
          <w:lang w:val="en-US" w:eastAsia="zh-CN"/>
        </w:rPr>
      </w:pPr>
      <w:r>
        <w:rPr>
          <w:rFonts w:hint="eastAsia" w:ascii="彩虹粗仿宋" w:hAnsi="宋体" w:eastAsia="彩虹粗仿宋"/>
          <w:sz w:val="28"/>
          <w:szCs w:val="28"/>
          <w:lang w:val="en-US" w:eastAsia="zh-CN"/>
        </w:rPr>
        <w:t>2</w:t>
      </w:r>
      <w:r>
        <w:rPr>
          <w:rFonts w:hint="default" w:ascii="彩虹粗仿宋" w:hAnsi="宋体" w:eastAsia="彩虹粗仿宋"/>
          <w:sz w:val="28"/>
          <w:szCs w:val="28"/>
          <w:lang w:val="en-US" w:eastAsia="zh-CN"/>
        </w:rPr>
        <w:t>.乙方提供的软件产品功能或质量经测试验收不符合合同约定的，乙方应当在发现不符或甲方指出的不符后，对存在的不符进行调试、修正，或者以符合合同约定的软件产品进行更换，并与甲方约定新的测试验收时间。如果连续经过 3</w:t>
      </w:r>
      <w:r>
        <w:rPr>
          <w:rFonts w:hint="default" w:ascii="彩虹粗仿宋" w:hAnsi="宋体" w:eastAsia="彩虹粗仿宋"/>
          <w:sz w:val="28"/>
          <w:szCs w:val="28"/>
          <w:lang w:val="en-US" w:eastAsia="zh-CN"/>
        </w:rPr>
        <w:tab/>
      </w:r>
      <w:r>
        <w:rPr>
          <w:rFonts w:hint="default" w:ascii="彩虹粗仿宋" w:hAnsi="宋体" w:eastAsia="彩虹粗仿宋"/>
          <w:sz w:val="28"/>
          <w:szCs w:val="28"/>
          <w:lang w:val="en-US" w:eastAsia="zh-CN"/>
        </w:rPr>
        <w:t xml:space="preserve"> 次测试验收均不合格或自合同约定的软件产品交付日起 60 日内仍不能验收合格的（以最先届至的为准），甲方有权选择行使下列权利： </w:t>
      </w:r>
    </w:p>
    <w:p>
      <w:pPr>
        <w:ind w:firstLine="560" w:firstLineChars="200"/>
        <w:rPr>
          <w:rFonts w:hint="eastAsia" w:ascii="彩虹粗仿宋" w:hAnsi="宋体" w:eastAsia="彩虹粗仿宋"/>
          <w:sz w:val="28"/>
          <w:szCs w:val="28"/>
        </w:rPr>
      </w:pPr>
      <w:r>
        <w:rPr>
          <w:rFonts w:hint="eastAsia" w:ascii="彩虹粗仿宋" w:hAnsi="宋体" w:eastAsia="彩虹粗仿宋"/>
          <w:sz w:val="28"/>
          <w:szCs w:val="28"/>
          <w:lang w:val="en-US" w:eastAsia="zh-CN"/>
        </w:rPr>
        <w:t>2</w:t>
      </w:r>
      <w:r>
        <w:rPr>
          <w:rFonts w:hint="eastAsia" w:ascii="彩虹粗仿宋" w:hAnsi="宋体" w:eastAsia="彩虹粗仿宋"/>
          <w:sz w:val="28"/>
          <w:szCs w:val="28"/>
        </w:rPr>
        <w:t>.1解除或部分解除合同，乙方向甲方返还甲方已支付的相应软件产品价款（且对于未支付的相应价款，甲方不再支付），乙方同时应按合同总金额的 5 %向甲方支付违约金，并赔偿甲方遭受的损失。</w:t>
      </w:r>
    </w:p>
    <w:p>
      <w:pPr>
        <w:ind w:firstLine="560" w:firstLineChars="200"/>
        <w:rPr>
          <w:rFonts w:ascii="彩虹粗仿宋" w:hAnsi="宋体" w:eastAsia="彩虹粗仿宋"/>
          <w:sz w:val="28"/>
          <w:szCs w:val="28"/>
        </w:rPr>
      </w:pPr>
      <w:bookmarkStart w:id="0" w:name="_GoBack"/>
      <w:bookmarkEnd w:id="0"/>
      <w:r>
        <w:rPr>
          <w:rFonts w:hint="eastAsia" w:ascii="彩虹粗仿宋" w:hAnsi="宋体" w:eastAsia="彩虹粗仿宋"/>
          <w:sz w:val="28"/>
          <w:szCs w:val="28"/>
          <w:lang w:val="en-US" w:eastAsia="zh-CN"/>
        </w:rPr>
        <w:t>2</w:t>
      </w:r>
      <w:r>
        <w:rPr>
          <w:rFonts w:hint="eastAsia" w:ascii="彩虹粗仿宋" w:hAnsi="宋体" w:eastAsia="彩虹粗仿宋"/>
          <w:sz w:val="28"/>
          <w:szCs w:val="28"/>
        </w:rPr>
        <w:t>.2要求重新提供符合合同约定的软件产品，乙方同时应按合同总金额的 5 %向甲方支付违约金，并赔偿甲方遭受的损失。</w:t>
      </w:r>
    </w:p>
    <w:p>
      <w:pPr>
        <w:rPr>
          <w:rFonts w:ascii="彩虹粗仿宋" w:hAnsi="宋体" w:eastAsia="彩虹粗仿宋"/>
          <w:sz w:val="28"/>
          <w:szCs w:val="28"/>
        </w:rPr>
      </w:pPr>
    </w:p>
    <w:p>
      <w:pPr>
        <w:rPr>
          <w:rFonts w:ascii="彩虹粗仿宋" w:hAnsi="宋体" w:eastAsia="彩虹粗仿宋"/>
          <w:sz w:val="28"/>
          <w:szCs w:val="28"/>
        </w:rPr>
      </w:pPr>
    </w:p>
    <w:p>
      <w:pPr>
        <w:rPr>
          <w:rFonts w:ascii="彩虹粗仿宋" w:hAnsi="宋体" w:eastAsia="彩虹粗仿宋"/>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544"/>
    <w:rsid w:val="00021579"/>
    <w:rsid w:val="000444E0"/>
    <w:rsid w:val="000D2120"/>
    <w:rsid w:val="000D2A2F"/>
    <w:rsid w:val="0012514F"/>
    <w:rsid w:val="00125669"/>
    <w:rsid w:val="001D7C3E"/>
    <w:rsid w:val="001F0A0A"/>
    <w:rsid w:val="002016F6"/>
    <w:rsid w:val="002400BE"/>
    <w:rsid w:val="0028044E"/>
    <w:rsid w:val="002A7D41"/>
    <w:rsid w:val="002B5299"/>
    <w:rsid w:val="003727A7"/>
    <w:rsid w:val="003826C8"/>
    <w:rsid w:val="00434662"/>
    <w:rsid w:val="00451AE0"/>
    <w:rsid w:val="004727D0"/>
    <w:rsid w:val="004851DC"/>
    <w:rsid w:val="004B1C82"/>
    <w:rsid w:val="004B7BFF"/>
    <w:rsid w:val="004C7E4B"/>
    <w:rsid w:val="004D0ED5"/>
    <w:rsid w:val="0061661E"/>
    <w:rsid w:val="00667A09"/>
    <w:rsid w:val="00685CA6"/>
    <w:rsid w:val="006A1927"/>
    <w:rsid w:val="006A4F2A"/>
    <w:rsid w:val="006B6AC9"/>
    <w:rsid w:val="00723F51"/>
    <w:rsid w:val="007521D2"/>
    <w:rsid w:val="007523BD"/>
    <w:rsid w:val="007C6353"/>
    <w:rsid w:val="007E4EB2"/>
    <w:rsid w:val="007F1642"/>
    <w:rsid w:val="00817110"/>
    <w:rsid w:val="00832F40"/>
    <w:rsid w:val="00857692"/>
    <w:rsid w:val="00886B18"/>
    <w:rsid w:val="008A013B"/>
    <w:rsid w:val="008C471D"/>
    <w:rsid w:val="009009ED"/>
    <w:rsid w:val="009065A3"/>
    <w:rsid w:val="0091357C"/>
    <w:rsid w:val="00926BA9"/>
    <w:rsid w:val="00930D03"/>
    <w:rsid w:val="0099746A"/>
    <w:rsid w:val="009D420D"/>
    <w:rsid w:val="00A145F7"/>
    <w:rsid w:val="00A35C2D"/>
    <w:rsid w:val="00A54B94"/>
    <w:rsid w:val="00A55145"/>
    <w:rsid w:val="00AF5197"/>
    <w:rsid w:val="00B07E71"/>
    <w:rsid w:val="00B27426"/>
    <w:rsid w:val="00B409E0"/>
    <w:rsid w:val="00B60BE0"/>
    <w:rsid w:val="00B71CB0"/>
    <w:rsid w:val="00BC441C"/>
    <w:rsid w:val="00BE101C"/>
    <w:rsid w:val="00CC09B5"/>
    <w:rsid w:val="00CC74B2"/>
    <w:rsid w:val="00CC79B8"/>
    <w:rsid w:val="00CD47AF"/>
    <w:rsid w:val="00CE6EA5"/>
    <w:rsid w:val="00D16544"/>
    <w:rsid w:val="00D2230A"/>
    <w:rsid w:val="00D33D92"/>
    <w:rsid w:val="00D364D8"/>
    <w:rsid w:val="00D36BDB"/>
    <w:rsid w:val="00D8770C"/>
    <w:rsid w:val="00DC228D"/>
    <w:rsid w:val="00DC779D"/>
    <w:rsid w:val="00EC2856"/>
    <w:rsid w:val="00F13233"/>
    <w:rsid w:val="00F13F06"/>
    <w:rsid w:val="00F6790D"/>
    <w:rsid w:val="00F92B18"/>
    <w:rsid w:val="00FA6A9D"/>
    <w:rsid w:val="13790552"/>
    <w:rsid w:val="1B226672"/>
    <w:rsid w:val="38B12FF3"/>
    <w:rsid w:val="48FE1357"/>
    <w:rsid w:val="560C76E4"/>
    <w:rsid w:val="59148399"/>
    <w:rsid w:val="7BFB1F87"/>
    <w:rsid w:val="B7DD4557"/>
    <w:rsid w:val="BD6FC67E"/>
    <w:rsid w:val="FF2A11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uiPriority w:val="39"/>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4"/>
    <w:qFormat/>
    <w:uiPriority w:val="99"/>
    <w:rPr>
      <w:sz w:val="18"/>
      <w:szCs w:val="18"/>
    </w:rPr>
  </w:style>
  <w:style w:type="character" w:customStyle="1" w:styleId="10">
    <w:name w:val="页脚 Char"/>
    <w:basedOn w:val="8"/>
    <w:link w:val="3"/>
    <w:qFormat/>
    <w:uiPriority w:val="99"/>
    <w:rPr>
      <w:sz w:val="18"/>
      <w:szCs w:val="18"/>
    </w:rPr>
  </w:style>
  <w:style w:type="paragraph" w:styleId="11">
    <w:name w:val="List Paragraph"/>
    <w:basedOn w:val="1"/>
    <w:qFormat/>
    <w:uiPriority w:val="34"/>
    <w:pPr>
      <w:ind w:firstLine="420" w:firstLineChars="200"/>
    </w:pPr>
    <w:rPr>
      <w:rFonts w:ascii="Calibri" w:hAnsi="Calibri" w:eastAsia="宋体" w:cs="黑体"/>
    </w:rPr>
  </w:style>
  <w:style w:type="character" w:customStyle="1" w:styleId="12">
    <w:name w:val="批注框文本 Char"/>
    <w:basedOn w:val="8"/>
    <w:link w:val="2"/>
    <w:semiHidden/>
    <w:qFormat/>
    <w:uiPriority w:val="99"/>
    <w:rPr>
      <w:sz w:val="18"/>
      <w:szCs w:val="18"/>
    </w:rPr>
  </w:style>
  <w:style w:type="character" w:customStyle="1" w:styleId="13">
    <w:name w:val="im-content1"/>
    <w:basedOn w:val="8"/>
    <w:qFormat/>
    <w:uiPriority w:val="0"/>
    <w:rPr>
      <w:color w:val="333333"/>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484</Words>
  <Characters>2763</Characters>
  <Lines>23</Lines>
  <Paragraphs>6</Paragraphs>
  <TotalTime>1</TotalTime>
  <ScaleCrop>false</ScaleCrop>
  <LinksUpToDate>false</LinksUpToDate>
  <CharactersWithSpaces>3241</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2021-05-07T16:30:00Z</dcterms:created>
  <dc:creator>住房金融业务部综合</dc:creator>
  <cp:lastModifiedBy>游宇宸</cp:lastModifiedBy>
  <cp:lastPrinted>2021-05-07T16:32:00Z</cp:lastPrinted>
  <dcterms:modified xsi:type="dcterms:W3CDTF">2025-11-26T07:35:51Z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EA2ED364E6B83A7B1DA00869C4468F69_43</vt:lpwstr>
  </property>
</Properties>
</file>