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360" w:lineRule="auto"/>
        <w:jc w:val="center"/>
        <w:rPr>
          <w:rFonts w:ascii="仿宋" w:hAnsi="仿宋" w:eastAsia="仿宋" w:cs="仿宋"/>
          <w:bCs w:val="0"/>
          <w:color w:val="auto"/>
          <w:sz w:val="28"/>
          <w:szCs w:val="28"/>
          <w:highlight w:val="none"/>
        </w:rPr>
      </w:pPr>
      <w:bookmarkStart w:id="15" w:name="_GoBack"/>
      <w:r>
        <w:rPr>
          <w:rFonts w:hint="eastAsia" w:ascii="仿宋" w:hAnsi="仿宋" w:eastAsia="仿宋" w:cs="仿宋"/>
          <w:bCs w:val="0"/>
          <w:color w:val="auto"/>
          <w:sz w:val="28"/>
          <w:szCs w:val="28"/>
          <w:highlight w:val="none"/>
        </w:rPr>
        <w:t>人保财险嘉兴市分公司社保理赔车租赁服务项目竞争性磋商公告</w:t>
      </w:r>
    </w:p>
    <w:p>
      <w:pPr>
        <w:wordWrap w:val="0"/>
        <w:spacing w:line="360" w:lineRule="auto"/>
        <w:ind w:firstLine="480" w:firstLineChars="200"/>
        <w:textAlignment w:val="baseline"/>
        <w:rPr>
          <w:rFonts w:hint="eastAsia" w:ascii="仿宋" w:hAnsi="仿宋" w:eastAsia="仿宋" w:cs="Cambria Math"/>
          <w:color w:val="auto"/>
          <w:sz w:val="24"/>
          <w:highlight w:val="none"/>
        </w:rPr>
      </w:pPr>
      <w:r>
        <w:rPr>
          <w:rFonts w:hint="eastAsia" w:ascii="仿宋" w:hAnsi="仿宋" w:eastAsia="仿宋" w:cs="仿宋"/>
          <w:color w:val="auto"/>
          <w:sz w:val="24"/>
          <w:highlight w:val="none"/>
        </w:rPr>
        <w:t>本项目</w:t>
      </w:r>
      <w:r>
        <w:rPr>
          <w:rFonts w:hint="eastAsia" w:ascii="仿宋" w:hAnsi="仿宋" w:eastAsia="仿宋" w:cs="仿宋"/>
          <w:color w:val="auto"/>
          <w:sz w:val="24"/>
          <w:highlight w:val="none"/>
          <w:u w:val="single"/>
          <w:lang w:eastAsia="zh-CN"/>
        </w:rPr>
        <w:t>人保财险嘉兴市分公司社保理赔车租赁服务项目</w:t>
      </w:r>
      <w:r>
        <w:rPr>
          <w:rFonts w:hint="eastAsia" w:ascii="仿宋" w:hAnsi="仿宋" w:eastAsia="仿宋" w:cs="仿宋"/>
          <w:color w:val="auto"/>
          <w:sz w:val="24"/>
          <w:highlight w:val="none"/>
        </w:rPr>
        <w:t>（采购代理项目编号：CTZB-</w:t>
      </w:r>
      <w:r>
        <w:rPr>
          <w:rFonts w:hint="eastAsia" w:ascii="仿宋" w:hAnsi="仿宋" w:eastAsia="仿宋" w:cs="仿宋"/>
          <w:color w:val="auto"/>
          <w:sz w:val="24"/>
          <w:highlight w:val="none"/>
          <w:lang w:eastAsia="zh-CN"/>
        </w:rPr>
        <w:t>2025110531</w:t>
      </w:r>
      <w:r>
        <w:rPr>
          <w:rFonts w:hint="eastAsia" w:ascii="仿宋" w:hAnsi="仿宋" w:eastAsia="仿宋" w:cs="仿宋"/>
          <w:color w:val="auto"/>
          <w:sz w:val="24"/>
          <w:highlight w:val="none"/>
        </w:rPr>
        <w:t>）由</w:t>
      </w:r>
      <w:r>
        <w:rPr>
          <w:rFonts w:hint="eastAsia" w:ascii="仿宋" w:hAnsi="仿宋" w:eastAsia="仿宋" w:cs="仿宋"/>
          <w:color w:val="auto"/>
          <w:sz w:val="24"/>
          <w:highlight w:val="none"/>
          <w:u w:val="single"/>
          <w:lang w:eastAsia="zh-CN"/>
        </w:rPr>
        <w:t>中国人民财产保险股份有限公司嘉兴市分公司</w:t>
      </w:r>
      <w:r>
        <w:rPr>
          <w:rFonts w:hint="eastAsia" w:ascii="仿宋" w:hAnsi="仿宋" w:eastAsia="仿宋" w:cs="仿宋"/>
          <w:color w:val="auto"/>
          <w:sz w:val="24"/>
          <w:highlight w:val="none"/>
        </w:rPr>
        <w:t>（以下简称“采购人”）</w:t>
      </w:r>
      <w:r>
        <w:rPr>
          <w:rFonts w:hint="eastAsia" w:ascii="仿宋" w:hAnsi="仿宋" w:eastAsia="仿宋" w:cs="Cambria Math"/>
          <w:color w:val="auto"/>
          <w:sz w:val="24"/>
          <w:highlight w:val="none"/>
        </w:rPr>
        <w:t>批准并落实资金，组织本项目的磋商工作</w:t>
      </w:r>
      <w:r>
        <w:rPr>
          <w:rFonts w:hint="eastAsia" w:ascii="仿宋" w:hAnsi="仿宋" w:eastAsia="仿宋" w:cs="仿宋"/>
          <w:color w:val="auto"/>
          <w:sz w:val="24"/>
          <w:highlight w:val="none"/>
        </w:rPr>
        <w:t>，采购合同由</w:t>
      </w:r>
      <w:r>
        <w:rPr>
          <w:rFonts w:hint="eastAsia" w:ascii="仿宋" w:hAnsi="仿宋" w:eastAsia="仿宋" w:cs="宋体"/>
          <w:color w:val="auto"/>
          <w:sz w:val="24"/>
          <w:highlight w:val="none"/>
          <w:u w:val="single"/>
          <w:lang w:eastAsia="zh-CN"/>
        </w:rPr>
        <w:t>中国人民财产保险股份有限公司嘉兴市分公司</w:t>
      </w:r>
      <w:r>
        <w:rPr>
          <w:rFonts w:hint="eastAsia" w:ascii="仿宋" w:hAnsi="仿宋" w:eastAsia="仿宋" w:cs="宋体"/>
          <w:color w:val="auto"/>
          <w:sz w:val="24"/>
          <w:highlight w:val="none"/>
        </w:rPr>
        <w:t>（以下简称“人保</w:t>
      </w:r>
      <w:r>
        <w:rPr>
          <w:rFonts w:hint="eastAsia" w:ascii="仿宋" w:hAnsi="仿宋" w:eastAsia="仿宋" w:cs="宋体"/>
          <w:color w:val="auto"/>
          <w:sz w:val="24"/>
          <w:highlight w:val="none"/>
          <w:lang w:val="en-US" w:eastAsia="zh-CN"/>
        </w:rPr>
        <w:t>财险嘉兴市分公司</w:t>
      </w:r>
      <w:r>
        <w:rPr>
          <w:rFonts w:hint="eastAsia" w:ascii="仿宋" w:hAnsi="仿宋" w:eastAsia="仿宋" w:cs="宋体"/>
          <w:color w:val="auto"/>
          <w:sz w:val="24"/>
          <w:highlight w:val="none"/>
        </w:rPr>
        <w:t>”）</w:t>
      </w:r>
      <w:r>
        <w:rPr>
          <w:rFonts w:hint="eastAsia" w:ascii="仿宋" w:hAnsi="仿宋" w:eastAsia="仿宋" w:cs="仿宋"/>
          <w:color w:val="auto"/>
          <w:sz w:val="24"/>
          <w:highlight w:val="none"/>
        </w:rPr>
        <w:t>根据成交结果与成交人签署。现委托</w:t>
      </w:r>
      <w:r>
        <w:rPr>
          <w:rFonts w:hint="eastAsia" w:ascii="仿宋" w:hAnsi="仿宋" w:eastAsia="仿宋" w:cs="仿宋"/>
          <w:color w:val="auto"/>
          <w:sz w:val="24"/>
          <w:highlight w:val="none"/>
          <w:u w:val="single"/>
          <w:lang w:val="en-US" w:eastAsia="zh-CN"/>
        </w:rPr>
        <w:t>浙江省成套招标代理</w:t>
      </w:r>
      <w:r>
        <w:rPr>
          <w:rFonts w:hint="eastAsia" w:ascii="仿宋" w:hAnsi="仿宋" w:eastAsia="仿宋" w:cs="仿宋"/>
          <w:color w:val="auto"/>
          <w:sz w:val="24"/>
          <w:highlight w:val="none"/>
          <w:u w:val="single"/>
        </w:rPr>
        <w:t xml:space="preserve">有限公司 </w:t>
      </w:r>
      <w:r>
        <w:rPr>
          <w:rFonts w:hint="eastAsia" w:ascii="仿宋" w:hAnsi="仿宋" w:eastAsia="仿宋" w:cs="仿宋"/>
          <w:color w:val="auto"/>
          <w:sz w:val="24"/>
          <w:highlight w:val="none"/>
        </w:rPr>
        <w:t>（以下简称“采购代理机构”）进行公开竞争性磋商，</w:t>
      </w:r>
      <w:r>
        <w:rPr>
          <w:rFonts w:hint="eastAsia" w:ascii="仿宋" w:hAnsi="仿宋" w:eastAsia="仿宋" w:cs="Cambria Math"/>
          <w:color w:val="auto"/>
          <w:sz w:val="24"/>
          <w:highlight w:val="none"/>
        </w:rPr>
        <w:t xml:space="preserve">有意向且具有提供标的物能力的潜在供应商（以下简称“供应商”）可前来参与磋商响应。 </w:t>
      </w:r>
    </w:p>
    <w:p>
      <w:pPr>
        <w:pStyle w:val="4"/>
        <w:ind w:firstLine="0" w:firstLineChars="0"/>
        <w:jc w:val="left"/>
        <w:rPr>
          <w:rFonts w:hint="eastAsia" w:ascii="仿宋" w:hAnsi="仿宋" w:eastAsia="仿宋" w:cs="仿宋"/>
          <w:color w:val="auto"/>
          <w:sz w:val="24"/>
          <w:szCs w:val="24"/>
          <w:highlight w:val="none"/>
        </w:rPr>
      </w:pPr>
      <w:bookmarkStart w:id="0" w:name="_Toc14956"/>
      <w:bookmarkStart w:id="1" w:name="_Toc21237"/>
      <w:r>
        <w:rPr>
          <w:rFonts w:hint="eastAsia" w:ascii="仿宋" w:hAnsi="仿宋" w:eastAsia="仿宋" w:cs="仿宋"/>
          <w:color w:val="auto"/>
          <w:sz w:val="24"/>
          <w:szCs w:val="24"/>
          <w:highlight w:val="none"/>
        </w:rPr>
        <w:t>一、项目概况与采购范围</w:t>
      </w:r>
      <w:bookmarkEnd w:id="0"/>
      <w:bookmarkEnd w:id="1"/>
    </w:p>
    <w:p>
      <w:pPr>
        <w:adjustRightInd w:val="0"/>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1.1 项目名称：</w:t>
      </w:r>
      <w:r>
        <w:rPr>
          <w:rFonts w:hint="eastAsia" w:ascii="仿宋" w:hAnsi="仿宋" w:eastAsia="仿宋" w:cs="仿宋"/>
          <w:color w:val="auto"/>
          <w:sz w:val="24"/>
          <w:highlight w:val="none"/>
          <w:u w:val="single"/>
          <w:lang w:eastAsia="zh-CN"/>
        </w:rPr>
        <w:t>人保财险嘉兴市分公司社保理赔车租赁服务项目</w:t>
      </w:r>
      <w:r>
        <w:rPr>
          <w:rFonts w:hint="eastAsia" w:ascii="仿宋" w:hAnsi="仿宋" w:eastAsia="仿宋" w:cs="仿宋"/>
          <w:color w:val="auto"/>
          <w:sz w:val="24"/>
          <w:highlight w:val="none"/>
        </w:rPr>
        <w:t>。</w:t>
      </w:r>
    </w:p>
    <w:p>
      <w:pPr>
        <w:adjustRightInd w:val="0"/>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1.2 采购范围：本项目拟采购1家供应商为采购人提供社保业务日常工作需要的租赁车辆，具体技术要求详见第五章采购需求。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1.3 标包划分：</w:t>
      </w:r>
      <w:r>
        <w:rPr>
          <w:rFonts w:hint="eastAsia" w:ascii="仿宋" w:hAnsi="仿宋" w:eastAsia="仿宋" w:cs="宋体"/>
          <w:color w:val="auto"/>
          <w:sz w:val="24"/>
          <w:highlight w:val="none"/>
        </w:rPr>
        <w:t>本项目不划分标包</w:t>
      </w:r>
      <w:r>
        <w:rPr>
          <w:rFonts w:hint="eastAsia" w:ascii="仿宋" w:hAnsi="仿宋" w:eastAsia="仿宋" w:cs="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仿宋" w:hAnsi="仿宋" w:eastAsia="仿宋" w:cs="仿宋"/>
          <w:color w:val="auto"/>
          <w:sz w:val="24"/>
          <w:highlight w:val="none"/>
        </w:rPr>
      </w:pPr>
      <w:r>
        <w:rPr>
          <w:rFonts w:ascii="仿宋" w:hAnsi="仿宋" w:eastAsia="仿宋" w:cs="仿宋"/>
          <w:color w:val="auto"/>
          <w:sz w:val="24"/>
          <w:highlight w:val="none"/>
        </w:rPr>
        <w:t>1.4</w:t>
      </w:r>
      <w:r>
        <w:rPr>
          <w:rFonts w:ascii="仿宋" w:hAnsi="仿宋" w:cs="仿宋"/>
          <w:color w:val="auto"/>
          <w:sz w:val="24"/>
          <w:highlight w:val="none"/>
        </w:rPr>
        <w:t xml:space="preserve"> </w:t>
      </w:r>
      <w:r>
        <w:rPr>
          <w:rFonts w:hint="eastAsia" w:ascii="仿宋" w:hAnsi="仿宋" w:eastAsia="仿宋" w:cs="仿宋"/>
          <w:color w:val="auto"/>
          <w:sz w:val="24"/>
          <w:highlight w:val="none"/>
        </w:rPr>
        <w:t>项目性质：</w:t>
      </w:r>
      <w:r>
        <w:rPr>
          <w:rFonts w:hint="eastAsia" w:ascii="仿宋" w:hAnsi="仿宋" w:eastAsia="仿宋" w:cs="宋体"/>
          <w:color w:val="auto"/>
          <w:sz w:val="24"/>
          <w:highlight w:val="none"/>
          <w:lang w:val="en-US" w:eastAsia="zh-CN"/>
        </w:rPr>
        <w:t>服务</w:t>
      </w:r>
      <w:r>
        <w:rPr>
          <w:rFonts w:hint="eastAsia" w:ascii="仿宋" w:hAnsi="仿宋" w:eastAsia="仿宋" w:cs="仿宋"/>
          <w:color w:val="auto"/>
          <w:sz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ascii="仿宋" w:hAnsi="仿宋" w:eastAsia="仿宋" w:cs="仿宋"/>
          <w:color w:val="auto"/>
          <w:sz w:val="24"/>
          <w:highlight w:val="none"/>
        </w:rPr>
        <w:t>5</w:t>
      </w:r>
      <w:r>
        <w:rPr>
          <w:rFonts w:hint="eastAsia" w:ascii="仿宋" w:hAnsi="仿宋" w:eastAsia="仿宋" w:cs="仿宋"/>
          <w:color w:val="auto"/>
          <w:sz w:val="24"/>
          <w:highlight w:val="none"/>
        </w:rPr>
        <w:t>服务期限：</w:t>
      </w:r>
      <w:r>
        <w:rPr>
          <w:rFonts w:hint="eastAsia" w:ascii="仿宋" w:hAnsi="仿宋" w:eastAsia="仿宋" w:cs="仿宋"/>
          <w:color w:val="auto"/>
          <w:sz w:val="24"/>
          <w:highlight w:val="none"/>
          <w:lang w:val="en-US" w:eastAsia="zh-CN"/>
        </w:rPr>
        <w:t>2026年1月1日至2026年12月31日</w:t>
      </w:r>
      <w:r>
        <w:rPr>
          <w:rFonts w:hint="eastAsia" w:ascii="仿宋" w:hAnsi="仿宋" w:eastAsia="仿宋" w:cs="宋体"/>
          <w:color w:val="auto"/>
          <w:sz w:val="24"/>
          <w:highlight w:val="none"/>
        </w:rPr>
        <w:t>，若服务良好，且合同内容、金额等未发生实质性变化、市场价格未发生不利变化的，到期后可视情况续签</w:t>
      </w:r>
      <w:r>
        <w:rPr>
          <w:rFonts w:hint="eastAsia" w:ascii="仿宋" w:hAnsi="仿宋" w:eastAsia="仿宋" w:cs="宋体"/>
          <w:color w:val="auto"/>
          <w:sz w:val="24"/>
          <w:highlight w:val="none"/>
          <w:lang w:val="en-US" w:eastAsia="zh-CN"/>
        </w:rPr>
        <w:t>1</w:t>
      </w:r>
      <w:r>
        <w:rPr>
          <w:rFonts w:hint="eastAsia" w:ascii="仿宋" w:hAnsi="仿宋" w:eastAsia="仿宋" w:cs="宋体"/>
          <w:color w:val="auto"/>
          <w:sz w:val="24"/>
          <w:highlight w:val="none"/>
        </w:rPr>
        <w:t>次，单次续签期限不超过1年。</w:t>
      </w:r>
    </w:p>
    <w:p>
      <w:pPr>
        <w:adjustRightInd w:val="0"/>
        <w:snapToGrid w:val="0"/>
        <w:spacing w:line="360" w:lineRule="auto"/>
        <w:ind w:firstLine="480" w:firstLineChars="200"/>
        <w:jc w:val="left"/>
        <w:rPr>
          <w:rFonts w:hint="eastAsia" w:ascii="仿宋" w:hAnsi="仿宋" w:eastAsia="仿宋" w:cs="宋体"/>
          <w:color w:val="auto"/>
          <w:sz w:val="24"/>
          <w:highlight w:val="none"/>
          <w:lang w:val="en-US" w:eastAsia="zh-CN"/>
        </w:rPr>
      </w:pPr>
      <w:r>
        <w:rPr>
          <w:rFonts w:hint="eastAsia" w:ascii="仿宋" w:hAnsi="仿宋" w:eastAsia="仿宋" w:cs="仿宋"/>
          <w:color w:val="auto"/>
          <w:sz w:val="24"/>
          <w:highlight w:val="none"/>
        </w:rPr>
        <w:t>1.</w:t>
      </w:r>
      <w:r>
        <w:rPr>
          <w:rFonts w:ascii="仿宋" w:hAnsi="仿宋" w:eastAsia="仿宋" w:cs="仿宋"/>
          <w:color w:val="auto"/>
          <w:sz w:val="24"/>
          <w:highlight w:val="none"/>
        </w:rPr>
        <w:t>6</w:t>
      </w:r>
      <w:r>
        <w:rPr>
          <w:rFonts w:hint="eastAsia" w:ascii="仿宋" w:hAnsi="仿宋" w:eastAsia="仿宋" w:cs="宋体"/>
          <w:color w:val="auto"/>
          <w:sz w:val="24"/>
          <w:highlight w:val="none"/>
          <w:lang w:val="en-US" w:eastAsia="zh-CN"/>
        </w:rPr>
        <w:t>服务</w:t>
      </w:r>
      <w:r>
        <w:rPr>
          <w:rFonts w:hint="eastAsia" w:ascii="仿宋" w:hAnsi="仿宋" w:eastAsia="仿宋" w:cs="宋体"/>
          <w:color w:val="auto"/>
          <w:sz w:val="24"/>
          <w:highlight w:val="none"/>
        </w:rPr>
        <w:t>地点：</w:t>
      </w:r>
      <w:r>
        <w:rPr>
          <w:rFonts w:hint="eastAsia" w:ascii="仿宋" w:hAnsi="仿宋" w:eastAsia="仿宋" w:cs="宋体"/>
          <w:color w:val="auto"/>
          <w:sz w:val="24"/>
          <w:highlight w:val="none"/>
          <w:lang w:val="en-US" w:eastAsia="zh-CN"/>
        </w:rPr>
        <w:t>嘉兴市辖区范围内及采购人指定地点。</w:t>
      </w:r>
    </w:p>
    <w:p>
      <w:pPr>
        <w:pStyle w:val="4"/>
        <w:ind w:firstLine="0" w:firstLineChars="0"/>
        <w:jc w:val="left"/>
        <w:rPr>
          <w:rFonts w:hint="eastAsia" w:ascii="仿宋" w:hAnsi="仿宋" w:eastAsia="仿宋" w:cs="仿宋"/>
          <w:color w:val="auto"/>
          <w:sz w:val="24"/>
          <w:szCs w:val="24"/>
          <w:highlight w:val="none"/>
        </w:rPr>
      </w:pPr>
      <w:bookmarkStart w:id="2" w:name="_Toc17569"/>
      <w:bookmarkStart w:id="3" w:name="_Toc62"/>
      <w:r>
        <w:rPr>
          <w:rFonts w:hint="eastAsia" w:ascii="仿宋" w:hAnsi="仿宋" w:eastAsia="仿宋" w:cs="仿宋"/>
          <w:color w:val="auto"/>
          <w:sz w:val="24"/>
          <w:szCs w:val="24"/>
          <w:highlight w:val="none"/>
        </w:rPr>
        <w:t>二、供应商资格要求</w:t>
      </w:r>
      <w:bookmarkEnd w:id="2"/>
      <w:bookmarkEnd w:id="3"/>
    </w:p>
    <w:p>
      <w:pPr>
        <w:spacing w:line="360" w:lineRule="auto"/>
        <w:ind w:firstLine="480" w:firstLineChars="200"/>
        <w:textAlignment w:val="baseline"/>
        <w:rPr>
          <w:rFonts w:hint="eastAsia" w:ascii="仿宋" w:hAnsi="仿宋" w:eastAsia="仿宋" w:cs="仿宋"/>
          <w:color w:val="auto"/>
          <w:sz w:val="24"/>
          <w:highlight w:val="none"/>
        </w:rPr>
      </w:pPr>
      <w:bookmarkStart w:id="4" w:name="_Toc28263"/>
      <w:r>
        <w:rPr>
          <w:rFonts w:hint="eastAsia" w:ascii="仿宋" w:hAnsi="仿宋" w:eastAsia="仿宋" w:cs="仿宋"/>
          <w:color w:val="auto"/>
          <w:sz w:val="24"/>
          <w:highlight w:val="none"/>
        </w:rPr>
        <w:t>2.1</w:t>
      </w:r>
      <w:r>
        <w:rPr>
          <w:rFonts w:hint="eastAsia" w:ascii="仿宋" w:hAnsi="仿宋" w:eastAsia="仿宋" w:cs="仿宋"/>
          <w:b/>
          <w:bCs/>
          <w:color w:val="auto"/>
          <w:sz w:val="24"/>
          <w:highlight w:val="none"/>
        </w:rPr>
        <w:t>在中华人民共和国境内依法登记的法人或其他组织，具有独立承担民事责任的能力，</w:t>
      </w:r>
      <w:r>
        <w:rPr>
          <w:rFonts w:hint="eastAsia" w:ascii="仿宋" w:hAnsi="仿宋" w:eastAsia="仿宋" w:cs="仿宋"/>
          <w:color w:val="auto"/>
          <w:sz w:val="24"/>
          <w:highlight w:val="none"/>
        </w:rPr>
        <w:t>【提供营业执照（或者事业单位法人证书、社会团体法人登记证书、其他组织登记证明文件，下同）副本复印件（加盖公章），保险、金融、电信、通信等特殊行业可视行业实际情况提供非独立法人的分公司登记证书及总公司唯一授权相关证明材料的扫描件（加盖公章）】；</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rPr>
        <w:t>2.2</w:t>
      </w:r>
      <w:r>
        <w:rPr>
          <w:rFonts w:hint="eastAsia" w:ascii="仿宋" w:hAnsi="仿宋" w:eastAsia="仿宋" w:cs="仿宋"/>
          <w:b/>
          <w:bCs/>
          <w:color w:val="auto"/>
          <w:sz w:val="24"/>
          <w:highlight w:val="none"/>
          <w:lang w:val="en-US" w:eastAsia="zh-CN"/>
        </w:rPr>
        <w:t>具有良好的商业信誉和健全的财务会计制度</w:t>
      </w:r>
      <w:bookmarkStart w:id="5" w:name="OLE_LINK26"/>
      <w:r>
        <w:rPr>
          <w:rFonts w:hint="eastAsia" w:ascii="仿宋" w:hAnsi="仿宋" w:eastAsia="仿宋" w:cs="仿宋"/>
          <w:color w:val="auto"/>
          <w:sz w:val="24"/>
          <w:highlight w:val="none"/>
          <w:lang w:val="en-US" w:eastAsia="zh-CN"/>
        </w:rPr>
        <w:t>（须提供承诺函，加盖公章）</w:t>
      </w:r>
      <w:r>
        <w:rPr>
          <w:rFonts w:hint="eastAsia" w:ascii="仿宋" w:hAnsi="仿宋" w:eastAsia="仿宋" w:cs="仿宋"/>
          <w:b w:val="0"/>
          <w:bCs w:val="0"/>
          <w:color w:val="auto"/>
          <w:sz w:val="24"/>
          <w:highlight w:val="none"/>
          <w:lang w:val="en-US" w:eastAsia="zh-CN"/>
        </w:rPr>
        <w:t>；</w:t>
      </w:r>
      <w:bookmarkEnd w:id="5"/>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rPr>
        <w:t xml:space="preserve">2.3 </w:t>
      </w:r>
      <w:r>
        <w:rPr>
          <w:rFonts w:hint="eastAsia" w:ascii="仿宋" w:hAnsi="仿宋" w:eastAsia="仿宋" w:cs="仿宋"/>
          <w:b/>
          <w:bCs/>
          <w:color w:val="auto"/>
          <w:sz w:val="24"/>
          <w:highlight w:val="none"/>
        </w:rPr>
        <w:t>供应商应具有履行合同所必需的设备和专业技术能力</w:t>
      </w:r>
      <w:r>
        <w:rPr>
          <w:rFonts w:hint="eastAsia" w:ascii="仿宋" w:hAnsi="仿宋" w:eastAsia="仿宋" w:cs="仿宋"/>
          <w:color w:val="auto"/>
          <w:sz w:val="24"/>
          <w:highlight w:val="none"/>
        </w:rPr>
        <w:t>（须提供承诺函，加盖公章）</w:t>
      </w:r>
      <w:r>
        <w:rPr>
          <w:rFonts w:hint="eastAsia" w:ascii="仿宋" w:hAnsi="仿宋" w:eastAsia="仿宋" w:cs="仿宋"/>
          <w:color w:val="auto"/>
          <w:sz w:val="24"/>
          <w:highlight w:val="none"/>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hint="eastAsia" w:ascii="仿宋" w:hAnsi="仿宋" w:eastAsia="仿宋" w:cs="仿宋"/>
          <w:color w:val="auto"/>
          <w:sz w:val="24"/>
          <w:highlight w:val="none"/>
        </w:rPr>
      </w:pPr>
      <w:r>
        <w:rPr>
          <w:rFonts w:hint="eastAsia" w:ascii="仿宋" w:hAnsi="仿宋" w:eastAsia="仿宋" w:cs="仿宋"/>
          <w:color w:val="auto"/>
          <w:sz w:val="24"/>
          <w:highlight w:val="none"/>
        </w:rPr>
        <w:t>2.4</w:t>
      </w:r>
      <w:r>
        <w:rPr>
          <w:rFonts w:hint="eastAsia" w:ascii="仿宋" w:hAnsi="仿宋" w:eastAsia="仿宋" w:cs="仿宋"/>
          <w:b/>
          <w:bCs/>
          <w:color w:val="auto"/>
          <w:sz w:val="24"/>
          <w:highlight w:val="none"/>
        </w:rPr>
        <w:t>具有依法缴纳税收和社会保障资金的良好记录</w:t>
      </w:r>
      <w:r>
        <w:rPr>
          <w:rFonts w:hint="eastAsia" w:ascii="仿宋" w:hAnsi="仿宋" w:eastAsia="仿宋" w:cs="仿宋"/>
          <w:color w:val="auto"/>
          <w:sz w:val="24"/>
          <w:highlight w:val="none"/>
        </w:rPr>
        <w:t>（须提供承诺函，加盖公章）</w:t>
      </w:r>
      <w:r>
        <w:rPr>
          <w:rFonts w:hint="eastAsia" w:ascii="仿宋" w:hAnsi="仿宋" w:eastAsia="仿宋" w:cs="仿宋"/>
          <w:color w:val="auto"/>
          <w:sz w:val="24"/>
          <w:highlight w:val="none"/>
          <w:lang w:val="en-US" w:eastAsia="zh-CN"/>
        </w:rPr>
        <w:t>。</w:t>
      </w:r>
    </w:p>
    <w:p>
      <w:pPr>
        <w:spacing w:line="360" w:lineRule="auto"/>
        <w:ind w:firstLine="480" w:firstLineChars="200"/>
        <w:textAlignment w:val="baseline"/>
        <w:rPr>
          <w:rFonts w:hint="eastAsia" w:ascii="仿宋" w:hAnsi="仿宋" w:eastAsia="仿宋" w:cs="仿宋"/>
          <w:color w:val="auto"/>
          <w:sz w:val="24"/>
          <w:highlight w:val="none"/>
        </w:rPr>
      </w:pPr>
      <w:r>
        <w:rPr>
          <w:rFonts w:hint="eastAsia" w:ascii="仿宋" w:hAnsi="仿宋" w:eastAsia="仿宋" w:cs="仿宋"/>
          <w:color w:val="auto"/>
          <w:sz w:val="24"/>
          <w:highlight w:val="none"/>
        </w:rPr>
        <w:t>2.5</w:t>
      </w:r>
      <w:r>
        <w:rPr>
          <w:rFonts w:hint="eastAsia" w:ascii="仿宋" w:hAnsi="仿宋" w:eastAsia="仿宋" w:cs="仿宋"/>
          <w:b/>
          <w:bCs/>
          <w:color w:val="auto"/>
          <w:sz w:val="24"/>
          <w:highlight w:val="none"/>
        </w:rPr>
        <w:t>供应商应经营状况良好，且20</w:t>
      </w:r>
      <w:r>
        <w:rPr>
          <w:rFonts w:hint="eastAsia" w:ascii="仿宋" w:hAnsi="仿宋" w:eastAsia="仿宋" w:cs="仿宋"/>
          <w:b/>
          <w:bCs/>
          <w:color w:val="auto"/>
          <w:sz w:val="24"/>
          <w:highlight w:val="none"/>
          <w:lang w:val="en-US" w:eastAsia="zh-CN"/>
        </w:rPr>
        <w:t>22</w:t>
      </w:r>
      <w:r>
        <w:rPr>
          <w:rFonts w:hint="eastAsia" w:ascii="仿宋" w:hAnsi="仿宋" w:eastAsia="仿宋" w:cs="仿宋"/>
          <w:b/>
          <w:bCs/>
          <w:color w:val="auto"/>
          <w:sz w:val="24"/>
          <w:highlight w:val="none"/>
        </w:rPr>
        <w:t>年</w:t>
      </w:r>
      <w:r>
        <w:rPr>
          <w:rFonts w:hint="eastAsia" w:ascii="仿宋" w:hAnsi="仿宋" w:eastAsia="仿宋" w:cs="仿宋"/>
          <w:b/>
          <w:bCs/>
          <w:color w:val="auto"/>
          <w:sz w:val="24"/>
          <w:highlight w:val="none"/>
          <w:lang w:val="en-US" w:eastAsia="zh-CN"/>
        </w:rPr>
        <w:t>1</w:t>
      </w:r>
      <w:r>
        <w:rPr>
          <w:rFonts w:hint="eastAsia" w:ascii="仿宋" w:hAnsi="仿宋" w:eastAsia="仿宋" w:cs="仿宋"/>
          <w:b/>
          <w:bCs/>
          <w:color w:val="auto"/>
          <w:sz w:val="24"/>
          <w:highlight w:val="none"/>
        </w:rPr>
        <w:t>月1日</w:t>
      </w:r>
      <w:r>
        <w:rPr>
          <w:rFonts w:hint="eastAsia" w:ascii="仿宋" w:hAnsi="仿宋" w:eastAsia="仿宋" w:cs="仿宋"/>
          <w:b/>
          <w:bCs/>
          <w:color w:val="auto"/>
          <w:sz w:val="24"/>
          <w:highlight w:val="none"/>
          <w:lang w:val="en-US" w:eastAsia="zh-CN"/>
        </w:rPr>
        <w:t>以来</w:t>
      </w:r>
      <w:r>
        <w:rPr>
          <w:rFonts w:hint="eastAsia" w:ascii="仿宋" w:hAnsi="仿宋" w:eastAsia="仿宋" w:cs="仿宋"/>
          <w:b/>
          <w:bCs/>
          <w:color w:val="auto"/>
          <w:sz w:val="24"/>
          <w:highlight w:val="none"/>
        </w:rPr>
        <w:t>无违法违规记录。</w:t>
      </w:r>
      <w:r>
        <w:rPr>
          <w:rFonts w:hint="eastAsia" w:ascii="仿宋" w:hAnsi="仿宋" w:eastAsia="仿宋" w:cs="仿宋"/>
          <w:color w:val="auto"/>
          <w:sz w:val="24"/>
          <w:highlight w:val="none"/>
        </w:rPr>
        <w:t>违法违规记录是指被“信用中国”列入失信被执行人、重大税收违法失信主体、政府采购严重违法失信行为记录名单。供应商需提供自磋商公告发布之日至响应文件递交截止之日期间对以上三项内容的查询截图</w:t>
      </w:r>
      <w:r>
        <w:rPr>
          <w:rFonts w:hint="eastAsia" w:ascii="仿宋" w:hAnsi="仿宋" w:eastAsia="仿宋" w:cs="仿宋"/>
          <w:color w:val="auto"/>
          <w:sz w:val="24"/>
          <w:highlight w:val="none"/>
          <w:lang w:val="en-US" w:eastAsia="zh-CN"/>
        </w:rPr>
        <w:t>并盖章</w:t>
      </w:r>
      <w:r>
        <w:rPr>
          <w:rFonts w:hint="eastAsia" w:ascii="仿宋" w:hAnsi="仿宋" w:eastAsia="仿宋" w:cs="仿宋"/>
          <w:color w:val="auto"/>
          <w:sz w:val="24"/>
          <w:highlight w:val="none"/>
        </w:rPr>
        <w:t>。</w:t>
      </w:r>
    </w:p>
    <w:p>
      <w:pPr>
        <w:spacing w:line="360" w:lineRule="auto"/>
        <w:ind w:firstLine="480" w:firstLineChars="200"/>
        <w:textAlignment w:val="baseline"/>
        <w:rPr>
          <w:rFonts w:hint="eastAsia" w:ascii="仿宋" w:hAnsi="仿宋" w:eastAsia="仿宋" w:cs="仿宋"/>
          <w:color w:val="auto"/>
          <w:sz w:val="24"/>
          <w:highlight w:val="none"/>
        </w:rPr>
      </w:pPr>
      <w:r>
        <w:rPr>
          <w:rFonts w:hint="eastAsia" w:ascii="仿宋" w:hAnsi="仿宋" w:eastAsia="仿宋" w:cs="仿宋"/>
          <w:color w:val="auto"/>
          <w:sz w:val="24"/>
          <w:highlight w:val="none"/>
        </w:rPr>
        <w:t>信用中国查询网址：https://www.creditchina.gov.cn/</w:t>
      </w:r>
    </w:p>
    <w:p>
      <w:pPr>
        <w:spacing w:line="360" w:lineRule="auto"/>
        <w:ind w:firstLine="480" w:firstLineChars="200"/>
        <w:textAlignment w:val="baseline"/>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 xml:space="preserve">2.6 </w:t>
      </w:r>
      <w:r>
        <w:rPr>
          <w:rFonts w:hint="eastAsia" w:ascii="仿宋" w:hAnsi="仿宋" w:eastAsia="仿宋" w:cs="仿宋"/>
          <w:b/>
          <w:bCs/>
          <w:color w:val="auto"/>
          <w:sz w:val="24"/>
          <w:highlight w:val="none"/>
        </w:rPr>
        <w:t>严禁列入</w:t>
      </w:r>
      <w:r>
        <w:rPr>
          <w:rFonts w:hint="eastAsia" w:ascii="仿宋" w:hAnsi="仿宋" w:eastAsia="仿宋" w:cs="仿宋"/>
          <w:b/>
          <w:bCs/>
          <w:color w:val="auto"/>
          <w:sz w:val="24"/>
          <w:highlight w:val="none"/>
          <w:lang w:val="en-US" w:eastAsia="zh-CN"/>
        </w:rPr>
        <w:t>采购</w:t>
      </w:r>
      <w:r>
        <w:rPr>
          <w:rFonts w:hint="eastAsia" w:ascii="仿宋" w:hAnsi="仿宋" w:eastAsia="仿宋" w:cs="仿宋"/>
          <w:b/>
          <w:bCs/>
          <w:color w:val="auto"/>
          <w:sz w:val="24"/>
          <w:highlight w:val="none"/>
        </w:rPr>
        <w:t>人及其所隶属的中国人民保险各级机构的供应商黑名单且在禁入期内的供应商参与采购活动。</w:t>
      </w:r>
    </w:p>
    <w:p>
      <w:pPr>
        <w:spacing w:line="360" w:lineRule="auto"/>
        <w:ind w:firstLine="480" w:firstLineChars="200"/>
        <w:textAlignment w:val="baseline"/>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2.7</w:t>
      </w:r>
      <w:r>
        <w:rPr>
          <w:rFonts w:hint="eastAsia" w:ascii="仿宋" w:hAnsi="仿宋" w:eastAsia="仿宋" w:cs="仿宋"/>
          <w:b/>
          <w:bCs/>
          <w:color w:val="auto"/>
          <w:sz w:val="24"/>
          <w:highlight w:val="none"/>
        </w:rPr>
        <w:t>单位负责人为同一人或存在控股、管理关系的不同单位，不得参加同一标段/标包磋商响应或未划分标段/标包的同一采购项目的磋商响应，需填写《供应商控股及管理关系情况申报表》。</w:t>
      </w:r>
    </w:p>
    <w:p>
      <w:pPr>
        <w:spacing w:line="360" w:lineRule="auto"/>
        <w:ind w:firstLine="480" w:firstLineChars="200"/>
        <w:textAlignment w:val="baseline"/>
        <w:rPr>
          <w:rFonts w:hint="eastAsia" w:ascii="仿宋" w:hAnsi="仿宋" w:eastAsia="仿宋" w:cs="仿宋"/>
          <w:color w:val="auto"/>
          <w:sz w:val="24"/>
          <w:highlight w:val="none"/>
        </w:rPr>
      </w:pPr>
      <w:r>
        <w:rPr>
          <w:rFonts w:hint="eastAsia" w:ascii="仿宋" w:hAnsi="仿宋" w:eastAsia="仿宋" w:cs="仿宋"/>
          <w:color w:val="auto"/>
          <w:sz w:val="24"/>
          <w:highlight w:val="none"/>
        </w:rPr>
        <w:t>2.8</w:t>
      </w:r>
      <w:r>
        <w:rPr>
          <w:rFonts w:hint="eastAsia" w:ascii="仿宋" w:hAnsi="仿宋" w:eastAsia="仿宋" w:cs="仿宋"/>
          <w:b/>
          <w:bCs/>
          <w:color w:val="auto"/>
          <w:sz w:val="24"/>
          <w:highlight w:val="none"/>
        </w:rPr>
        <w:t>本项目不接受联合体磋商响应</w:t>
      </w:r>
      <w:r>
        <w:rPr>
          <w:rFonts w:hint="eastAsia" w:ascii="仿宋" w:hAnsi="仿宋" w:eastAsia="仿宋" w:cs="仿宋"/>
          <w:b/>
          <w:bCs/>
          <w:color w:val="auto"/>
          <w:sz w:val="24"/>
          <w:highlight w:val="none"/>
          <w:lang w:eastAsia="zh-CN"/>
        </w:rPr>
        <w:t>，</w:t>
      </w:r>
      <w:r>
        <w:rPr>
          <w:rFonts w:hint="eastAsia" w:ascii="仿宋" w:hAnsi="仿宋" w:eastAsia="仿宋" w:cs="仿宋"/>
          <w:b/>
          <w:bCs/>
          <w:color w:val="auto"/>
          <w:sz w:val="24"/>
          <w:highlight w:val="none"/>
          <w:lang w:val="en-US" w:eastAsia="zh-CN"/>
        </w:rPr>
        <w:t>不允许分包转包</w:t>
      </w:r>
      <w:r>
        <w:rPr>
          <w:rFonts w:hint="eastAsia" w:ascii="仿宋" w:hAnsi="仿宋" w:eastAsia="仿宋" w:cs="仿宋"/>
          <w:b/>
          <w:bCs/>
          <w:color w:val="auto"/>
          <w:sz w:val="24"/>
          <w:highlight w:val="none"/>
        </w:rPr>
        <w:t>。</w:t>
      </w:r>
    </w:p>
    <w:p>
      <w:pPr>
        <w:pStyle w:val="4"/>
        <w:ind w:firstLine="0" w:firstLineChars="0"/>
        <w:jc w:val="left"/>
        <w:rPr>
          <w:rFonts w:hint="eastAsia" w:ascii="仿宋" w:hAnsi="仿宋" w:eastAsia="仿宋" w:cs="仿宋"/>
          <w:color w:val="auto"/>
          <w:sz w:val="24"/>
          <w:szCs w:val="24"/>
          <w:highlight w:val="none"/>
        </w:rPr>
      </w:pPr>
      <w:bookmarkStart w:id="6" w:name="_Toc32716"/>
      <w:r>
        <w:rPr>
          <w:rFonts w:hint="eastAsia" w:ascii="仿宋" w:hAnsi="仿宋" w:eastAsia="仿宋" w:cs="仿宋"/>
          <w:color w:val="auto"/>
          <w:sz w:val="24"/>
          <w:szCs w:val="24"/>
          <w:highlight w:val="none"/>
        </w:rPr>
        <w:t>三、资格审查方法</w:t>
      </w:r>
      <w:bookmarkEnd w:id="4"/>
      <w:bookmarkEnd w:id="6"/>
    </w:p>
    <w:p>
      <w:pPr>
        <w:spacing w:line="360" w:lineRule="auto"/>
        <w:ind w:firstLine="480" w:firstLineChars="200"/>
        <w:textAlignment w:val="baseline"/>
        <w:rPr>
          <w:rFonts w:ascii="仿宋" w:hAnsi="仿宋" w:eastAsia="仿宋" w:cs="仿宋"/>
          <w:color w:val="auto"/>
          <w:sz w:val="24"/>
          <w:highlight w:val="none"/>
        </w:rPr>
      </w:pPr>
      <w:r>
        <w:rPr>
          <w:rFonts w:hint="eastAsia" w:ascii="仿宋" w:hAnsi="仿宋" w:eastAsia="仿宋" w:cs="仿宋"/>
          <w:color w:val="auto"/>
          <w:sz w:val="24"/>
          <w:highlight w:val="none"/>
        </w:rPr>
        <w:t>本项目将进行资格后审，资格审查方法为合格制，资格审查标准和内容见磋商文件第三章评审办法。未通过资格后审的供应商，响应文件将被否决，不进入磋商、详细评审等后续环节。</w:t>
      </w:r>
    </w:p>
    <w:p>
      <w:pPr>
        <w:pStyle w:val="4"/>
        <w:spacing w:after="240"/>
        <w:ind w:firstLine="0" w:firstLineChars="0"/>
        <w:jc w:val="left"/>
        <w:rPr>
          <w:rFonts w:hint="eastAsia" w:ascii="仿宋" w:hAnsi="仿宋" w:eastAsia="仿宋" w:cs="仿宋"/>
          <w:color w:val="auto"/>
          <w:sz w:val="24"/>
          <w:szCs w:val="24"/>
          <w:highlight w:val="none"/>
        </w:rPr>
      </w:pPr>
      <w:bookmarkStart w:id="7" w:name="_Toc14402"/>
      <w:bookmarkStart w:id="8" w:name="_Toc2019"/>
      <w:r>
        <w:rPr>
          <w:rFonts w:hint="eastAsia" w:ascii="仿宋" w:hAnsi="仿宋" w:eastAsia="仿宋" w:cs="仿宋"/>
          <w:color w:val="auto"/>
          <w:sz w:val="24"/>
          <w:szCs w:val="24"/>
          <w:highlight w:val="none"/>
        </w:rPr>
        <w:t>四、磋商文件的获取</w:t>
      </w:r>
      <w:bookmarkEnd w:id="7"/>
      <w:bookmarkEnd w:id="8"/>
    </w:p>
    <w:p>
      <w:pPr>
        <w:pStyle w:val="8"/>
        <w:adjustRightInd w:val="0"/>
        <w:snapToGrid w:val="0"/>
        <w:ind w:firstLineChars="175"/>
        <w:jc w:val="left"/>
        <w:rPr>
          <w:rFonts w:hint="eastAsia" w:ascii="仿宋" w:hAnsi="仿宋" w:eastAsia="仿宋" w:cs="宋体"/>
          <w:color w:val="auto"/>
          <w:sz w:val="24"/>
          <w:szCs w:val="24"/>
          <w:highlight w:val="none"/>
        </w:rPr>
      </w:pPr>
      <w:r>
        <w:rPr>
          <w:rFonts w:ascii="仿宋" w:hAnsi="仿宋" w:eastAsia="仿宋" w:cs="仿宋"/>
          <w:color w:val="auto"/>
          <w:sz w:val="24"/>
          <w:szCs w:val="24"/>
          <w:highlight w:val="none"/>
        </w:rPr>
        <w:t>4</w:t>
      </w:r>
      <w:r>
        <w:rPr>
          <w:rFonts w:hint="eastAsia" w:ascii="仿宋" w:hAnsi="仿宋" w:eastAsia="仿宋" w:cs="仿宋"/>
          <w:color w:val="auto"/>
          <w:sz w:val="24"/>
          <w:szCs w:val="24"/>
          <w:highlight w:val="none"/>
        </w:rPr>
        <w:t>.1磋商文件</w:t>
      </w:r>
      <w:r>
        <w:rPr>
          <w:rFonts w:hint="eastAsia" w:ascii="仿宋" w:hAnsi="仿宋" w:eastAsia="仿宋" w:cs="宋体"/>
          <w:color w:val="auto"/>
          <w:sz w:val="24"/>
          <w:szCs w:val="24"/>
          <w:highlight w:val="none"/>
        </w:rPr>
        <w:t>获取</w:t>
      </w:r>
      <w:r>
        <w:rPr>
          <w:rFonts w:hint="eastAsia" w:ascii="仿宋" w:hAnsi="仿宋" w:eastAsia="仿宋" w:cs="仿宋"/>
          <w:color w:val="auto"/>
          <w:sz w:val="24"/>
          <w:szCs w:val="24"/>
          <w:highlight w:val="none"/>
        </w:rPr>
        <w:t>时间：</w:t>
      </w:r>
      <w:r>
        <w:rPr>
          <w:rFonts w:hint="eastAsia" w:ascii="仿宋" w:hAnsi="仿宋" w:eastAsia="仿宋" w:cs="宋体"/>
          <w:b/>
          <w:color w:val="auto"/>
          <w:sz w:val="24"/>
          <w:szCs w:val="24"/>
          <w:highlight w:val="none"/>
          <w:u w:val="single"/>
        </w:rPr>
        <w:t>202</w:t>
      </w:r>
      <w:r>
        <w:rPr>
          <w:rFonts w:hint="eastAsia" w:ascii="仿宋" w:hAnsi="仿宋" w:eastAsia="仿宋" w:cs="宋体"/>
          <w:b/>
          <w:color w:val="auto"/>
          <w:sz w:val="24"/>
          <w:szCs w:val="24"/>
          <w:highlight w:val="none"/>
          <w:u w:val="single"/>
          <w:lang w:val="en-US" w:eastAsia="zh-CN"/>
        </w:rPr>
        <w:t>5</w:t>
      </w:r>
      <w:r>
        <w:rPr>
          <w:rFonts w:hint="eastAsia" w:ascii="仿宋" w:hAnsi="仿宋" w:eastAsia="仿宋" w:cs="宋体"/>
          <w:b/>
          <w:color w:val="auto"/>
          <w:sz w:val="24"/>
          <w:szCs w:val="24"/>
          <w:highlight w:val="none"/>
          <w:u w:val="single"/>
        </w:rPr>
        <w:t>年</w:t>
      </w:r>
      <w:r>
        <w:rPr>
          <w:rFonts w:hint="eastAsia" w:ascii="仿宋" w:hAnsi="仿宋" w:eastAsia="仿宋" w:cs="宋体"/>
          <w:b/>
          <w:color w:val="auto"/>
          <w:sz w:val="24"/>
          <w:szCs w:val="24"/>
          <w:highlight w:val="none"/>
          <w:u w:val="single"/>
          <w:lang w:val="en-US" w:eastAsia="zh-CN"/>
        </w:rPr>
        <w:t>12</w:t>
      </w:r>
      <w:r>
        <w:rPr>
          <w:rFonts w:hint="eastAsia" w:ascii="仿宋" w:hAnsi="仿宋" w:eastAsia="仿宋" w:cs="宋体"/>
          <w:b/>
          <w:color w:val="auto"/>
          <w:sz w:val="24"/>
          <w:szCs w:val="24"/>
          <w:highlight w:val="none"/>
          <w:u w:val="single"/>
        </w:rPr>
        <w:t>月</w:t>
      </w:r>
      <w:r>
        <w:rPr>
          <w:rFonts w:hint="eastAsia" w:ascii="仿宋" w:hAnsi="仿宋" w:eastAsia="仿宋" w:cs="宋体"/>
          <w:b/>
          <w:color w:val="auto"/>
          <w:sz w:val="24"/>
          <w:szCs w:val="24"/>
          <w:highlight w:val="none"/>
          <w:u w:val="single"/>
          <w:lang w:val="en-US" w:eastAsia="zh-CN"/>
        </w:rPr>
        <w:t>2</w:t>
      </w:r>
      <w:r>
        <w:rPr>
          <w:rFonts w:hint="eastAsia" w:ascii="仿宋" w:hAnsi="仿宋" w:eastAsia="仿宋" w:cs="宋体"/>
          <w:b/>
          <w:color w:val="auto"/>
          <w:sz w:val="24"/>
          <w:szCs w:val="24"/>
          <w:highlight w:val="none"/>
          <w:u w:val="single"/>
        </w:rPr>
        <w:t>日</w:t>
      </w:r>
      <w:r>
        <w:rPr>
          <w:rFonts w:hint="eastAsia" w:ascii="仿宋" w:hAnsi="仿宋" w:eastAsia="仿宋" w:cs="宋体"/>
          <w:b/>
          <w:color w:val="auto"/>
          <w:sz w:val="24"/>
          <w:szCs w:val="24"/>
          <w:highlight w:val="none"/>
        </w:rPr>
        <w:t>至</w:t>
      </w:r>
      <w:r>
        <w:rPr>
          <w:rFonts w:hint="eastAsia" w:ascii="仿宋" w:hAnsi="仿宋" w:eastAsia="仿宋" w:cs="宋体"/>
          <w:b/>
          <w:color w:val="auto"/>
          <w:sz w:val="24"/>
          <w:szCs w:val="24"/>
          <w:highlight w:val="none"/>
          <w:u w:val="single"/>
        </w:rPr>
        <w:t>202</w:t>
      </w:r>
      <w:r>
        <w:rPr>
          <w:rFonts w:hint="eastAsia" w:ascii="仿宋" w:hAnsi="仿宋" w:eastAsia="仿宋" w:cs="宋体"/>
          <w:b/>
          <w:color w:val="auto"/>
          <w:sz w:val="24"/>
          <w:szCs w:val="24"/>
          <w:highlight w:val="none"/>
          <w:u w:val="single"/>
          <w:lang w:val="en-US" w:eastAsia="zh-CN"/>
        </w:rPr>
        <w:t>5</w:t>
      </w:r>
      <w:r>
        <w:rPr>
          <w:rFonts w:hint="eastAsia" w:ascii="仿宋" w:hAnsi="仿宋" w:eastAsia="仿宋" w:cs="宋体"/>
          <w:b/>
          <w:color w:val="auto"/>
          <w:sz w:val="24"/>
          <w:szCs w:val="24"/>
          <w:highlight w:val="none"/>
          <w:u w:val="single"/>
        </w:rPr>
        <w:t>年</w:t>
      </w:r>
      <w:r>
        <w:rPr>
          <w:rFonts w:hint="eastAsia" w:ascii="仿宋" w:hAnsi="仿宋" w:eastAsia="仿宋" w:cs="宋体"/>
          <w:b/>
          <w:color w:val="auto"/>
          <w:sz w:val="24"/>
          <w:szCs w:val="24"/>
          <w:highlight w:val="none"/>
          <w:u w:val="single"/>
          <w:lang w:val="en-US" w:eastAsia="zh-CN"/>
        </w:rPr>
        <w:t>12</w:t>
      </w:r>
      <w:r>
        <w:rPr>
          <w:rFonts w:hint="eastAsia" w:ascii="仿宋" w:hAnsi="仿宋" w:eastAsia="仿宋" w:cs="宋体"/>
          <w:b/>
          <w:color w:val="auto"/>
          <w:sz w:val="24"/>
          <w:szCs w:val="24"/>
          <w:highlight w:val="none"/>
          <w:u w:val="single"/>
        </w:rPr>
        <w:t>月</w:t>
      </w:r>
      <w:r>
        <w:rPr>
          <w:rFonts w:hint="eastAsia" w:ascii="仿宋" w:hAnsi="仿宋" w:eastAsia="仿宋" w:cs="宋体"/>
          <w:b/>
          <w:color w:val="auto"/>
          <w:sz w:val="24"/>
          <w:szCs w:val="24"/>
          <w:highlight w:val="none"/>
          <w:u w:val="single"/>
          <w:lang w:val="en-US" w:eastAsia="zh-CN"/>
        </w:rPr>
        <w:t>9</w:t>
      </w:r>
      <w:r>
        <w:rPr>
          <w:rFonts w:hint="eastAsia" w:ascii="仿宋" w:hAnsi="仿宋" w:eastAsia="仿宋" w:cs="宋体"/>
          <w:b/>
          <w:color w:val="auto"/>
          <w:sz w:val="24"/>
          <w:szCs w:val="24"/>
          <w:highlight w:val="none"/>
          <w:u w:val="single"/>
        </w:rPr>
        <w:t>日，</w:t>
      </w:r>
      <w:r>
        <w:rPr>
          <w:rFonts w:hint="eastAsia" w:ascii="仿宋" w:hAnsi="仿宋" w:eastAsia="仿宋" w:cs="宋体"/>
          <w:color w:val="auto"/>
          <w:sz w:val="24"/>
          <w:szCs w:val="24"/>
          <w:highlight w:val="none"/>
        </w:rPr>
        <w:t>上午</w:t>
      </w:r>
      <w:r>
        <w:rPr>
          <w:rFonts w:hint="eastAsia" w:ascii="仿宋" w:hAnsi="仿宋" w:eastAsia="仿宋" w:cs="宋体"/>
          <w:color w:val="auto"/>
          <w:sz w:val="24"/>
          <w:szCs w:val="24"/>
          <w:highlight w:val="none"/>
          <w:lang w:val="en-US" w:eastAsia="zh-CN"/>
        </w:rPr>
        <w:t>09</w:t>
      </w:r>
      <w:r>
        <w:rPr>
          <w:rFonts w:hint="eastAsia" w:ascii="仿宋" w:hAnsi="仿宋" w:eastAsia="仿宋" w:cs="宋体"/>
          <w:color w:val="auto"/>
          <w:sz w:val="24"/>
          <w:szCs w:val="24"/>
          <w:highlight w:val="none"/>
        </w:rPr>
        <w:t>时至</w:t>
      </w:r>
      <w:r>
        <w:rPr>
          <w:rFonts w:hint="eastAsia" w:ascii="仿宋" w:hAnsi="仿宋" w:eastAsia="仿宋" w:cs="宋体"/>
          <w:color w:val="auto"/>
          <w:sz w:val="24"/>
          <w:szCs w:val="24"/>
          <w:highlight w:val="none"/>
          <w:lang w:val="en-US" w:eastAsia="zh-CN"/>
        </w:rPr>
        <w:t>12</w:t>
      </w:r>
      <w:r>
        <w:rPr>
          <w:rFonts w:hint="eastAsia" w:ascii="仿宋" w:hAnsi="仿宋" w:eastAsia="仿宋" w:cs="宋体"/>
          <w:color w:val="auto"/>
          <w:sz w:val="24"/>
          <w:szCs w:val="24"/>
          <w:highlight w:val="none"/>
        </w:rPr>
        <w:t>时，下午</w:t>
      </w:r>
      <w:r>
        <w:rPr>
          <w:rFonts w:hint="eastAsia" w:ascii="仿宋" w:hAnsi="仿宋" w:eastAsia="仿宋" w:cs="宋体"/>
          <w:color w:val="auto"/>
          <w:sz w:val="24"/>
          <w:szCs w:val="24"/>
          <w:highlight w:val="none"/>
          <w:lang w:val="en-US" w:eastAsia="zh-CN"/>
        </w:rPr>
        <w:t>12</w:t>
      </w:r>
      <w:r>
        <w:rPr>
          <w:rFonts w:hint="eastAsia" w:ascii="仿宋" w:hAnsi="仿宋" w:eastAsia="仿宋" w:cs="宋体"/>
          <w:color w:val="auto"/>
          <w:sz w:val="24"/>
          <w:szCs w:val="24"/>
          <w:highlight w:val="none"/>
        </w:rPr>
        <w:t>时至</w:t>
      </w:r>
      <w:r>
        <w:rPr>
          <w:rFonts w:hint="eastAsia" w:ascii="仿宋" w:hAnsi="仿宋" w:eastAsia="仿宋" w:cs="宋体"/>
          <w:color w:val="auto"/>
          <w:sz w:val="24"/>
          <w:szCs w:val="24"/>
          <w:highlight w:val="none"/>
          <w:lang w:val="en-US" w:eastAsia="zh-CN"/>
        </w:rPr>
        <w:t>17</w:t>
      </w:r>
      <w:r>
        <w:rPr>
          <w:rFonts w:hint="eastAsia" w:ascii="仿宋" w:hAnsi="仿宋" w:eastAsia="仿宋" w:cs="宋体"/>
          <w:color w:val="auto"/>
          <w:sz w:val="24"/>
          <w:szCs w:val="24"/>
          <w:highlight w:val="none"/>
        </w:rPr>
        <w:t>时（北京时间，下同）。</w:t>
      </w:r>
      <w:bookmarkStart w:id="9" w:name="_Toc32115"/>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 xml:space="preserve">4.2 </w:t>
      </w:r>
      <w:r>
        <w:rPr>
          <w:rFonts w:hint="eastAsia" w:ascii="仿宋" w:hAnsi="仿宋" w:eastAsia="仿宋" w:cs="仿宋"/>
          <w:color w:val="auto"/>
          <w:sz w:val="24"/>
          <w:szCs w:val="24"/>
          <w:highlight w:val="none"/>
        </w:rPr>
        <w:t>磋商</w:t>
      </w:r>
      <w:r>
        <w:rPr>
          <w:rFonts w:hint="eastAsia" w:ascii="仿宋" w:hAnsi="仿宋" w:eastAsia="仿宋" w:cs="仿宋"/>
          <w:b w:val="0"/>
          <w:bCs w:val="0"/>
          <w:color w:val="auto"/>
          <w:kern w:val="2"/>
          <w:sz w:val="24"/>
          <w:szCs w:val="24"/>
          <w:highlight w:val="none"/>
          <w:lang w:val="en-US" w:eastAsia="zh-CN" w:bidi="ar-SA"/>
        </w:rPr>
        <w:t xml:space="preserve">文件获取方式：现场获取或电子邮件报名（将获取文件时需提交的资料及标书费转账凭证发送至报名邮箱 </w:t>
      </w:r>
      <w:r>
        <w:rPr>
          <w:rFonts w:hint="eastAsia" w:ascii="仿宋" w:hAnsi="仿宋" w:eastAsia="仿宋" w:cs="仿宋"/>
          <w:b w:val="0"/>
          <w:bCs w:val="0"/>
          <w:color w:val="auto"/>
          <w:kern w:val="2"/>
          <w:sz w:val="24"/>
          <w:szCs w:val="24"/>
          <w:highlight w:val="none"/>
          <w:lang w:val="en-US" w:eastAsia="zh-CN" w:bidi="ar-SA"/>
        </w:rPr>
        <w:fldChar w:fldCharType="begin"/>
      </w:r>
      <w:r>
        <w:rPr>
          <w:rFonts w:hint="eastAsia" w:ascii="仿宋" w:hAnsi="仿宋" w:eastAsia="仿宋" w:cs="仿宋"/>
          <w:b w:val="0"/>
          <w:bCs w:val="0"/>
          <w:color w:val="auto"/>
          <w:kern w:val="2"/>
          <w:sz w:val="24"/>
          <w:szCs w:val="24"/>
          <w:highlight w:val="none"/>
          <w:lang w:val="en-US" w:eastAsia="zh-CN" w:bidi="ar-SA"/>
        </w:rPr>
        <w:instrText xml:space="preserve"> HYPERLINK "mailto:wuqb@zjsct.cn）。" </w:instrText>
      </w:r>
      <w:r>
        <w:rPr>
          <w:rFonts w:hint="eastAsia" w:ascii="仿宋" w:hAnsi="仿宋" w:eastAsia="仿宋" w:cs="仿宋"/>
          <w:b w:val="0"/>
          <w:bCs w:val="0"/>
          <w:color w:val="auto"/>
          <w:kern w:val="2"/>
          <w:sz w:val="24"/>
          <w:szCs w:val="24"/>
          <w:highlight w:val="none"/>
          <w:lang w:val="en-US" w:eastAsia="zh-CN" w:bidi="ar-SA"/>
        </w:rPr>
        <w:fldChar w:fldCharType="separate"/>
      </w:r>
      <w:r>
        <w:rPr>
          <w:rStyle w:val="7"/>
          <w:rFonts w:hint="eastAsia" w:ascii="仿宋" w:hAnsi="仿宋" w:eastAsia="仿宋" w:cs="仿宋"/>
          <w:b w:val="0"/>
          <w:bCs w:val="0"/>
          <w:kern w:val="2"/>
          <w:sz w:val="24"/>
          <w:szCs w:val="24"/>
          <w:highlight w:val="none"/>
          <w:lang w:val="en-US" w:eastAsia="zh-CN" w:bidi="ar-SA"/>
        </w:rPr>
        <w:t>wuqb@zjsct.cn）。</w:t>
      </w:r>
      <w:r>
        <w:rPr>
          <w:rFonts w:hint="eastAsia" w:ascii="仿宋" w:hAnsi="仿宋" w:eastAsia="仿宋" w:cs="仿宋"/>
          <w:b w:val="0"/>
          <w:bCs w:val="0"/>
          <w:color w:val="auto"/>
          <w:kern w:val="2"/>
          <w:sz w:val="24"/>
          <w:szCs w:val="24"/>
          <w:highlight w:val="none"/>
          <w:lang w:val="en-US" w:eastAsia="zh-CN" w:bidi="ar-SA"/>
        </w:rPr>
        <w:fldChar w:fldCharType="end"/>
      </w:r>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4.3 获取磋商文件时需提交的资料：</w:t>
      </w:r>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（1）获取磋商文件单位登记表（格式详见公告附件：浙江政府采购网公告-游客浏览采购文件-下载）；</w:t>
      </w:r>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（2）法定代表人授权书（附身份证复印件）或介绍信（加盖单位公章）；</w:t>
      </w:r>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（3）有效的营业执照副本（或法人证书）（加盖单位公章）。</w:t>
      </w:r>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（4）人保e采外网门户注册入库截图（加盖单位公章）。</w:t>
      </w:r>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4.4 售价（元）：每本300元（售后不退）；</w:t>
      </w:r>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 xml:space="preserve">支付方式：银行转账 </w:t>
      </w:r>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 xml:space="preserve">收款单位（户名）：浙江省成套招标代理有限公司 </w:t>
      </w:r>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 xml:space="preserve">开户：中信银行杭州西湖支行 </w:t>
      </w:r>
    </w:p>
    <w:p>
      <w:pPr>
        <w:pStyle w:val="8"/>
        <w:adjustRightInd w:val="0"/>
        <w:snapToGrid w:val="0"/>
        <w:ind w:firstLineChars="175"/>
        <w:jc w:val="left"/>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bCs w:val="0"/>
          <w:color w:val="auto"/>
          <w:kern w:val="2"/>
          <w:sz w:val="24"/>
          <w:szCs w:val="24"/>
          <w:highlight w:val="none"/>
          <w:lang w:val="en-US" w:eastAsia="zh-CN" w:bidi="ar-SA"/>
        </w:rPr>
        <w:t>账号：7331610182600126385</w:t>
      </w:r>
    </w:p>
    <w:p>
      <w:pPr>
        <w:pStyle w:val="8"/>
        <w:adjustRightInd w:val="0"/>
        <w:snapToGrid w:val="0"/>
        <w:ind w:firstLineChars="175"/>
        <w:jc w:val="left"/>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4.5 凡拟报名参加本项目的潜在投标人，均须先登录人保e采外网门户（https://ec.picc.com/）申请注册入库。若投标人已完成注册的，无需重复注册。</w:t>
      </w:r>
    </w:p>
    <w:p>
      <w:pPr>
        <w:pStyle w:val="4"/>
        <w:ind w:firstLine="0" w:firstLineChars="0"/>
        <w:jc w:val="left"/>
        <w:rPr>
          <w:rFonts w:hint="eastAsia" w:ascii="仿宋" w:hAnsi="仿宋" w:eastAsia="仿宋" w:cs="仿宋"/>
          <w:color w:val="auto"/>
          <w:sz w:val="24"/>
          <w:szCs w:val="24"/>
          <w:highlight w:val="none"/>
        </w:rPr>
      </w:pPr>
      <w:bookmarkStart w:id="10" w:name="_Toc10989"/>
      <w:r>
        <w:rPr>
          <w:rFonts w:hint="eastAsia" w:ascii="仿宋" w:hAnsi="仿宋" w:eastAsia="仿宋" w:cs="仿宋"/>
          <w:color w:val="auto"/>
          <w:sz w:val="24"/>
          <w:szCs w:val="24"/>
          <w:highlight w:val="none"/>
        </w:rPr>
        <w:t>五、响应文件的递交</w:t>
      </w:r>
      <w:bookmarkEnd w:id="9"/>
      <w:bookmarkEnd w:id="10"/>
    </w:p>
    <w:p>
      <w:pPr>
        <w:spacing w:line="360" w:lineRule="auto"/>
        <w:ind w:firstLine="480" w:firstLineChars="200"/>
        <w:textAlignment w:val="baseline"/>
        <w:rPr>
          <w:rFonts w:hint="eastAsia" w:ascii="仿宋" w:hAnsi="仿宋" w:eastAsia="仿宋" w:cs="宋体"/>
          <w:color w:val="auto"/>
          <w:sz w:val="24"/>
          <w:highlight w:val="none"/>
        </w:rPr>
      </w:pPr>
      <w:r>
        <w:rPr>
          <w:rFonts w:ascii="仿宋" w:hAnsi="仿宋" w:eastAsia="仿宋" w:cs="宋体"/>
          <w:color w:val="auto"/>
          <w:sz w:val="24"/>
          <w:highlight w:val="none"/>
        </w:rPr>
        <w:t>5</w:t>
      </w:r>
      <w:r>
        <w:rPr>
          <w:rFonts w:hint="eastAsia" w:ascii="仿宋" w:hAnsi="仿宋" w:eastAsia="仿宋" w:cs="宋体"/>
          <w:color w:val="auto"/>
          <w:sz w:val="24"/>
          <w:highlight w:val="none"/>
        </w:rPr>
        <w:t>.1响应文件递交截止时间：</w:t>
      </w:r>
      <w:r>
        <w:rPr>
          <w:rFonts w:hint="eastAsia" w:ascii="仿宋" w:hAnsi="仿宋" w:eastAsia="仿宋" w:cs="宋体"/>
          <w:color w:val="auto"/>
          <w:sz w:val="24"/>
          <w:highlight w:val="none"/>
          <w:u w:val="single"/>
        </w:rPr>
        <w:t>20</w:t>
      </w:r>
      <w:r>
        <w:rPr>
          <w:rFonts w:hint="eastAsia" w:ascii="仿宋" w:hAnsi="仿宋" w:eastAsia="仿宋" w:cs="宋体"/>
          <w:color w:val="auto"/>
          <w:sz w:val="24"/>
          <w:highlight w:val="none"/>
          <w:u w:val="single"/>
          <w:lang w:val="en-US" w:eastAsia="zh-CN"/>
        </w:rPr>
        <w:t>25</w:t>
      </w:r>
      <w:r>
        <w:rPr>
          <w:rFonts w:hint="eastAsia" w:ascii="仿宋" w:hAnsi="仿宋" w:eastAsia="仿宋" w:cs="宋体"/>
          <w:color w:val="auto"/>
          <w:sz w:val="24"/>
          <w:highlight w:val="none"/>
          <w:u w:val="single"/>
        </w:rPr>
        <w:t>年</w:t>
      </w:r>
      <w:r>
        <w:rPr>
          <w:rFonts w:hint="eastAsia" w:ascii="仿宋" w:hAnsi="仿宋" w:eastAsia="仿宋" w:cs="宋体"/>
          <w:color w:val="auto"/>
          <w:sz w:val="24"/>
          <w:highlight w:val="none"/>
          <w:u w:val="single"/>
          <w:lang w:val="en-US" w:eastAsia="zh-CN"/>
        </w:rPr>
        <w:t>12</w:t>
      </w:r>
      <w:r>
        <w:rPr>
          <w:rFonts w:hint="eastAsia" w:ascii="仿宋" w:hAnsi="仿宋" w:eastAsia="仿宋" w:cs="宋体"/>
          <w:color w:val="auto"/>
          <w:sz w:val="24"/>
          <w:highlight w:val="none"/>
          <w:u w:val="single"/>
        </w:rPr>
        <w:t>月</w:t>
      </w:r>
      <w:r>
        <w:rPr>
          <w:rFonts w:hint="eastAsia" w:ascii="仿宋" w:hAnsi="仿宋" w:eastAsia="仿宋" w:cs="宋体"/>
          <w:color w:val="auto"/>
          <w:sz w:val="24"/>
          <w:highlight w:val="none"/>
          <w:u w:val="single"/>
          <w:lang w:val="en-US" w:eastAsia="zh-CN"/>
        </w:rPr>
        <w:t>15</w:t>
      </w:r>
      <w:r>
        <w:rPr>
          <w:rFonts w:hint="eastAsia" w:ascii="仿宋" w:hAnsi="仿宋" w:eastAsia="仿宋" w:cs="宋体"/>
          <w:color w:val="auto"/>
          <w:sz w:val="24"/>
          <w:highlight w:val="none"/>
          <w:u w:val="single"/>
        </w:rPr>
        <w:t>日</w:t>
      </w:r>
      <w:r>
        <w:rPr>
          <w:rFonts w:hint="eastAsia" w:ascii="仿宋" w:hAnsi="仿宋" w:eastAsia="仿宋" w:cs="宋体"/>
          <w:color w:val="auto"/>
          <w:sz w:val="24"/>
          <w:highlight w:val="none"/>
          <w:u w:val="single"/>
          <w:lang w:val="en-US" w:eastAsia="zh-CN"/>
        </w:rPr>
        <w:t>13</w:t>
      </w:r>
      <w:r>
        <w:rPr>
          <w:rFonts w:hint="eastAsia" w:ascii="仿宋" w:hAnsi="仿宋" w:eastAsia="仿宋" w:cs="宋体"/>
          <w:color w:val="auto"/>
          <w:sz w:val="24"/>
          <w:highlight w:val="none"/>
          <w:u w:val="single"/>
        </w:rPr>
        <w:t>时</w:t>
      </w:r>
      <w:r>
        <w:rPr>
          <w:rFonts w:hint="eastAsia" w:ascii="仿宋" w:hAnsi="仿宋" w:eastAsia="仿宋" w:cs="宋体"/>
          <w:color w:val="auto"/>
          <w:sz w:val="24"/>
          <w:highlight w:val="none"/>
          <w:u w:val="single"/>
          <w:lang w:val="en-US" w:eastAsia="zh-CN"/>
        </w:rPr>
        <w:t>30</w:t>
      </w:r>
      <w:r>
        <w:rPr>
          <w:rFonts w:hint="eastAsia" w:ascii="仿宋" w:hAnsi="仿宋" w:eastAsia="仿宋" w:cs="宋体"/>
          <w:color w:val="auto"/>
          <w:sz w:val="24"/>
          <w:highlight w:val="none"/>
          <w:u w:val="single"/>
        </w:rPr>
        <w:t>分00秒</w:t>
      </w:r>
      <w:r>
        <w:rPr>
          <w:rFonts w:hint="eastAsia" w:ascii="仿宋" w:hAnsi="仿宋" w:eastAsia="仿宋" w:cs="宋体"/>
          <w:color w:val="auto"/>
          <w:sz w:val="24"/>
          <w:highlight w:val="none"/>
        </w:rPr>
        <w:t>。</w:t>
      </w:r>
    </w:p>
    <w:p>
      <w:pPr>
        <w:spacing w:line="360" w:lineRule="auto"/>
        <w:ind w:firstLine="480" w:firstLineChars="200"/>
        <w:jc w:val="left"/>
        <w:textAlignment w:val="baseline"/>
        <w:rPr>
          <w:rFonts w:hint="eastAsia"/>
          <w:color w:val="auto"/>
          <w:highlight w:val="none"/>
        </w:rPr>
      </w:pPr>
      <w:r>
        <w:rPr>
          <w:rFonts w:hint="eastAsia" w:ascii="仿宋" w:hAnsi="仿宋" w:eastAsia="仿宋" w:cs="宋体"/>
          <w:color w:val="auto"/>
          <w:sz w:val="24"/>
          <w:highlight w:val="none"/>
        </w:rPr>
        <w:t>5.2响应文件的递交：须现场递交至</w:t>
      </w:r>
      <w:r>
        <w:rPr>
          <w:rFonts w:hint="eastAsia" w:ascii="仿宋" w:hAnsi="仿宋" w:eastAsia="仿宋" w:cs="宋体"/>
          <w:b/>
          <w:bCs/>
          <w:color w:val="auto"/>
          <w:sz w:val="24"/>
          <w:highlight w:val="none"/>
          <w:u w:val="single"/>
          <w:lang w:val="en-US" w:eastAsia="zh-CN"/>
        </w:rPr>
        <w:t>浙江省嘉兴市南湖区建设街道斜西街213号宝中宝二楼会议室</w:t>
      </w:r>
      <w:r>
        <w:rPr>
          <w:rFonts w:hint="eastAsia" w:ascii="仿宋" w:hAnsi="仿宋" w:eastAsia="仿宋" w:cs="宋体"/>
          <w:color w:val="auto"/>
          <w:sz w:val="24"/>
          <w:highlight w:val="none"/>
        </w:rPr>
        <w:t>，</w:t>
      </w:r>
      <w:r>
        <w:rPr>
          <w:rFonts w:hint="eastAsia" w:ascii="仿宋" w:hAnsi="仿宋" w:eastAsia="仿宋" w:cs="宋体"/>
          <w:b/>
          <w:bCs/>
          <w:color w:val="auto"/>
          <w:sz w:val="24"/>
          <w:highlight w:val="none"/>
        </w:rPr>
        <w:t>逾期送达或者未送达指定地点或者未按照磋商文件要求封装的纸质响应文件不予接收。</w:t>
      </w:r>
    </w:p>
    <w:p>
      <w:pPr>
        <w:spacing w:line="360" w:lineRule="auto"/>
        <w:ind w:firstLine="480" w:firstLineChars="200"/>
        <w:textAlignment w:val="baseline"/>
        <w:rPr>
          <w:rFonts w:hint="eastAsia" w:ascii="仿宋" w:hAnsi="仿宋" w:eastAsia="仿宋" w:cs="宋体"/>
          <w:b w:val="0"/>
          <w:bCs w:val="0"/>
          <w:color w:val="auto"/>
          <w:kern w:val="2"/>
          <w:sz w:val="24"/>
          <w:szCs w:val="24"/>
          <w:highlight w:val="none"/>
          <w:lang w:val="en-US" w:eastAsia="zh-CN" w:bidi="ar-SA"/>
        </w:rPr>
      </w:pPr>
      <w:r>
        <w:rPr>
          <w:rFonts w:hint="eastAsia" w:ascii="仿宋" w:hAnsi="仿宋" w:eastAsia="仿宋" w:cs="宋体"/>
          <w:b w:val="0"/>
          <w:color w:val="auto"/>
          <w:kern w:val="2"/>
          <w:sz w:val="24"/>
          <w:szCs w:val="24"/>
          <w:highlight w:val="none"/>
          <w:lang w:val="en-US" w:eastAsia="zh-CN" w:bidi="ar-SA"/>
        </w:rPr>
        <w:t>5.3</w:t>
      </w:r>
      <w:r>
        <w:rPr>
          <w:rFonts w:hint="eastAsia" w:ascii="仿宋" w:hAnsi="仿宋" w:eastAsia="仿宋" w:cs="宋体"/>
          <w:b w:val="0"/>
          <w:bCs w:val="0"/>
          <w:color w:val="auto"/>
          <w:kern w:val="2"/>
          <w:sz w:val="24"/>
          <w:szCs w:val="24"/>
          <w:highlight w:val="none"/>
          <w:lang w:val="en-US" w:eastAsia="zh-CN" w:bidi="ar-SA"/>
        </w:rPr>
        <w:t>本项目将于上述同一时间、地点进行磋商，采购人/采购代理机构邀请供应商代表准时参加。</w:t>
      </w:r>
    </w:p>
    <w:p>
      <w:pPr>
        <w:spacing w:line="360" w:lineRule="auto"/>
        <w:ind w:firstLine="480" w:firstLineChars="200"/>
        <w:textAlignment w:val="baseline"/>
        <w:rPr>
          <w:rFonts w:hint="eastAsia" w:ascii="仿宋" w:hAnsi="仿宋" w:eastAsia="仿宋" w:cs="宋体"/>
          <w:b/>
          <w:bCs/>
          <w:color w:val="auto"/>
          <w:kern w:val="2"/>
          <w:sz w:val="24"/>
          <w:szCs w:val="24"/>
          <w:highlight w:val="none"/>
          <w:lang w:val="en-US" w:eastAsia="zh-CN" w:bidi="ar-SA"/>
        </w:rPr>
      </w:pPr>
      <w:r>
        <w:rPr>
          <w:rFonts w:hint="eastAsia" w:ascii="仿宋" w:hAnsi="仿宋" w:eastAsia="仿宋" w:cs="宋体"/>
          <w:b w:val="0"/>
          <w:color w:val="auto"/>
          <w:kern w:val="2"/>
          <w:sz w:val="24"/>
          <w:szCs w:val="24"/>
          <w:highlight w:val="none"/>
          <w:lang w:val="en-US" w:eastAsia="zh-CN" w:bidi="ar-SA"/>
        </w:rPr>
        <w:t>5.4</w:t>
      </w:r>
      <w:r>
        <w:rPr>
          <w:rFonts w:hint="eastAsia" w:ascii="仿宋" w:hAnsi="仿宋" w:eastAsia="仿宋" w:cs="宋体"/>
          <w:b/>
          <w:bCs/>
          <w:color w:val="auto"/>
          <w:kern w:val="2"/>
          <w:sz w:val="24"/>
          <w:szCs w:val="24"/>
          <w:highlight w:val="none"/>
          <w:lang w:val="en-US" w:eastAsia="zh-CN" w:bidi="ar-SA"/>
        </w:rPr>
        <w:t>出现以下情形之一时，采购人/采购代理机构不予接收投标文件：</w:t>
      </w:r>
    </w:p>
    <w:p>
      <w:pPr>
        <w:spacing w:line="360" w:lineRule="auto"/>
        <w:ind w:firstLine="480" w:firstLineChars="200"/>
        <w:textAlignment w:val="baseline"/>
        <w:rPr>
          <w:rFonts w:hint="eastAsia" w:ascii="仿宋" w:hAnsi="仿宋" w:eastAsia="仿宋" w:cs="宋体"/>
          <w:b w:val="0"/>
          <w:color w:val="auto"/>
          <w:kern w:val="2"/>
          <w:sz w:val="24"/>
          <w:szCs w:val="24"/>
          <w:highlight w:val="none"/>
          <w:lang w:val="en-US" w:eastAsia="zh-CN" w:bidi="ar-SA"/>
        </w:rPr>
      </w:pPr>
      <w:r>
        <w:rPr>
          <w:rFonts w:hint="eastAsia" w:ascii="仿宋" w:hAnsi="仿宋" w:eastAsia="仿宋" w:cs="宋体"/>
          <w:b w:val="0"/>
          <w:color w:val="auto"/>
          <w:kern w:val="2"/>
          <w:sz w:val="24"/>
          <w:szCs w:val="24"/>
          <w:highlight w:val="none"/>
          <w:lang w:val="en-US" w:eastAsia="zh-CN" w:bidi="ar-SA"/>
        </w:rPr>
        <w:t>5.4.1  逾期送达或者未送达指定地点的；</w:t>
      </w:r>
    </w:p>
    <w:p>
      <w:pPr>
        <w:spacing w:line="360" w:lineRule="auto"/>
        <w:ind w:firstLine="480" w:firstLineChars="200"/>
        <w:textAlignment w:val="baseline"/>
        <w:rPr>
          <w:rFonts w:hint="eastAsia" w:ascii="仿宋" w:hAnsi="仿宋" w:eastAsia="仿宋" w:cs="宋体"/>
          <w:b w:val="0"/>
          <w:color w:val="auto"/>
          <w:kern w:val="2"/>
          <w:sz w:val="24"/>
          <w:szCs w:val="24"/>
          <w:highlight w:val="none"/>
          <w:lang w:val="en-US" w:eastAsia="zh-CN" w:bidi="ar-SA"/>
        </w:rPr>
      </w:pPr>
      <w:r>
        <w:rPr>
          <w:rFonts w:hint="eastAsia" w:ascii="仿宋" w:hAnsi="仿宋" w:eastAsia="仿宋" w:cs="宋体"/>
          <w:b w:val="0"/>
          <w:color w:val="auto"/>
          <w:kern w:val="2"/>
          <w:sz w:val="24"/>
          <w:szCs w:val="24"/>
          <w:highlight w:val="none"/>
          <w:lang w:val="en-US" w:eastAsia="zh-CN" w:bidi="ar-SA"/>
        </w:rPr>
        <w:t>5.4.2  未按照响应文件要求密封的；</w:t>
      </w:r>
    </w:p>
    <w:p>
      <w:pPr>
        <w:spacing w:line="360" w:lineRule="auto"/>
        <w:ind w:firstLine="480" w:firstLineChars="200"/>
        <w:textAlignment w:val="baseline"/>
        <w:rPr>
          <w:rFonts w:hint="eastAsia" w:ascii="仿宋" w:hAnsi="仿宋" w:eastAsia="仿宋" w:cs="宋体"/>
          <w:color w:val="auto"/>
          <w:sz w:val="24"/>
          <w:highlight w:val="none"/>
        </w:rPr>
      </w:pPr>
      <w:r>
        <w:rPr>
          <w:rFonts w:hint="eastAsia" w:ascii="仿宋" w:hAnsi="仿宋" w:eastAsia="仿宋" w:cs="宋体"/>
          <w:b w:val="0"/>
          <w:color w:val="auto"/>
          <w:kern w:val="2"/>
          <w:sz w:val="24"/>
          <w:szCs w:val="24"/>
          <w:highlight w:val="none"/>
          <w:lang w:val="en-US" w:eastAsia="zh-CN" w:bidi="ar-SA"/>
        </w:rPr>
        <w:t>5.4.3  未按照磋商公告要求获取磋商文件的。</w:t>
      </w:r>
    </w:p>
    <w:p>
      <w:pPr>
        <w:pStyle w:val="4"/>
        <w:ind w:firstLine="0" w:firstLineChars="0"/>
        <w:jc w:val="left"/>
        <w:rPr>
          <w:rFonts w:hint="eastAsia" w:ascii="仿宋" w:hAnsi="仿宋" w:eastAsia="仿宋" w:cs="仿宋"/>
          <w:color w:val="auto"/>
          <w:sz w:val="24"/>
          <w:szCs w:val="24"/>
          <w:highlight w:val="none"/>
        </w:rPr>
      </w:pPr>
      <w:bookmarkStart w:id="11" w:name="_Toc874"/>
      <w:bookmarkStart w:id="12" w:name="_Toc31354"/>
      <w:r>
        <w:rPr>
          <w:rFonts w:hint="eastAsia" w:ascii="仿宋" w:hAnsi="仿宋" w:eastAsia="仿宋" w:cs="仿宋"/>
          <w:color w:val="auto"/>
          <w:sz w:val="24"/>
          <w:szCs w:val="24"/>
          <w:highlight w:val="none"/>
          <w:lang w:val="en-US" w:eastAsia="zh-CN"/>
        </w:rPr>
        <w:t>六</w:t>
      </w:r>
      <w:r>
        <w:rPr>
          <w:rFonts w:hint="eastAsia" w:ascii="仿宋" w:hAnsi="仿宋" w:eastAsia="仿宋" w:cs="仿宋"/>
          <w:color w:val="auto"/>
          <w:sz w:val="24"/>
          <w:szCs w:val="24"/>
          <w:highlight w:val="none"/>
        </w:rPr>
        <w:t>、发布公告的媒介</w:t>
      </w:r>
      <w:bookmarkEnd w:id="11"/>
      <w:bookmarkEnd w:id="12"/>
    </w:p>
    <w:p>
      <w:pPr>
        <w:spacing w:line="360" w:lineRule="auto"/>
        <w:ind w:firstLine="480" w:firstLineChars="200"/>
        <w:textAlignment w:val="baseline"/>
        <w:rPr>
          <w:rFonts w:hint="eastAsia" w:ascii="仿宋" w:hAnsi="仿宋" w:eastAsia="仿宋" w:cs="仿宋"/>
          <w:color w:val="auto"/>
          <w:sz w:val="24"/>
          <w:highlight w:val="none"/>
        </w:rPr>
      </w:pPr>
      <w:r>
        <w:rPr>
          <w:rFonts w:hint="eastAsia" w:ascii="仿宋" w:hAnsi="仿宋" w:eastAsia="仿宋" w:cs="仿宋"/>
          <w:color w:val="auto"/>
          <w:sz w:val="24"/>
          <w:highlight w:val="none"/>
        </w:rPr>
        <w:t>本项目磋商公告同时在</w:t>
      </w:r>
      <w:r>
        <w:rPr>
          <w:rFonts w:hint="eastAsia" w:ascii="仿宋" w:hAnsi="仿宋" w:eastAsia="仿宋" w:cs="宋体"/>
          <w:color w:val="auto"/>
          <w:sz w:val="24"/>
          <w:highlight w:val="none"/>
          <w:u w:val="single"/>
        </w:rPr>
        <w:t>“人保e采”外网门户（https://ec.picc.com/）、</w:t>
      </w:r>
      <w:r>
        <w:rPr>
          <w:rFonts w:hint="eastAsia" w:ascii="仿宋" w:hAnsi="仿宋" w:eastAsia="仿宋" w:cs="宋体"/>
          <w:color w:val="auto"/>
          <w:sz w:val="24"/>
          <w:szCs w:val="24"/>
          <w:highlight w:val="none"/>
          <w:u w:val="single"/>
          <w:lang w:val="en-US" w:eastAsia="zh-CN"/>
        </w:rPr>
        <w:t>浙江政府采购网（https://zfcg.czt.zj.gov.cn/）、金采网（http://www.cfcpn.com/）</w:t>
      </w:r>
      <w:r>
        <w:rPr>
          <w:rFonts w:hint="eastAsia" w:ascii="仿宋" w:hAnsi="仿宋" w:eastAsia="仿宋" w:cs="仿宋"/>
          <w:color w:val="auto"/>
          <w:sz w:val="24"/>
          <w:highlight w:val="none"/>
        </w:rPr>
        <w:t>上发布，</w:t>
      </w:r>
      <w:r>
        <w:rPr>
          <w:rFonts w:hint="eastAsia" w:ascii="仿宋" w:hAnsi="仿宋" w:eastAsia="仿宋" w:cs="宋体"/>
          <w:color w:val="auto"/>
          <w:sz w:val="24"/>
          <w:highlight w:val="none"/>
        </w:rPr>
        <w:t>除上述外，采购人/采购代理机构不在其他任何网站、论坛等媒介上发布任何采购信息，其他任何媒介上转载的、以采购人/采购代理机构为采购主体的采购信息均为非法转载，均为无效</w:t>
      </w:r>
      <w:r>
        <w:rPr>
          <w:rFonts w:hint="eastAsia" w:ascii="仿宋" w:hAnsi="仿宋" w:eastAsia="仿宋" w:cs="仿宋"/>
          <w:color w:val="auto"/>
          <w:sz w:val="24"/>
          <w:highlight w:val="none"/>
        </w:rPr>
        <w:t>。对于非法转载、篡改采购公告信息的组织或个人，采购人/采购代理机构保留追究其法律责任的权利。</w:t>
      </w:r>
    </w:p>
    <w:p>
      <w:pPr>
        <w:pStyle w:val="4"/>
        <w:ind w:firstLine="0" w:firstLineChars="0"/>
        <w:jc w:val="left"/>
        <w:rPr>
          <w:rFonts w:hint="eastAsia" w:ascii="仿宋" w:hAnsi="仿宋" w:eastAsia="仿宋" w:cs="仿宋"/>
          <w:color w:val="auto"/>
          <w:sz w:val="24"/>
          <w:szCs w:val="24"/>
          <w:highlight w:val="none"/>
        </w:rPr>
      </w:pPr>
      <w:bookmarkStart w:id="13" w:name="_Toc25112"/>
      <w:bookmarkStart w:id="14" w:name="_Toc30596"/>
      <w:r>
        <w:rPr>
          <w:rFonts w:hint="eastAsia" w:ascii="仿宋" w:hAnsi="仿宋" w:eastAsia="仿宋" w:cs="仿宋"/>
          <w:color w:val="auto"/>
          <w:sz w:val="24"/>
          <w:szCs w:val="24"/>
          <w:highlight w:val="none"/>
          <w:lang w:val="en-US" w:eastAsia="zh-CN"/>
        </w:rPr>
        <w:t>七</w:t>
      </w:r>
      <w:r>
        <w:rPr>
          <w:rFonts w:hint="eastAsia" w:ascii="仿宋" w:hAnsi="仿宋" w:eastAsia="仿宋" w:cs="仿宋"/>
          <w:color w:val="auto"/>
          <w:sz w:val="24"/>
          <w:szCs w:val="24"/>
          <w:highlight w:val="none"/>
        </w:rPr>
        <w:t>、联系方式</w:t>
      </w:r>
      <w:bookmarkEnd w:id="13"/>
      <w:bookmarkEnd w:id="14"/>
    </w:p>
    <w:p>
      <w:pPr>
        <w:tabs>
          <w:tab w:val="left" w:pos="-105"/>
          <w:tab w:val="left" w:pos="420"/>
          <w:tab w:val="left" w:pos="630"/>
          <w:tab w:val="left" w:pos="1155"/>
          <w:tab w:val="left" w:pos="1890"/>
          <w:tab w:val="left" w:pos="3150"/>
          <w:tab w:val="left" w:pos="3780"/>
        </w:tabs>
        <w:spacing w:line="360" w:lineRule="auto"/>
        <w:ind w:firstLine="422" w:firstLineChars="175"/>
        <w:jc w:val="left"/>
        <w:rPr>
          <w:rFonts w:hint="eastAsia" w:ascii="仿宋" w:hAnsi="仿宋" w:eastAsia="仿宋" w:cs="仿宋"/>
          <w:b/>
          <w:bCs/>
          <w:color w:val="auto"/>
          <w:sz w:val="24"/>
          <w:highlight w:val="none"/>
          <w:lang w:eastAsia="zh-CN"/>
        </w:rPr>
      </w:pPr>
      <w:r>
        <w:rPr>
          <w:rFonts w:hint="eastAsia" w:ascii="仿宋" w:hAnsi="仿宋" w:eastAsia="仿宋" w:cs="仿宋"/>
          <w:b/>
          <w:bCs/>
          <w:color w:val="auto"/>
          <w:sz w:val="24"/>
          <w:highlight w:val="none"/>
        </w:rPr>
        <w:t>采购人：</w:t>
      </w:r>
      <w:r>
        <w:rPr>
          <w:rFonts w:hint="eastAsia" w:ascii="仿宋" w:hAnsi="仿宋" w:eastAsia="仿宋" w:cs="仿宋"/>
          <w:b/>
          <w:bCs/>
          <w:color w:val="auto"/>
          <w:sz w:val="24"/>
          <w:highlight w:val="none"/>
          <w:lang w:eastAsia="zh-CN"/>
        </w:rPr>
        <w:t>中国人民财产保险股份有限公司嘉兴市分公司</w:t>
      </w:r>
    </w:p>
    <w:p>
      <w:pPr>
        <w:spacing w:line="360" w:lineRule="auto"/>
        <w:ind w:firstLine="480" w:firstLineChars="200"/>
        <w:textAlignment w:val="baseline"/>
        <w:rPr>
          <w:rFonts w:hint="eastAsia" w:ascii="仿宋" w:hAnsi="仿宋" w:eastAsia="仿宋" w:cs="宋体"/>
          <w:sz w:val="24"/>
          <w:szCs w:val="24"/>
          <w:highlight w:val="none"/>
        </w:rPr>
      </w:pPr>
      <w:r>
        <w:rPr>
          <w:rFonts w:hint="eastAsia" w:ascii="仿宋" w:hAnsi="仿宋" w:eastAsia="仿宋" w:cs="宋体"/>
          <w:sz w:val="24"/>
          <w:szCs w:val="24"/>
          <w:highlight w:val="none"/>
        </w:rPr>
        <w:t>地址：浙江省嘉兴市南湖区建设街道斜西街213号</w:t>
      </w:r>
    </w:p>
    <w:p>
      <w:pPr>
        <w:spacing w:line="360" w:lineRule="auto"/>
        <w:ind w:firstLine="480" w:firstLineChars="200"/>
        <w:textAlignment w:val="baseline"/>
        <w:rPr>
          <w:rFonts w:hint="eastAsia" w:ascii="仿宋" w:hAnsi="仿宋" w:eastAsia="仿宋" w:cs="宋体"/>
          <w:sz w:val="24"/>
          <w:szCs w:val="24"/>
          <w:highlight w:val="none"/>
          <w:lang w:eastAsia="zh-CN"/>
        </w:rPr>
      </w:pPr>
      <w:r>
        <w:rPr>
          <w:rFonts w:hint="eastAsia" w:ascii="仿宋" w:hAnsi="仿宋" w:eastAsia="仿宋" w:cs="宋体"/>
          <w:sz w:val="24"/>
          <w:szCs w:val="24"/>
          <w:highlight w:val="none"/>
        </w:rPr>
        <w:t>联系人：</w:t>
      </w:r>
      <w:r>
        <w:rPr>
          <w:rFonts w:hint="eastAsia" w:ascii="仿宋" w:hAnsi="仿宋" w:eastAsia="仿宋" w:cs="宋体"/>
          <w:sz w:val="24"/>
          <w:szCs w:val="24"/>
          <w:highlight w:val="none"/>
          <w:lang w:val="en-US" w:eastAsia="zh-CN"/>
        </w:rPr>
        <w:t>倪越豪</w:t>
      </w:r>
    </w:p>
    <w:p>
      <w:pPr>
        <w:spacing w:line="360" w:lineRule="auto"/>
        <w:ind w:firstLine="480" w:firstLineChars="200"/>
        <w:textAlignment w:val="baseline"/>
        <w:rPr>
          <w:rFonts w:hint="default" w:ascii="仿宋" w:hAnsi="仿宋" w:eastAsia="仿宋" w:cs="宋体"/>
          <w:sz w:val="24"/>
          <w:szCs w:val="24"/>
          <w:highlight w:val="none"/>
          <w:lang w:val="en-US" w:eastAsia="zh-CN"/>
        </w:rPr>
      </w:pPr>
      <w:r>
        <w:rPr>
          <w:rFonts w:hint="eastAsia" w:ascii="仿宋" w:hAnsi="仿宋" w:eastAsia="仿宋" w:cs="宋体"/>
          <w:sz w:val="24"/>
          <w:szCs w:val="24"/>
          <w:highlight w:val="none"/>
        </w:rPr>
        <w:t>电话：</w:t>
      </w:r>
      <w:r>
        <w:rPr>
          <w:rFonts w:hint="eastAsia" w:ascii="仿宋" w:hAnsi="仿宋" w:eastAsia="仿宋" w:cs="宋体"/>
          <w:sz w:val="24"/>
          <w:szCs w:val="24"/>
          <w:highlight w:val="none"/>
          <w:lang w:val="en-US" w:eastAsia="zh-CN"/>
        </w:rPr>
        <w:t>0573-82058122、18324315801</w:t>
      </w:r>
    </w:p>
    <w:p>
      <w:pPr>
        <w:spacing w:line="360" w:lineRule="auto"/>
        <w:ind w:firstLine="422" w:firstLineChars="175"/>
        <w:jc w:val="left"/>
        <w:rPr>
          <w:rFonts w:ascii="仿宋" w:hAnsi="仿宋" w:eastAsia="仿宋" w:cs="仿宋"/>
          <w:color w:val="auto"/>
          <w:sz w:val="24"/>
          <w:highlight w:val="none"/>
        </w:rPr>
      </w:pPr>
      <w:r>
        <w:rPr>
          <w:rFonts w:hint="eastAsia" w:ascii="仿宋" w:hAnsi="仿宋" w:eastAsia="仿宋" w:cs="宋体"/>
          <w:b/>
          <w:color w:val="auto"/>
          <w:sz w:val="24"/>
          <w:highlight w:val="none"/>
        </w:rPr>
        <w:t>采购代理机构：</w:t>
      </w:r>
      <w:r>
        <w:rPr>
          <w:rFonts w:hint="eastAsia" w:ascii="仿宋" w:hAnsi="仿宋" w:eastAsia="仿宋" w:cs="宋体"/>
          <w:b/>
          <w:color w:val="auto"/>
          <w:sz w:val="24"/>
          <w:highlight w:val="none"/>
          <w:lang w:val="en-US" w:eastAsia="zh-CN"/>
        </w:rPr>
        <w:t>浙江省成套招标代理</w:t>
      </w:r>
      <w:r>
        <w:rPr>
          <w:rFonts w:hint="eastAsia" w:ascii="仿宋" w:hAnsi="仿宋" w:eastAsia="仿宋" w:cs="宋体"/>
          <w:b/>
          <w:color w:val="auto"/>
          <w:sz w:val="24"/>
          <w:highlight w:val="none"/>
        </w:rPr>
        <w:t>有限公司</w:t>
      </w:r>
    </w:p>
    <w:p>
      <w:pPr>
        <w:spacing w:line="360" w:lineRule="auto"/>
        <w:ind w:firstLine="420" w:firstLineChars="175"/>
        <w:jc w:val="left"/>
        <w:rPr>
          <w:rFonts w:ascii="仿宋" w:hAnsi="仿宋" w:eastAsia="仿宋" w:cs="仿宋"/>
          <w:color w:val="auto"/>
          <w:sz w:val="24"/>
          <w:highlight w:val="none"/>
        </w:rPr>
      </w:pPr>
      <w:r>
        <w:rPr>
          <w:rFonts w:hint="eastAsia" w:ascii="仿宋" w:hAnsi="仿宋" w:eastAsia="仿宋" w:cs="宋体"/>
          <w:color w:val="auto"/>
          <w:sz w:val="24"/>
          <w:highlight w:val="none"/>
        </w:rPr>
        <w:t>地址：</w:t>
      </w:r>
      <w:r>
        <w:rPr>
          <w:rFonts w:hint="eastAsia" w:ascii="仿宋" w:hAnsi="仿宋" w:eastAsia="仿宋" w:cs="宋体"/>
          <w:color w:val="auto"/>
          <w:sz w:val="24"/>
          <w:highlight w:val="none"/>
          <w:lang w:val="en-US" w:eastAsia="zh-CN"/>
        </w:rPr>
        <w:t>杭州市文晖路42号现代置业大厦西楼1806</w:t>
      </w:r>
      <w:r>
        <w:rPr>
          <w:rFonts w:hint="eastAsia" w:ascii="仿宋" w:hAnsi="仿宋" w:eastAsia="仿宋" w:cs="宋体"/>
          <w:color w:val="auto"/>
          <w:sz w:val="24"/>
          <w:highlight w:val="none"/>
        </w:rPr>
        <w:t>室</w:t>
      </w:r>
      <w:r>
        <w:rPr>
          <w:rFonts w:ascii="仿宋" w:hAnsi="仿宋" w:eastAsia="仿宋" w:cs="宋体"/>
          <w:color w:val="auto"/>
          <w:sz w:val="24"/>
          <w:highlight w:val="none"/>
        </w:rPr>
        <w:t xml:space="preserve"> </w:t>
      </w:r>
    </w:p>
    <w:p>
      <w:pPr>
        <w:spacing w:line="360" w:lineRule="auto"/>
        <w:ind w:firstLine="420" w:firstLineChars="175"/>
        <w:jc w:val="left"/>
        <w:rPr>
          <w:rFonts w:hint="default" w:ascii="仿宋" w:hAnsi="仿宋" w:eastAsia="仿宋" w:cs="宋体"/>
          <w:color w:val="auto"/>
          <w:sz w:val="24"/>
          <w:highlight w:val="none"/>
          <w:lang w:val="en-US" w:eastAsia="zh-CN"/>
        </w:rPr>
      </w:pPr>
      <w:r>
        <w:rPr>
          <w:rFonts w:hint="eastAsia" w:ascii="仿宋" w:hAnsi="仿宋" w:eastAsia="仿宋" w:cs="宋体"/>
          <w:color w:val="auto"/>
          <w:sz w:val="24"/>
          <w:highlight w:val="none"/>
        </w:rPr>
        <w:t>联系人：</w:t>
      </w:r>
      <w:r>
        <w:rPr>
          <w:rFonts w:hint="eastAsia" w:ascii="仿宋" w:hAnsi="仿宋" w:eastAsia="仿宋" w:cs="宋体"/>
          <w:color w:val="auto"/>
          <w:sz w:val="24"/>
          <w:highlight w:val="none"/>
          <w:lang w:val="en-US" w:eastAsia="zh-CN"/>
        </w:rPr>
        <w:t>吴乾宝、李晓倩</w:t>
      </w:r>
    </w:p>
    <w:p>
      <w:pPr>
        <w:spacing w:line="360" w:lineRule="auto"/>
        <w:ind w:firstLine="420" w:firstLineChars="175"/>
        <w:jc w:val="left"/>
        <w:rPr>
          <w:rFonts w:hint="default" w:ascii="仿宋" w:hAnsi="仿宋" w:eastAsia="仿宋" w:cs="仿宋"/>
          <w:color w:val="auto"/>
          <w:sz w:val="24"/>
          <w:highlight w:val="none"/>
          <w:lang w:val="en-US" w:eastAsia="zh-CN"/>
        </w:rPr>
      </w:pPr>
      <w:r>
        <w:rPr>
          <w:rFonts w:hint="eastAsia" w:ascii="仿宋" w:hAnsi="仿宋" w:eastAsia="仿宋" w:cs="宋体"/>
          <w:color w:val="auto"/>
          <w:sz w:val="24"/>
          <w:highlight w:val="none"/>
        </w:rPr>
        <w:t>电话：</w:t>
      </w:r>
      <w:r>
        <w:rPr>
          <w:rFonts w:hint="eastAsia" w:ascii="仿宋" w:hAnsi="仿宋" w:eastAsia="仿宋" w:cs="宋体"/>
          <w:color w:val="auto"/>
          <w:sz w:val="24"/>
          <w:highlight w:val="none"/>
          <w:lang w:val="en-US" w:eastAsia="zh-CN"/>
        </w:rPr>
        <w:t>0571-85830195、13656681646</w:t>
      </w:r>
    </w:p>
    <w:p>
      <w:pPr>
        <w:spacing w:line="360" w:lineRule="auto"/>
        <w:ind w:firstLine="420" w:firstLineChars="175"/>
        <w:jc w:val="left"/>
        <w:rPr>
          <w:rFonts w:hint="default" w:ascii="仿宋" w:hAnsi="仿宋" w:eastAsia="仿宋" w:cs="仿宋"/>
          <w:color w:val="auto"/>
          <w:sz w:val="24"/>
          <w:highlight w:val="none"/>
          <w:lang w:val="en-US" w:eastAsia="zh-CN"/>
        </w:rPr>
      </w:pPr>
      <w:r>
        <w:rPr>
          <w:rFonts w:hint="eastAsia" w:ascii="仿宋" w:hAnsi="仿宋" w:eastAsia="仿宋" w:cs="宋体"/>
          <w:color w:val="auto"/>
          <w:sz w:val="24"/>
          <w:highlight w:val="none"/>
        </w:rPr>
        <w:t>电子邮件：</w:t>
      </w:r>
      <w:r>
        <w:rPr>
          <w:rFonts w:hint="eastAsia" w:ascii="仿宋" w:hAnsi="仿宋" w:eastAsia="仿宋" w:cs="宋体"/>
          <w:color w:val="auto"/>
          <w:sz w:val="24"/>
          <w:highlight w:val="none"/>
          <w:lang w:val="en-US" w:eastAsia="zh-CN"/>
        </w:rPr>
        <w:t>wuqb</w:t>
      </w:r>
      <w:r>
        <w:rPr>
          <w:rFonts w:hint="eastAsia" w:ascii="仿宋" w:hAnsi="仿宋" w:eastAsia="仿宋" w:cs="宋体"/>
          <w:color w:val="auto"/>
          <w:sz w:val="24"/>
          <w:highlight w:val="none"/>
        </w:rPr>
        <w:t>@</w:t>
      </w:r>
      <w:r>
        <w:rPr>
          <w:rFonts w:hint="eastAsia" w:ascii="仿宋" w:hAnsi="仿宋" w:eastAsia="仿宋" w:cs="宋体"/>
          <w:color w:val="auto"/>
          <w:sz w:val="24"/>
          <w:highlight w:val="none"/>
          <w:lang w:val="en-US" w:eastAsia="zh-CN"/>
        </w:rPr>
        <w:t>zjsct.cn</w:t>
      </w:r>
    </w:p>
    <w:p>
      <w:pPr>
        <w:spacing w:line="360" w:lineRule="auto"/>
        <w:ind w:firstLine="420" w:firstLineChars="175"/>
        <w:jc w:val="left"/>
        <w:rPr>
          <w:rFonts w:ascii="仿宋" w:hAnsi="仿宋" w:eastAsia="仿宋" w:cs="仿宋"/>
          <w:color w:val="auto"/>
          <w:sz w:val="24"/>
          <w:highlight w:val="none"/>
        </w:rPr>
      </w:pPr>
      <w:r>
        <w:rPr>
          <w:rFonts w:hint="eastAsia" w:ascii="仿宋" w:hAnsi="仿宋" w:eastAsia="仿宋" w:cs="宋体"/>
          <w:bCs/>
          <w:color w:val="auto"/>
          <w:sz w:val="24"/>
          <w:highlight w:val="none"/>
        </w:rPr>
        <w:t xml:space="preserve">开户银行：中信银行杭州西湖支行     </w:t>
      </w:r>
    </w:p>
    <w:p>
      <w:pPr>
        <w:spacing w:line="360" w:lineRule="auto"/>
        <w:ind w:firstLine="420" w:firstLineChars="175"/>
        <w:jc w:val="left"/>
        <w:rPr>
          <w:rFonts w:hint="eastAsia" w:ascii="仿宋" w:hAnsi="仿宋" w:eastAsia="仿宋" w:cs="仿宋"/>
          <w:color w:val="auto"/>
          <w:sz w:val="24"/>
          <w:highlight w:val="none"/>
        </w:rPr>
      </w:pPr>
      <w:r>
        <w:rPr>
          <w:rFonts w:hint="eastAsia" w:ascii="仿宋" w:hAnsi="仿宋" w:eastAsia="仿宋" w:cs="宋体"/>
          <w:bCs/>
          <w:color w:val="auto"/>
          <w:sz w:val="24"/>
          <w:highlight w:val="none"/>
        </w:rPr>
        <w:t>账号：7331610182600126385</w:t>
      </w:r>
    </w:p>
    <w:p>
      <w:pPr>
        <w:spacing w:line="360" w:lineRule="auto"/>
        <w:ind w:firstLine="480" w:firstLineChars="200"/>
        <w:jc w:val="right"/>
        <w:textAlignment w:val="baseline"/>
        <w:rPr>
          <w:rFonts w:hint="eastAsia" w:ascii="仿宋" w:hAnsi="仿宋" w:eastAsia="仿宋" w:cs="宋体"/>
          <w:color w:val="auto"/>
          <w:sz w:val="24"/>
          <w:highlight w:val="none"/>
          <w:lang w:eastAsia="zh-CN"/>
        </w:rPr>
      </w:pPr>
      <w:r>
        <w:rPr>
          <w:rFonts w:hint="eastAsia" w:ascii="仿宋" w:hAnsi="仿宋" w:eastAsia="仿宋" w:cs="宋体"/>
          <w:color w:val="auto"/>
          <w:sz w:val="24"/>
          <w:highlight w:val="none"/>
        </w:rPr>
        <w:t>采购人：</w:t>
      </w:r>
      <w:r>
        <w:rPr>
          <w:rFonts w:hint="eastAsia" w:ascii="仿宋" w:hAnsi="仿宋" w:eastAsia="仿宋" w:cs="宋体"/>
          <w:color w:val="auto"/>
          <w:sz w:val="24"/>
          <w:highlight w:val="none"/>
          <w:lang w:eastAsia="zh-CN"/>
        </w:rPr>
        <w:t>中国人民财产保险股份有限公司嘉兴市分公司</w:t>
      </w:r>
    </w:p>
    <w:p>
      <w:pPr>
        <w:spacing w:line="360" w:lineRule="auto"/>
        <w:ind w:firstLine="480" w:firstLineChars="200"/>
        <w:jc w:val="right"/>
        <w:textAlignment w:val="baseline"/>
        <w:rPr>
          <w:rFonts w:hint="eastAsia" w:ascii="仿宋" w:hAnsi="仿宋" w:eastAsia="仿宋" w:cs="宋体"/>
          <w:color w:val="auto"/>
          <w:sz w:val="24"/>
          <w:highlight w:val="none"/>
        </w:rPr>
      </w:pPr>
      <w:r>
        <w:rPr>
          <w:rFonts w:hint="eastAsia" w:ascii="仿宋" w:hAnsi="仿宋" w:eastAsia="仿宋" w:cs="宋体"/>
          <w:color w:val="auto"/>
          <w:sz w:val="24"/>
          <w:highlight w:val="none"/>
        </w:rPr>
        <w:t>采购代理机构：</w:t>
      </w:r>
      <w:r>
        <w:rPr>
          <w:rFonts w:hint="eastAsia" w:ascii="仿宋" w:hAnsi="仿宋" w:eastAsia="仿宋" w:cs="宋体"/>
          <w:color w:val="auto"/>
          <w:sz w:val="24"/>
          <w:highlight w:val="none"/>
          <w:lang w:val="en-US" w:eastAsia="zh-CN"/>
        </w:rPr>
        <w:t>浙江省成套招标代理</w:t>
      </w:r>
      <w:r>
        <w:rPr>
          <w:rFonts w:hint="eastAsia" w:ascii="仿宋" w:hAnsi="仿宋" w:eastAsia="仿宋" w:cs="宋体"/>
          <w:color w:val="auto"/>
          <w:sz w:val="24"/>
          <w:highlight w:val="none"/>
        </w:rPr>
        <w:t>有限公司</w:t>
      </w:r>
    </w:p>
    <w:p>
      <w:pPr>
        <w:spacing w:line="360" w:lineRule="auto"/>
        <w:ind w:firstLine="480" w:firstLineChars="200"/>
        <w:jc w:val="right"/>
        <w:textAlignment w:val="baseline"/>
        <w:rPr>
          <w:color w:val="auto"/>
          <w:highlight w:val="none"/>
        </w:rPr>
      </w:pPr>
      <w:r>
        <w:rPr>
          <w:rFonts w:hint="eastAsia" w:ascii="仿宋" w:hAnsi="仿宋" w:eastAsia="仿宋" w:cs="宋体"/>
          <w:color w:val="auto"/>
          <w:sz w:val="24"/>
          <w:highlight w:val="none"/>
        </w:rPr>
        <w:t>202</w:t>
      </w:r>
      <w:r>
        <w:rPr>
          <w:rFonts w:hint="eastAsia" w:ascii="仿宋" w:hAnsi="仿宋" w:eastAsia="仿宋" w:cs="宋体"/>
          <w:color w:val="auto"/>
          <w:sz w:val="24"/>
          <w:highlight w:val="none"/>
          <w:lang w:val="en-US" w:eastAsia="zh-CN"/>
        </w:rPr>
        <w:t>5</w:t>
      </w:r>
      <w:r>
        <w:rPr>
          <w:rFonts w:hint="eastAsia" w:ascii="仿宋" w:hAnsi="仿宋" w:eastAsia="仿宋" w:cs="宋体"/>
          <w:color w:val="auto"/>
          <w:sz w:val="24"/>
          <w:highlight w:val="none"/>
        </w:rPr>
        <w:t>年</w:t>
      </w:r>
      <w:r>
        <w:rPr>
          <w:rFonts w:hint="eastAsia" w:ascii="仿宋" w:hAnsi="仿宋" w:eastAsia="仿宋" w:cs="宋体"/>
          <w:color w:val="auto"/>
          <w:sz w:val="24"/>
          <w:highlight w:val="none"/>
          <w:lang w:val="en-US" w:eastAsia="zh-CN"/>
        </w:rPr>
        <w:t>12</w:t>
      </w:r>
      <w:r>
        <w:rPr>
          <w:rFonts w:hint="eastAsia" w:ascii="仿宋" w:hAnsi="仿宋" w:eastAsia="仿宋" w:cs="宋体"/>
          <w:color w:val="auto"/>
          <w:sz w:val="24"/>
          <w:highlight w:val="none"/>
        </w:rPr>
        <w:t>月</w:t>
      </w:r>
      <w:r>
        <w:rPr>
          <w:rFonts w:hint="eastAsia" w:ascii="仿宋" w:hAnsi="仿宋" w:eastAsia="仿宋" w:cs="宋体"/>
          <w:color w:val="auto"/>
          <w:sz w:val="24"/>
          <w:highlight w:val="none"/>
          <w:lang w:val="en-US" w:eastAsia="zh-CN"/>
        </w:rPr>
        <w:t>2</w:t>
      </w:r>
      <w:r>
        <w:rPr>
          <w:rFonts w:hint="eastAsia" w:ascii="仿宋" w:hAnsi="仿宋" w:eastAsia="仿宋" w:cs="宋体"/>
          <w:color w:val="auto"/>
          <w:sz w:val="24"/>
          <w:highlight w:val="none"/>
        </w:rPr>
        <w:t>日</w:t>
      </w:r>
    </w:p>
    <w:p/>
    <w:bookmarkEnd w:id="15"/>
    <w:sectPr>
      <w:pgSz w:w="11906" w:h="16838"/>
      <w:pgMar w:top="1440" w:right="1800"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C40D1"/>
    <w:rsid w:val="6EBB0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4">
    <w:name w:val="heading 2"/>
    <w:basedOn w:val="1"/>
    <w:next w:val="1"/>
    <w:qFormat/>
    <w:uiPriority w:val="0"/>
    <w:pPr>
      <w:keepNext/>
      <w:keepLines/>
      <w:spacing w:line="360" w:lineRule="auto"/>
      <w:ind w:firstLine="540" w:firstLineChars="192"/>
      <w:jc w:val="center"/>
      <w:outlineLvl w:val="1"/>
    </w:pPr>
    <w:rPr>
      <w:rFonts w:ascii="Arial" w:hAnsi="Arial"/>
      <w:b/>
      <w:bCs/>
      <w:color w:val="FF0000"/>
      <w:sz w:val="28"/>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sz w:val="52"/>
    </w:rPr>
  </w:style>
  <w:style w:type="character" w:styleId="7">
    <w:name w:val="Hyperlink"/>
    <w:qFormat/>
    <w:uiPriority w:val="99"/>
    <w:rPr>
      <w:color w:val="333333"/>
      <w:u w:val="none"/>
    </w:rPr>
  </w:style>
  <w:style w:type="paragraph" w:customStyle="1" w:styleId="8">
    <w:name w:val="中文正文、"/>
    <w:basedOn w:val="1"/>
    <w:qFormat/>
    <w:uiPriority w:val="0"/>
    <w:pPr>
      <w:adjustRightInd/>
      <w:spacing w:line="360" w:lineRule="auto"/>
      <w:ind w:firstLine="420" w:firstLineChars="20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2025-12-02T05:52:00Z</dcterms:created>
  <dc:creator>HUAWEI</dc:creator>
  <cp:lastModifiedBy>陈莉</cp:lastModifiedBy>
  <dcterms:modified xsi:type="dcterms:W3CDTF">2025-12-02T08:23:43Z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KSOTemplateDocerSaveRecord">
    <vt:lpwstr>eyJoZGlkIjoiMzEwNTM5NzYwMDRjMzkwZTVkZjY2ODkwMGIxNGU0OTUiLCJ1c2VySWQiOiI1MjA1OTc1NTIifQ==</vt:lpwstr>
  </property>
  <property fmtid="{D5CDD505-2E9C-101B-9397-08002B2CF9AE}" pid="4" name="ICV">
    <vt:lpwstr>825692202D0B44EFB93B9BD1149A0532</vt:lpwstr>
  </property>
</Properties>
</file>