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4F39" w:rsidRDefault="00584F39" w:rsidP="00584F39">
      <w:pPr>
        <w:adjustRightInd w:val="0"/>
        <w:snapToGrid w:val="0"/>
        <w:spacing w:line="560" w:lineRule="atLeast"/>
        <w:jc w:val="center"/>
        <w:outlineLvl w:val="0"/>
        <w:rPr>
          <w:rFonts w:ascii="彩虹小标宋" w:eastAsia="彩虹小标宋" w:hint="eastAsia"/>
          <w:color w:val="000000"/>
          <w:sz w:val="36"/>
          <w:szCs w:val="30"/>
        </w:rPr>
      </w:pPr>
      <w:r>
        <w:rPr>
          <w:rFonts w:ascii="彩虹小标宋" w:eastAsia="彩虹小标宋" w:hint="eastAsia"/>
          <w:color w:val="000000"/>
          <w:sz w:val="36"/>
          <w:szCs w:val="30"/>
        </w:rPr>
        <w:t>佛山市第四人民医院（佛山市卫生应急医院）“银医通”项目</w:t>
      </w:r>
      <w:r>
        <w:rPr>
          <w:rFonts w:ascii="彩虹小标宋" w:eastAsia="彩虹小标宋" w:hint="eastAsia"/>
          <w:color w:val="000000"/>
          <w:sz w:val="36"/>
          <w:szCs w:val="30"/>
        </w:rPr>
        <w:t>采购</w:t>
      </w:r>
      <w:r>
        <w:rPr>
          <w:rFonts w:ascii="彩虹小标宋" w:eastAsia="彩虹小标宋"/>
          <w:color w:val="000000"/>
          <w:sz w:val="36"/>
          <w:szCs w:val="30"/>
        </w:rPr>
        <w:t>需求</w:t>
      </w:r>
      <w:bookmarkStart w:id="0" w:name="_GoBack"/>
      <w:bookmarkEnd w:id="0"/>
    </w:p>
    <w:p w:rsidR="00584F39" w:rsidRDefault="00584F39" w:rsidP="00584F39">
      <w:pPr>
        <w:adjustRightInd w:val="0"/>
        <w:snapToGrid w:val="0"/>
        <w:spacing w:line="560" w:lineRule="atLeast"/>
        <w:jc w:val="center"/>
        <w:outlineLvl w:val="0"/>
        <w:rPr>
          <w:rFonts w:ascii="彩虹粗仿宋" w:eastAsia="彩虹粗仿宋" w:hint="eastAsia"/>
          <w:b/>
          <w:color w:val="000000"/>
          <w:sz w:val="30"/>
          <w:szCs w:val="30"/>
        </w:rPr>
      </w:pPr>
    </w:p>
    <w:p w:rsidR="00584F39" w:rsidRDefault="00584F39" w:rsidP="00584F39">
      <w:pPr>
        <w:autoSpaceDE w:val="0"/>
        <w:autoSpaceDN w:val="0"/>
        <w:adjustRightInd w:val="0"/>
        <w:spacing w:line="560" w:lineRule="exact"/>
        <w:ind w:firstLineChars="200" w:firstLine="640"/>
        <w:outlineLvl w:val="0"/>
        <w:rPr>
          <w:rFonts w:ascii="彩虹黑体" w:eastAsia="彩虹黑体" w:hAnsi="宋体" w:hint="eastAsia"/>
          <w:snapToGrid w:val="0"/>
          <w:color w:val="000000"/>
          <w:kern w:val="0"/>
          <w:sz w:val="32"/>
          <w:szCs w:val="32"/>
        </w:rPr>
      </w:pPr>
      <w:r>
        <w:rPr>
          <w:rFonts w:ascii="彩虹黑体" w:eastAsia="彩虹黑体" w:hAnsi="宋体" w:hint="eastAsia"/>
          <w:snapToGrid w:val="0"/>
          <w:color w:val="000000"/>
          <w:kern w:val="0"/>
          <w:sz w:val="32"/>
          <w:szCs w:val="32"/>
        </w:rPr>
        <w:t xml:space="preserve">一、服务内容： </w:t>
      </w:r>
    </w:p>
    <w:p w:rsidR="00584F39" w:rsidRDefault="00584F39" w:rsidP="00584F39">
      <w:pPr>
        <w:adjustRightInd w:val="0"/>
        <w:snapToGrid w:val="0"/>
        <w:spacing w:line="560" w:lineRule="exact"/>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t>招标人：中国建设银行股份有限公司广东省分行</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委托方：佛山市第四人民医院</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实施主要内容包括：</w:t>
      </w:r>
      <w:r>
        <w:rPr>
          <w:rFonts w:ascii="彩虹粗仿宋" w:eastAsia="彩虹粗仿宋" w:hAnsi="彩虹粗仿宋" w:cs="彩虹粗仿宋" w:hint="eastAsia"/>
          <w:color w:val="000000"/>
          <w:sz w:val="32"/>
          <w:szCs w:val="32"/>
        </w:rPr>
        <w:t>主要用于</w:t>
      </w:r>
      <w:r>
        <w:rPr>
          <w:rFonts w:ascii="彩虹粗仿宋" w:eastAsia="彩虹粗仿宋" w:hint="eastAsia"/>
          <w:sz w:val="32"/>
        </w:rPr>
        <w:t>提升医院医疗平台的运行速度和打造智慧自助医疗体系，实现挂号、缴费、查询等结合的定制化线上就诊服务，进一步优化患者就诊时的排队时间，降低医院就医患者就医分流压力，为患者提供高效而优质的就医服务体验。</w:t>
      </w:r>
    </w:p>
    <w:p w:rsidR="00584F39" w:rsidRDefault="00584F39" w:rsidP="00584F39">
      <w:pPr>
        <w:pStyle w:val="a5"/>
        <w:spacing w:line="560" w:lineRule="exact"/>
        <w:ind w:firstLineChars="200" w:firstLine="640"/>
        <w:outlineLvl w:val="0"/>
        <w:rPr>
          <w:rFonts w:ascii="彩虹黑体" w:eastAsia="彩虹黑体" w:hint="eastAsia"/>
          <w:sz w:val="32"/>
        </w:rPr>
      </w:pPr>
      <w:r>
        <w:rPr>
          <w:rFonts w:ascii="彩虹黑体" w:eastAsia="彩虹黑体" w:hint="eastAsia"/>
          <w:bCs/>
          <w:sz w:val="32"/>
        </w:rPr>
        <w:t>二、技术参数说明</w:t>
      </w:r>
    </w:p>
    <w:tbl>
      <w:tblPr>
        <w:tblW w:w="9119" w:type="dxa"/>
        <w:tblInd w:w="-316" w:type="dxa"/>
        <w:tblLook w:val="04A0" w:firstRow="1" w:lastRow="0" w:firstColumn="1" w:lastColumn="0" w:noHBand="0" w:noVBand="1"/>
      </w:tblPr>
      <w:tblGrid>
        <w:gridCol w:w="1047"/>
        <w:gridCol w:w="3646"/>
        <w:gridCol w:w="4426"/>
      </w:tblGrid>
      <w:tr w:rsidR="00584F39" w:rsidTr="00584F39">
        <w:trPr>
          <w:trHeight w:val="360"/>
        </w:trPr>
        <w:tc>
          <w:tcPr>
            <w:tcW w:w="1047" w:type="dxa"/>
            <w:tcBorders>
              <w:top w:val="single" w:sz="4" w:space="0" w:color="000000"/>
              <w:left w:val="single" w:sz="4" w:space="0" w:color="000000"/>
              <w:bottom w:val="single" w:sz="4" w:space="0" w:color="000000"/>
              <w:right w:val="single" w:sz="4" w:space="0" w:color="000000"/>
            </w:tcBorders>
            <w:noWrap/>
            <w:vAlign w:val="center"/>
            <w:hideMark/>
          </w:tcPr>
          <w:p w:rsidR="00584F39" w:rsidRDefault="00584F39">
            <w:pPr>
              <w:widowControl/>
              <w:spacing w:line="276" w:lineRule="auto"/>
              <w:jc w:val="center"/>
              <w:textAlignment w:val="center"/>
              <w:rPr>
                <w:rFonts w:ascii="彩虹粗仿宋" w:eastAsia="彩虹粗仿宋" w:hAnsi="Courier New" w:hint="eastAsia"/>
                <w:sz w:val="32"/>
                <w:szCs w:val="20"/>
              </w:rPr>
            </w:pPr>
            <w:r>
              <w:rPr>
                <w:rFonts w:ascii="彩虹粗仿宋" w:eastAsia="彩虹粗仿宋" w:hAnsi="Courier New" w:hint="eastAsia"/>
                <w:sz w:val="32"/>
                <w:szCs w:val="20"/>
              </w:rPr>
              <w:t>序号</w:t>
            </w:r>
          </w:p>
        </w:tc>
        <w:tc>
          <w:tcPr>
            <w:tcW w:w="3646" w:type="dxa"/>
            <w:tcBorders>
              <w:top w:val="single" w:sz="4" w:space="0" w:color="000000"/>
              <w:left w:val="single" w:sz="4" w:space="0" w:color="000000"/>
              <w:bottom w:val="single" w:sz="4" w:space="0" w:color="000000"/>
              <w:right w:val="single" w:sz="4" w:space="0" w:color="000000"/>
            </w:tcBorders>
            <w:noWrap/>
            <w:vAlign w:val="center"/>
            <w:hideMark/>
          </w:tcPr>
          <w:p w:rsidR="00584F39" w:rsidRDefault="00584F39">
            <w:pPr>
              <w:widowControl/>
              <w:spacing w:line="276" w:lineRule="auto"/>
              <w:jc w:val="center"/>
              <w:textAlignment w:val="center"/>
              <w:rPr>
                <w:rFonts w:ascii="彩虹粗仿宋" w:eastAsia="彩虹粗仿宋" w:hAnsi="Courier New" w:hint="eastAsia"/>
                <w:sz w:val="32"/>
                <w:szCs w:val="20"/>
              </w:rPr>
            </w:pPr>
            <w:r>
              <w:rPr>
                <w:rFonts w:ascii="彩虹粗仿宋" w:eastAsia="彩虹粗仿宋" w:hAnsi="Courier New" w:hint="eastAsia"/>
                <w:sz w:val="32"/>
                <w:szCs w:val="20"/>
              </w:rPr>
              <w:t>产品</w:t>
            </w:r>
          </w:p>
        </w:tc>
        <w:tc>
          <w:tcPr>
            <w:tcW w:w="4426" w:type="dxa"/>
            <w:tcBorders>
              <w:top w:val="single" w:sz="4" w:space="0" w:color="000000"/>
              <w:left w:val="single" w:sz="4" w:space="0" w:color="000000"/>
              <w:bottom w:val="single" w:sz="4" w:space="0" w:color="000000"/>
              <w:right w:val="single" w:sz="4" w:space="0" w:color="000000"/>
            </w:tcBorders>
            <w:noWrap/>
            <w:vAlign w:val="center"/>
            <w:hideMark/>
          </w:tcPr>
          <w:p w:rsidR="00584F39" w:rsidRDefault="00584F39">
            <w:pPr>
              <w:widowControl/>
              <w:spacing w:line="276" w:lineRule="auto"/>
              <w:jc w:val="center"/>
              <w:textAlignment w:val="center"/>
              <w:rPr>
                <w:rFonts w:ascii="彩虹粗仿宋" w:eastAsia="彩虹粗仿宋" w:hAnsi="Courier New" w:hint="eastAsia"/>
                <w:sz w:val="32"/>
                <w:szCs w:val="20"/>
              </w:rPr>
            </w:pPr>
            <w:r>
              <w:rPr>
                <w:rFonts w:ascii="彩虹粗仿宋" w:eastAsia="彩虹粗仿宋" w:hAnsi="Courier New" w:hint="eastAsia"/>
                <w:sz w:val="32"/>
                <w:szCs w:val="20"/>
              </w:rPr>
              <w:t>详细参数</w:t>
            </w:r>
          </w:p>
        </w:tc>
      </w:tr>
      <w:tr w:rsidR="00584F39" w:rsidTr="00584F39">
        <w:trPr>
          <w:trHeight w:val="1761"/>
        </w:trPr>
        <w:tc>
          <w:tcPr>
            <w:tcW w:w="1047" w:type="dxa"/>
            <w:tcBorders>
              <w:top w:val="single" w:sz="4" w:space="0" w:color="000000"/>
              <w:left w:val="single" w:sz="4" w:space="0" w:color="000000"/>
              <w:bottom w:val="single" w:sz="4" w:space="0" w:color="000000"/>
              <w:right w:val="single" w:sz="4" w:space="0" w:color="000000"/>
            </w:tcBorders>
            <w:noWrap/>
            <w:vAlign w:val="center"/>
            <w:hideMark/>
          </w:tcPr>
          <w:p w:rsidR="00584F39" w:rsidRDefault="00584F39">
            <w:pPr>
              <w:widowControl/>
              <w:spacing w:line="276" w:lineRule="auto"/>
              <w:jc w:val="center"/>
              <w:textAlignment w:val="center"/>
              <w:rPr>
                <w:rFonts w:ascii="彩虹粗仿宋" w:eastAsia="彩虹粗仿宋" w:hAnsi="Courier New" w:hint="eastAsia"/>
                <w:sz w:val="32"/>
                <w:szCs w:val="20"/>
              </w:rPr>
            </w:pPr>
            <w:r>
              <w:rPr>
                <w:rFonts w:ascii="彩虹粗仿宋" w:eastAsia="彩虹粗仿宋" w:hAnsi="Courier New" w:hint="eastAsia"/>
                <w:sz w:val="32"/>
                <w:szCs w:val="20"/>
              </w:rPr>
              <w:t>1</w:t>
            </w:r>
          </w:p>
        </w:tc>
        <w:tc>
          <w:tcPr>
            <w:tcW w:w="3646" w:type="dxa"/>
            <w:tcBorders>
              <w:top w:val="single" w:sz="4" w:space="0" w:color="000000"/>
              <w:left w:val="single" w:sz="4" w:space="0" w:color="000000"/>
              <w:bottom w:val="single" w:sz="4" w:space="0" w:color="000000"/>
              <w:right w:val="single" w:sz="4" w:space="0" w:color="000000"/>
            </w:tcBorders>
            <w:vAlign w:val="center"/>
            <w:hideMark/>
          </w:tcPr>
          <w:p w:rsidR="00584F39" w:rsidRDefault="00584F39">
            <w:pPr>
              <w:widowControl/>
              <w:spacing w:line="276" w:lineRule="auto"/>
              <w:jc w:val="center"/>
              <w:textAlignment w:val="center"/>
              <w:rPr>
                <w:rFonts w:ascii="彩虹粗仿宋" w:eastAsia="彩虹粗仿宋" w:hAnsi="Courier New" w:hint="eastAsia"/>
                <w:sz w:val="32"/>
                <w:szCs w:val="20"/>
              </w:rPr>
            </w:pPr>
            <w:r>
              <w:rPr>
                <w:rFonts w:ascii="彩虹粗仿宋" w:eastAsia="彩虹粗仿宋" w:hAnsi="Courier New" w:hint="eastAsia"/>
                <w:sz w:val="32"/>
                <w:szCs w:val="20"/>
              </w:rPr>
              <w:t>微信智慧医疗服务系统一期</w:t>
            </w:r>
          </w:p>
        </w:tc>
        <w:tc>
          <w:tcPr>
            <w:tcW w:w="4426" w:type="dxa"/>
            <w:tcBorders>
              <w:top w:val="single" w:sz="4" w:space="0" w:color="000000"/>
              <w:left w:val="single" w:sz="4" w:space="0" w:color="000000"/>
              <w:bottom w:val="single" w:sz="4" w:space="0" w:color="000000"/>
              <w:right w:val="single" w:sz="4" w:space="0" w:color="000000"/>
            </w:tcBorders>
            <w:vAlign w:val="center"/>
            <w:hideMark/>
          </w:tcPr>
          <w:p w:rsidR="00584F39" w:rsidRDefault="00584F39">
            <w:pPr>
              <w:widowControl/>
              <w:spacing w:line="276" w:lineRule="auto"/>
              <w:jc w:val="left"/>
              <w:textAlignment w:val="center"/>
              <w:rPr>
                <w:rFonts w:ascii="彩虹粗仿宋" w:eastAsia="彩虹粗仿宋" w:hAnsi="Courier New" w:hint="eastAsia"/>
                <w:sz w:val="32"/>
                <w:szCs w:val="20"/>
              </w:rPr>
            </w:pPr>
            <w:r>
              <w:rPr>
                <w:rFonts w:ascii="彩虹粗仿宋" w:eastAsia="彩虹粗仿宋" w:hAnsi="Courier New" w:hint="eastAsia"/>
                <w:sz w:val="32"/>
                <w:szCs w:val="20"/>
              </w:rPr>
              <w:t>1.出入院系统模块。</w:t>
            </w:r>
            <w:r>
              <w:rPr>
                <w:rFonts w:ascii="彩虹粗仿宋" w:eastAsia="彩虹粗仿宋" w:hAnsi="Courier New" w:hint="eastAsia"/>
                <w:sz w:val="32"/>
                <w:szCs w:val="20"/>
              </w:rPr>
              <w:br/>
              <w:t>2.个人信息上传模块。</w:t>
            </w:r>
            <w:r>
              <w:rPr>
                <w:rFonts w:ascii="彩虹粗仿宋" w:eastAsia="彩虹粗仿宋" w:hAnsi="Courier New" w:hint="eastAsia"/>
                <w:sz w:val="32"/>
                <w:szCs w:val="20"/>
              </w:rPr>
              <w:br/>
              <w:t>3.微信自助推送模块。</w:t>
            </w:r>
            <w:r>
              <w:rPr>
                <w:rFonts w:ascii="彩虹粗仿宋" w:eastAsia="彩虹粗仿宋" w:hAnsi="Courier New" w:hint="eastAsia"/>
                <w:sz w:val="32"/>
                <w:szCs w:val="20"/>
              </w:rPr>
              <w:br/>
              <w:t>4.住院缴费信息模块。</w:t>
            </w:r>
            <w:r>
              <w:rPr>
                <w:rFonts w:ascii="彩虹粗仿宋" w:eastAsia="彩虹粗仿宋" w:hAnsi="Courier New" w:hint="eastAsia"/>
                <w:sz w:val="32"/>
                <w:szCs w:val="20"/>
              </w:rPr>
              <w:br/>
              <w:t>5.挂号缴费模块。</w:t>
            </w:r>
          </w:p>
        </w:tc>
      </w:tr>
      <w:tr w:rsidR="00584F39" w:rsidTr="00584F39">
        <w:trPr>
          <w:trHeight w:val="1421"/>
        </w:trPr>
        <w:tc>
          <w:tcPr>
            <w:tcW w:w="1047" w:type="dxa"/>
            <w:tcBorders>
              <w:top w:val="single" w:sz="4" w:space="0" w:color="000000"/>
              <w:left w:val="single" w:sz="4" w:space="0" w:color="000000"/>
              <w:bottom w:val="single" w:sz="4" w:space="0" w:color="000000"/>
              <w:right w:val="single" w:sz="4" w:space="0" w:color="000000"/>
            </w:tcBorders>
            <w:noWrap/>
            <w:vAlign w:val="center"/>
            <w:hideMark/>
          </w:tcPr>
          <w:p w:rsidR="00584F39" w:rsidRDefault="00584F39">
            <w:pPr>
              <w:widowControl/>
              <w:spacing w:line="276" w:lineRule="auto"/>
              <w:jc w:val="center"/>
              <w:textAlignment w:val="center"/>
              <w:rPr>
                <w:rFonts w:ascii="彩虹粗仿宋" w:eastAsia="彩虹粗仿宋" w:hAnsi="Courier New" w:hint="eastAsia"/>
                <w:sz w:val="32"/>
                <w:szCs w:val="20"/>
              </w:rPr>
            </w:pPr>
            <w:r>
              <w:rPr>
                <w:rFonts w:ascii="彩虹粗仿宋" w:eastAsia="彩虹粗仿宋" w:hAnsi="Courier New" w:hint="eastAsia"/>
                <w:sz w:val="32"/>
                <w:szCs w:val="20"/>
              </w:rPr>
              <w:t>2</w:t>
            </w:r>
          </w:p>
        </w:tc>
        <w:tc>
          <w:tcPr>
            <w:tcW w:w="3646" w:type="dxa"/>
            <w:tcBorders>
              <w:top w:val="single" w:sz="4" w:space="0" w:color="000000"/>
              <w:left w:val="single" w:sz="4" w:space="0" w:color="000000"/>
              <w:bottom w:val="single" w:sz="4" w:space="0" w:color="000000"/>
              <w:right w:val="single" w:sz="4" w:space="0" w:color="000000"/>
            </w:tcBorders>
            <w:vAlign w:val="center"/>
            <w:hideMark/>
          </w:tcPr>
          <w:p w:rsidR="00584F39" w:rsidRDefault="00584F39">
            <w:pPr>
              <w:widowControl/>
              <w:spacing w:line="276" w:lineRule="auto"/>
              <w:jc w:val="center"/>
              <w:textAlignment w:val="center"/>
              <w:rPr>
                <w:rFonts w:ascii="彩虹粗仿宋" w:eastAsia="彩虹粗仿宋" w:hAnsi="Courier New" w:hint="eastAsia"/>
                <w:sz w:val="32"/>
                <w:szCs w:val="20"/>
              </w:rPr>
            </w:pPr>
            <w:r>
              <w:rPr>
                <w:rFonts w:ascii="彩虹粗仿宋" w:eastAsia="彩虹粗仿宋" w:hAnsi="Courier New" w:hint="eastAsia"/>
                <w:sz w:val="32"/>
                <w:szCs w:val="20"/>
              </w:rPr>
              <w:t>微信智慧医疗服务系统二期</w:t>
            </w:r>
          </w:p>
        </w:tc>
        <w:tc>
          <w:tcPr>
            <w:tcW w:w="4426" w:type="dxa"/>
            <w:tcBorders>
              <w:top w:val="single" w:sz="4" w:space="0" w:color="000000"/>
              <w:left w:val="single" w:sz="4" w:space="0" w:color="000000"/>
              <w:bottom w:val="single" w:sz="4" w:space="0" w:color="000000"/>
              <w:right w:val="single" w:sz="4" w:space="0" w:color="000000"/>
            </w:tcBorders>
            <w:vAlign w:val="center"/>
            <w:hideMark/>
          </w:tcPr>
          <w:p w:rsidR="00584F39" w:rsidRDefault="00584F39">
            <w:pPr>
              <w:widowControl/>
              <w:spacing w:line="276" w:lineRule="auto"/>
              <w:jc w:val="left"/>
              <w:textAlignment w:val="center"/>
              <w:rPr>
                <w:rFonts w:ascii="彩虹粗仿宋" w:eastAsia="彩虹粗仿宋" w:hAnsi="Courier New" w:hint="eastAsia"/>
                <w:sz w:val="32"/>
                <w:szCs w:val="20"/>
              </w:rPr>
            </w:pPr>
            <w:r>
              <w:rPr>
                <w:rFonts w:ascii="彩虹粗仿宋" w:eastAsia="彩虹粗仿宋" w:hAnsi="Courier New" w:hint="eastAsia"/>
                <w:sz w:val="32"/>
                <w:szCs w:val="20"/>
              </w:rPr>
              <w:t>1.公众号模块。</w:t>
            </w:r>
            <w:r>
              <w:rPr>
                <w:rFonts w:ascii="彩虹粗仿宋" w:eastAsia="彩虹粗仿宋" w:hAnsi="Courier New" w:hint="eastAsia"/>
                <w:sz w:val="32"/>
                <w:szCs w:val="20"/>
              </w:rPr>
              <w:br/>
              <w:t>2.推送信息的优化改造，电子发票推送模块。</w:t>
            </w:r>
            <w:r>
              <w:rPr>
                <w:rFonts w:ascii="彩虹粗仿宋" w:eastAsia="彩虹粗仿宋" w:hAnsi="Courier New" w:hint="eastAsia"/>
                <w:sz w:val="32"/>
                <w:szCs w:val="20"/>
              </w:rPr>
              <w:br/>
              <w:t>3.微信缴费后的退费模块。</w:t>
            </w:r>
          </w:p>
        </w:tc>
      </w:tr>
    </w:tbl>
    <w:p w:rsidR="00584F39" w:rsidRDefault="00584F39" w:rsidP="00584F39">
      <w:pPr>
        <w:pStyle w:val="a5"/>
        <w:spacing w:line="560" w:lineRule="exact"/>
        <w:ind w:firstLineChars="200" w:firstLine="640"/>
        <w:outlineLvl w:val="0"/>
        <w:rPr>
          <w:rFonts w:ascii="彩虹黑体" w:eastAsia="彩虹黑体" w:hint="eastAsia"/>
          <w:bCs/>
          <w:sz w:val="32"/>
        </w:rPr>
      </w:pPr>
      <w:r>
        <w:rPr>
          <w:rFonts w:ascii="彩虹黑体" w:eastAsia="彩虹黑体" w:hint="eastAsia"/>
          <w:bCs/>
          <w:sz w:val="32"/>
        </w:rPr>
        <w:t>三、软件需求</w:t>
      </w:r>
    </w:p>
    <w:p w:rsidR="00584F39" w:rsidRDefault="00584F39" w:rsidP="00584F39">
      <w:pPr>
        <w:adjustRightInd w:val="0"/>
        <w:snapToGrid w:val="0"/>
        <w:spacing w:line="560" w:lineRule="exact"/>
        <w:ind w:firstLineChars="200" w:firstLine="643"/>
        <w:outlineLvl w:val="1"/>
        <w:rPr>
          <w:rFonts w:ascii="彩虹楷体" w:eastAsia="彩虹楷体" w:hint="eastAsia"/>
          <w:b/>
          <w:sz w:val="32"/>
        </w:rPr>
      </w:pPr>
      <w:r>
        <w:rPr>
          <w:rFonts w:ascii="彩虹楷体" w:eastAsia="彩虹楷体" w:hint="eastAsia"/>
          <w:b/>
          <w:sz w:val="32"/>
        </w:rPr>
        <w:lastRenderedPageBreak/>
        <w:t>（一）服务要求</w:t>
      </w:r>
    </w:p>
    <w:p w:rsidR="00584F39" w:rsidRDefault="00584F39" w:rsidP="00584F39">
      <w:pPr>
        <w:adjustRightInd w:val="0"/>
        <w:snapToGrid w:val="0"/>
        <w:spacing w:line="560" w:lineRule="exact"/>
        <w:ind w:firstLineChars="200" w:firstLine="640"/>
        <w:outlineLvl w:val="2"/>
        <w:rPr>
          <w:rFonts w:ascii="彩虹粗仿宋" w:eastAsia="彩虹粗仿宋" w:hint="eastAsia"/>
          <w:sz w:val="32"/>
        </w:rPr>
      </w:pPr>
      <w:r>
        <w:rPr>
          <w:rFonts w:ascii="彩虹粗仿宋" w:eastAsia="彩虹粗仿宋" w:hint="eastAsia"/>
          <w:sz w:val="32"/>
        </w:rPr>
        <w:t>1.技术、质量及安装要求</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（1）投标人提供的产品需要满足招标人对于软件模块及功能要求，保证软件能与院方现行的HIS系统对接。</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（2）投标人保证提供给招标人的软件产品已通过软件产品原厂商质量测试和检验。</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投标人保证软件产品不包含任何明显的或主要的缺陷、错误，不包含任何恶意的、破坏性的或可能导致未经授权者侵入、操作、控制计算机或计算机数据的计算机病毒、木马程序、后门程序等程序设计或程序代码。</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3）投标人应自签订合同日起在收到招标人交付通知后60日内向招标人交付报价表所列软件产品的介质、技术资料或文档及使用许可证明文件，交付地点为佛山市第四人民医院。如遇特殊情况，投标人要求变更约定的交付地点、时间的，应当提前十个工作日通知招标人并取得招标人书面同意。招标人要求变更交付地点或时间的，应提前通知投标人，投标人应当予以同意，由此增加的运输费用由双方协商解决。</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4）对于经招标人初验合格并签署到货证明的软件产品，投标人应当在5个工作日内做好必要的测试验收准备工作并向招标人发出可以进行测试验收的书面通知。招标人自收到投标人可以进行测试验收的通知之日起5个工作日内开始对产品进行测试验收。如投标人在约定期限内未及时发出可以进行测试验收的书面通知，招标人也可自行决定开始进</w:t>
      </w:r>
      <w:r>
        <w:rPr>
          <w:rFonts w:ascii="彩虹粗仿宋" w:eastAsia="彩虹粗仿宋" w:hint="eastAsia"/>
          <w:sz w:val="32"/>
        </w:rPr>
        <w:lastRenderedPageBreak/>
        <w:t>行测试验收的日期。招标人对软件产品享有5个工作日的测试验收期。测试验收的程序、标准及方式按照约定办理；除非招标人另行书面同意，否则测试验收应当在如下约定期限内全部完成并验收合格：自签订采购合同起70日内。</w:t>
      </w:r>
    </w:p>
    <w:p w:rsidR="00584F39" w:rsidRDefault="00584F39" w:rsidP="00584F39">
      <w:pPr>
        <w:adjustRightInd w:val="0"/>
        <w:snapToGrid w:val="0"/>
        <w:spacing w:line="560" w:lineRule="exact"/>
        <w:ind w:firstLineChars="200" w:firstLine="640"/>
        <w:outlineLvl w:val="2"/>
        <w:rPr>
          <w:rFonts w:ascii="彩虹粗仿宋" w:eastAsia="彩虹粗仿宋" w:hint="eastAsia"/>
          <w:sz w:val="32"/>
        </w:rPr>
      </w:pPr>
      <w:r>
        <w:rPr>
          <w:rFonts w:ascii="彩虹粗仿宋" w:eastAsia="彩虹粗仿宋" w:hint="eastAsia"/>
          <w:sz w:val="32"/>
        </w:rPr>
        <w:t>2.售后服务</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（1）投标人需在项目上线前10个工作日内为使用方提供培训服务并验收合格。</w:t>
      </w:r>
    </w:p>
    <w:p w:rsidR="00584F39" w:rsidRDefault="00584F39" w:rsidP="00584F39">
      <w:pPr>
        <w:adjustRightInd w:val="0"/>
        <w:snapToGrid w:val="0"/>
        <w:spacing w:line="560" w:lineRule="exact"/>
        <w:ind w:firstLineChars="200" w:firstLine="640"/>
        <w:outlineLvl w:val="2"/>
        <w:rPr>
          <w:rFonts w:ascii="彩虹粗仿宋" w:eastAsia="彩虹粗仿宋" w:hint="eastAsia"/>
          <w:sz w:val="32"/>
        </w:rPr>
      </w:pPr>
      <w:r>
        <w:rPr>
          <w:rFonts w:ascii="彩虹粗仿宋" w:eastAsia="彩虹粗仿宋" w:hint="eastAsia"/>
          <w:sz w:val="32"/>
        </w:rPr>
        <w:t>3.维护支持服务</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1）自验收合格之日起对招标人所购软件产品提供至少2年免费维护支持服务。维护支持服务期内，维护支持服务提供方应提供7×24小时电话、网络等远程支持服务及上门维护支持服务。维护支持服务提供方可通过电话、网络等远程方式对采购在软件产品使用过程中出现的一般性问题提供咨询解答。软件产品出现故障时，招标人可以通过电话或网络方式向投标人报告故障（简称“故障报告”），维护支持服务提供方应按照本合同约定立即作出响应。</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2）软件产品故障分为严重、一般、轻微三个等级，维护支持投标人应根据软件故障的不同级别，提供不同的故障响应及服务：“严重”为软件无法运行或基本无法运行，或软件重要功能失效或基本失效；“一般”为软件可以运行，但非重要性功能的使用受到限制；“轻微”为其它轻微影响软件使用的故障。投标人应对招标人故障报告做出及时响应。</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（3）投标人承诺，自验收合格之日起对招标人所购软件产品提供2年（以下简称“升级服务期”）软件版本免费升级</w:t>
      </w:r>
      <w:r>
        <w:rPr>
          <w:rFonts w:ascii="彩虹粗仿宋" w:eastAsia="彩虹粗仿宋" w:hint="eastAsia"/>
          <w:sz w:val="32"/>
        </w:rPr>
        <w:lastRenderedPageBreak/>
        <w:t>服务，不再另行收费。升级服务期内，如招标人所购软件产品发布了任何更新、补丁、版本升级，投标人应立即通知招标人；如招标人提出要求，投标人应在 10 个工作日内为招标人无条件提供该更新、补丁、版本升级的使用许可授权及正版安装介质。如安装该更新、补丁或版本升级需要对软件产品进行重新安装调试的，投标人应当按照招标人要求无条件提供该安装调试服务。</w:t>
      </w:r>
    </w:p>
    <w:p w:rsidR="00584F39" w:rsidRDefault="00584F39" w:rsidP="00584F39">
      <w:pPr>
        <w:adjustRightInd w:val="0"/>
        <w:snapToGrid w:val="0"/>
        <w:spacing w:line="560" w:lineRule="exact"/>
        <w:ind w:firstLineChars="200" w:firstLine="643"/>
        <w:outlineLvl w:val="1"/>
        <w:rPr>
          <w:rFonts w:ascii="彩虹楷体" w:eastAsia="彩虹楷体" w:hint="eastAsia"/>
          <w:b/>
          <w:sz w:val="32"/>
        </w:rPr>
      </w:pPr>
      <w:r>
        <w:rPr>
          <w:rFonts w:ascii="彩虹楷体" w:eastAsia="彩虹楷体" w:hint="eastAsia"/>
          <w:b/>
          <w:sz w:val="32"/>
        </w:rPr>
        <w:t>（二）款项支付计划</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1、自签定采购合同生效之日起且采购方在收到供应商开具的全额增值税专用发票后30个工作日内，向供应商支付合同总价款的60%。</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2、自项目验收合格并取得《验收报告》，且系统平稳运行6个月后的10个工作日内，向供应商支付合同总价款的28%。</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3、自项目平稳运行1年后的10个工作日内，向供应商支付合同总价款的10%。</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4、自合同期满后30个工作日内，向供应商支付合同总价款的2%。</w:t>
      </w:r>
    </w:p>
    <w:p w:rsidR="00584F39" w:rsidRDefault="00584F39" w:rsidP="00584F39">
      <w:pPr>
        <w:adjustRightInd w:val="0"/>
        <w:snapToGrid w:val="0"/>
        <w:spacing w:line="560" w:lineRule="exact"/>
        <w:ind w:firstLineChars="200" w:firstLine="640"/>
        <w:outlineLvl w:val="0"/>
        <w:rPr>
          <w:rFonts w:ascii="彩虹黑体" w:eastAsia="彩虹黑体" w:hAnsi="宋体" w:hint="eastAsia"/>
          <w:snapToGrid w:val="0"/>
          <w:color w:val="000000"/>
          <w:kern w:val="0"/>
          <w:sz w:val="32"/>
          <w:szCs w:val="32"/>
        </w:rPr>
      </w:pPr>
      <w:r>
        <w:rPr>
          <w:rFonts w:ascii="彩虹黑体" w:eastAsia="彩虹黑体" w:hAnsi="宋体" w:hint="eastAsia"/>
          <w:snapToGrid w:val="0"/>
          <w:color w:val="000000"/>
          <w:kern w:val="0"/>
          <w:sz w:val="32"/>
          <w:szCs w:val="32"/>
        </w:rPr>
        <w:t>四、其他说明</w:t>
      </w:r>
    </w:p>
    <w:p w:rsidR="00584F39" w:rsidRDefault="00584F39" w:rsidP="00584F39">
      <w:pPr>
        <w:spacing w:line="560" w:lineRule="exact"/>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t>1、中标人承诺保守服务过程中知悉招标人的商业秘密，无论投标是否成功，均不对外散布有损招标人形象和声誉的言论；中标人需确保数据存储的安全性和隐私性，避免数据泄露。</w:t>
      </w:r>
    </w:p>
    <w:p w:rsidR="00584F39" w:rsidRDefault="00584F39" w:rsidP="00584F39">
      <w:pPr>
        <w:spacing w:line="560" w:lineRule="exact"/>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t>2、中标人在投标文件中承诺的服务内容将写入合同；</w:t>
      </w:r>
    </w:p>
    <w:p w:rsidR="00584F39" w:rsidRDefault="00584F39" w:rsidP="00584F39">
      <w:pPr>
        <w:spacing w:line="560" w:lineRule="exact"/>
        <w:ind w:firstLineChars="200" w:firstLine="640"/>
        <w:rPr>
          <w:rFonts w:ascii="彩虹粗仿宋" w:eastAsia="彩虹粗仿宋" w:hAnsi="宋体" w:hint="eastAsia"/>
          <w:sz w:val="32"/>
          <w:szCs w:val="32"/>
        </w:rPr>
      </w:pPr>
      <w:r>
        <w:rPr>
          <w:rFonts w:ascii="彩虹粗仿宋" w:eastAsia="彩虹粗仿宋" w:hAnsi="宋体" w:hint="eastAsia"/>
          <w:sz w:val="32"/>
          <w:szCs w:val="32"/>
        </w:rPr>
        <w:lastRenderedPageBreak/>
        <w:t>3、合同期间因软件问题引起的事故，中标人应承担由此造成的经济赔偿责任；出现严重事故的，招标人有权终止合同。</w:t>
      </w:r>
    </w:p>
    <w:p w:rsidR="00584F39" w:rsidRDefault="00584F39" w:rsidP="00584F39">
      <w:pPr>
        <w:spacing w:line="560" w:lineRule="exact"/>
        <w:ind w:firstLineChars="200" w:firstLine="640"/>
        <w:rPr>
          <w:rFonts w:hint="eastAsia"/>
        </w:rPr>
      </w:pPr>
      <w:r>
        <w:rPr>
          <w:rFonts w:ascii="彩虹粗仿宋" w:eastAsia="彩虹粗仿宋" w:hAnsi="宋体" w:hint="eastAsia"/>
          <w:sz w:val="32"/>
          <w:szCs w:val="32"/>
        </w:rPr>
        <w:t>4、招标人作为项目资产购置方，享有资产所有权，购置资产将按照招标人资产管理条例进行资产管理，在维保期内按照合同相关条款由中标人定期进行检查维护。</w:t>
      </w:r>
    </w:p>
    <w:p w:rsidR="00584F39" w:rsidRDefault="00584F39" w:rsidP="00584F39">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5、本项目资产所有权指软件使用权及软件程序物理载体的所有权，不包括在本项目实施前该系统的软件著作权、发表权、署名权、修改权、发行权。</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6、如入选供应商在合同期内出现以下情况：</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（1）无法正常提供报价单内所涉及对应服务需求；</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（2）因入选供应商原因造成事故或造成招标人的名誉、形象等受损；</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（3）在合同有效期内严重违反保密条款；</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（4）入选供应商违反国家政策法规关于合法经营、依法用工等规定，影响本项目合同正常履行。</w:t>
      </w:r>
    </w:p>
    <w:p w:rsidR="00584F39" w:rsidRDefault="00584F39" w:rsidP="00584F39">
      <w:pPr>
        <w:adjustRightInd w:val="0"/>
        <w:snapToGrid w:val="0"/>
        <w:spacing w:line="560" w:lineRule="exact"/>
        <w:ind w:firstLineChars="200" w:firstLine="640"/>
        <w:rPr>
          <w:rFonts w:ascii="彩虹粗仿宋" w:eastAsia="彩虹粗仿宋" w:hint="eastAsia"/>
          <w:sz w:val="32"/>
        </w:rPr>
      </w:pPr>
      <w:r>
        <w:rPr>
          <w:rFonts w:ascii="彩虹粗仿宋" w:eastAsia="彩虹粗仿宋" w:hint="eastAsia"/>
          <w:sz w:val="32"/>
        </w:rPr>
        <w:t>出现以上任意一种情况，经协商未果，招标人有权提前终止服务合同，并启用备选供应商。即如入选供应商被终止服务合同，由备选供应商执行入选供应商剩余额度（含应提供而未提供的额度）。</w:t>
      </w:r>
    </w:p>
    <w:p w:rsidR="00584F39" w:rsidRDefault="00584F39" w:rsidP="00584F39">
      <w:pPr>
        <w:spacing w:line="560" w:lineRule="exact"/>
        <w:rPr>
          <w:rFonts w:hint="eastAsia"/>
        </w:rPr>
      </w:pPr>
    </w:p>
    <w:p w:rsidR="00AB58BF" w:rsidRPr="00584F39" w:rsidRDefault="00AB58BF" w:rsidP="00584F39"/>
    <w:sectPr w:rsidR="00AB58BF" w:rsidRPr="00584F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7B1D" w:rsidRDefault="008C7B1D" w:rsidP="000206E5">
      <w:r>
        <w:separator/>
      </w:r>
    </w:p>
  </w:endnote>
  <w:endnote w:type="continuationSeparator" w:id="0">
    <w:p w:rsidR="008C7B1D" w:rsidRDefault="008C7B1D" w:rsidP="00020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7B1D" w:rsidRDefault="008C7B1D" w:rsidP="000206E5">
      <w:r>
        <w:separator/>
      </w:r>
    </w:p>
  </w:footnote>
  <w:footnote w:type="continuationSeparator" w:id="0">
    <w:p w:rsidR="008C7B1D" w:rsidRDefault="008C7B1D" w:rsidP="000206E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34"/>
    <w:rsid w:val="000206E5"/>
    <w:rsid w:val="00123FAE"/>
    <w:rsid w:val="00584F39"/>
    <w:rsid w:val="008C7B1D"/>
    <w:rsid w:val="00AB58BF"/>
    <w:rsid w:val="00E52834"/>
    <w:rsid w:val="00EB5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77FB7F6-BABE-4961-8E9C-F25A71C60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4F3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06E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206E5"/>
    <w:rPr>
      <w:sz w:val="18"/>
      <w:szCs w:val="18"/>
    </w:rPr>
  </w:style>
  <w:style w:type="paragraph" w:styleId="a4">
    <w:name w:val="footer"/>
    <w:basedOn w:val="a"/>
    <w:link w:val="Char0"/>
    <w:uiPriority w:val="99"/>
    <w:unhideWhenUsed/>
    <w:rsid w:val="000206E5"/>
    <w:pPr>
      <w:tabs>
        <w:tab w:val="center" w:pos="4153"/>
        <w:tab w:val="right" w:pos="8306"/>
      </w:tabs>
      <w:snapToGrid w:val="0"/>
      <w:jc w:val="left"/>
    </w:pPr>
    <w:rPr>
      <w:sz w:val="18"/>
      <w:szCs w:val="18"/>
    </w:rPr>
  </w:style>
  <w:style w:type="character" w:customStyle="1" w:styleId="Char0">
    <w:name w:val="页脚 Char"/>
    <w:basedOn w:val="a0"/>
    <w:link w:val="a4"/>
    <w:uiPriority w:val="99"/>
    <w:rsid w:val="000206E5"/>
    <w:rPr>
      <w:sz w:val="18"/>
      <w:szCs w:val="18"/>
    </w:rPr>
  </w:style>
  <w:style w:type="paragraph" w:styleId="a5">
    <w:name w:val="Plain Text"/>
    <w:basedOn w:val="a"/>
    <w:link w:val="Char1"/>
    <w:semiHidden/>
    <w:unhideWhenUsed/>
    <w:qFormat/>
    <w:rsid w:val="00584F39"/>
    <w:rPr>
      <w:rFonts w:ascii="Courier New" w:hAnsi="Courier New"/>
      <w:szCs w:val="20"/>
    </w:rPr>
  </w:style>
  <w:style w:type="character" w:customStyle="1" w:styleId="Char1">
    <w:name w:val="纯文本 Char"/>
    <w:basedOn w:val="a0"/>
    <w:link w:val="a5"/>
    <w:semiHidden/>
    <w:rsid w:val="00584F39"/>
    <w:rPr>
      <w:rFonts w:ascii="Courier New" w:hAnsi="Courier New"/>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448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353</Words>
  <Characters>2014</Characters>
  <Application>Microsoft Office Word</Application>
  <DocSecurity>0</DocSecurity>
  <Lines>16</Lines>
  <Paragraphs>4</Paragraphs>
  <ScaleCrop>false</ScaleCrop>
  <Company/>
  <LinksUpToDate>false</LinksUpToDate>
  <CharactersWithSpaces>2363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供应商管理科</dc:creator>
  <cp:keywords/>
  <dc:description/>
  <cp:lastModifiedBy>机构客户部</cp:lastModifiedBy>
  <cp:revision>2</cp:revision>
  <dcterms:created xsi:type="dcterms:W3CDTF">2025-12-09T08:26:00Z</dcterms:created>
  <dcterms:modified xsi:type="dcterms:W3CDTF">2025-12-09T08:26:00Z</dcterms:modified>
</cp:coreProperties>
</file>