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outlineLvl w:val="0"/>
        <w:rPr>
          <w:rFonts w:ascii="彩虹小标宋" w:hAnsi="彩虹小标宋" w:eastAsia="彩虹小标宋"/>
          <w:bCs/>
          <w:color w:val="auto"/>
          <w:sz w:val="44"/>
          <w:szCs w:val="44"/>
        </w:rPr>
      </w:pPr>
      <w:r>
        <w:rPr>
          <w:rFonts w:hint="eastAsia" w:ascii="彩虹小标宋" w:hAnsi="彩虹小标宋" w:eastAsia="彩虹小标宋"/>
          <w:bCs/>
          <w:color w:val="auto"/>
          <w:sz w:val="44"/>
          <w:szCs w:val="44"/>
        </w:rPr>
        <w:t>许昌长葛支行保安、押运、联网110报警服务采购需求</w:t>
      </w:r>
    </w:p>
    <w:p>
      <w:pPr>
        <w:spacing w:line="560" w:lineRule="exact"/>
        <w:ind w:firstLine="640"/>
        <w:outlineLvl w:val="0"/>
        <w:rPr>
          <w:rFonts w:ascii="彩虹黑体" w:hAnsi="彩虹黑体" w:eastAsia="彩虹黑体"/>
          <w:color w:val="auto"/>
          <w:sz w:val="32"/>
          <w:szCs w:val="32"/>
        </w:rPr>
      </w:pPr>
      <w:r>
        <w:rPr>
          <w:rFonts w:hint="eastAsia" w:ascii="彩虹黑体" w:hAnsi="彩虹黑体" w:eastAsia="彩虹黑体"/>
          <w:color w:val="auto"/>
          <w:sz w:val="32"/>
          <w:szCs w:val="32"/>
        </w:rPr>
        <w:t>一、对候选供应商的要求</w:t>
      </w:r>
    </w:p>
    <w:p>
      <w:pPr>
        <w:spacing w:line="560" w:lineRule="atLeast"/>
        <w:ind w:firstLine="320"/>
        <w:rPr>
          <w:rFonts w:ascii="彩虹粗仿宋" w:hAnsi="彩虹粗仿宋" w:eastAsia="彩虹粗仿宋"/>
          <w:color w:val="auto"/>
          <w:sz w:val="32"/>
        </w:rPr>
      </w:pPr>
      <w:r>
        <w:rPr>
          <w:rFonts w:hint="eastAsia" w:ascii="彩虹粗仿宋" w:hAnsi="彩虹粗仿宋" w:eastAsia="彩虹粗仿宋"/>
          <w:color w:val="auto"/>
          <w:sz w:val="32"/>
        </w:rPr>
        <w:t>（一）具有独立法人资格，能独立承担民事责任。</w:t>
      </w:r>
    </w:p>
    <w:p>
      <w:pPr>
        <w:spacing w:line="560" w:lineRule="atLeast"/>
        <w:ind w:firstLine="320"/>
        <w:rPr>
          <w:rFonts w:ascii="彩虹粗仿宋" w:hAnsi="彩虹粗仿宋" w:eastAsia="彩虹粗仿宋" w:cs="宋体"/>
          <w:b/>
          <w:color w:val="auto"/>
          <w:sz w:val="32"/>
          <w:szCs w:val="32"/>
        </w:rPr>
      </w:pPr>
      <w:r>
        <w:rPr>
          <w:rFonts w:hint="eastAsia" w:ascii="彩虹粗仿宋" w:hAnsi="彩虹粗仿宋" w:eastAsia="彩虹粗仿宋"/>
          <w:color w:val="auto"/>
          <w:sz w:val="32"/>
        </w:rPr>
        <w:t>（二）取得合法有效的</w:t>
      </w:r>
      <w:r>
        <w:rPr>
          <w:rFonts w:hint="eastAsia" w:ascii="彩虹粗仿宋" w:hAnsi="彩虹粗仿宋" w:eastAsia="彩虹粗仿宋"/>
          <w:color w:val="auto"/>
          <w:sz w:val="32"/>
          <w:szCs w:val="20"/>
        </w:rPr>
        <w:t>保安服务许可证</w:t>
      </w:r>
      <w:r>
        <w:rPr>
          <w:rFonts w:hint="eastAsia" w:ascii="彩虹粗仿宋" w:hAnsi="彩虹粗仿宋" w:eastAsia="彩虹粗仿宋"/>
          <w:color w:val="auto"/>
          <w:sz w:val="32"/>
        </w:rPr>
        <w:t>。</w:t>
      </w:r>
    </w:p>
    <w:p>
      <w:pPr>
        <w:spacing w:line="560" w:lineRule="atLeast"/>
        <w:ind w:firstLine="320"/>
        <w:rPr>
          <w:rFonts w:ascii="彩虹粗仿宋" w:hAnsi="彩虹粗仿宋" w:eastAsia="彩虹粗仿宋"/>
          <w:color w:val="auto"/>
          <w:sz w:val="32"/>
        </w:rPr>
      </w:pPr>
      <w:r>
        <w:rPr>
          <w:rFonts w:hint="eastAsia" w:ascii="彩虹粗仿宋" w:hAnsi="彩虹粗仿宋" w:eastAsia="彩虹粗仿宋"/>
          <w:color w:val="auto"/>
          <w:sz w:val="32"/>
        </w:rPr>
        <w:t>（三）财务状况良好，提供近三年（202</w:t>
      </w:r>
      <w:r>
        <w:rPr>
          <w:rFonts w:hint="eastAsia" w:ascii="彩虹粗仿宋" w:hAnsi="彩虹粗仿宋" w:eastAsia="彩虹粗仿宋"/>
          <w:color w:val="auto"/>
          <w:sz w:val="32"/>
          <w:lang w:val="en-US" w:eastAsia="zh-CN"/>
        </w:rPr>
        <w:t>0</w:t>
      </w:r>
      <w:r>
        <w:rPr>
          <w:rFonts w:hint="eastAsia" w:ascii="彩虹粗仿宋" w:hAnsi="彩虹粗仿宋" w:eastAsia="彩虹粗仿宋"/>
          <w:color w:val="auto"/>
          <w:sz w:val="32"/>
        </w:rPr>
        <w:t>年-202</w:t>
      </w:r>
      <w:r>
        <w:rPr>
          <w:rFonts w:hint="eastAsia" w:ascii="彩虹粗仿宋" w:hAnsi="彩虹粗仿宋" w:eastAsia="彩虹粗仿宋"/>
          <w:color w:val="auto"/>
          <w:sz w:val="32"/>
          <w:lang w:val="en-US" w:eastAsia="zh-CN"/>
        </w:rPr>
        <w:t>2</w:t>
      </w:r>
      <w:r>
        <w:rPr>
          <w:rFonts w:hint="eastAsia" w:ascii="彩虹粗仿宋" w:hAnsi="彩虹粗仿宋" w:eastAsia="彩虹粗仿宋"/>
          <w:color w:val="auto"/>
          <w:sz w:val="32"/>
        </w:rPr>
        <w:t>年）的经审计的财务报告或财务报表（新成立企业从成立日计算）；</w:t>
      </w:r>
    </w:p>
    <w:p>
      <w:pPr>
        <w:spacing w:line="560" w:lineRule="atLeast"/>
        <w:ind w:firstLine="320"/>
        <w:rPr>
          <w:rFonts w:ascii="彩虹粗仿宋" w:hAnsi="彩虹粗仿宋" w:eastAsia="彩虹粗仿宋"/>
          <w:color w:val="auto"/>
          <w:sz w:val="32"/>
        </w:rPr>
      </w:pPr>
      <w:r>
        <w:rPr>
          <w:rFonts w:hint="eastAsia" w:ascii="彩虹粗仿宋" w:hAnsi="彩虹粗仿宋" w:eastAsia="彩虹粗仿宋"/>
          <w:color w:val="auto"/>
          <w:sz w:val="32"/>
        </w:rPr>
        <w:t>（四）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spacing w:line="560" w:lineRule="atLeast"/>
        <w:ind w:firstLine="320"/>
        <w:rPr>
          <w:rFonts w:ascii="彩虹粗仿宋" w:hAnsi="彩虹粗仿宋" w:eastAsia="彩虹粗仿宋"/>
          <w:color w:val="auto"/>
          <w:sz w:val="32"/>
        </w:rPr>
      </w:pPr>
      <w:r>
        <w:rPr>
          <w:rFonts w:hint="eastAsia" w:ascii="彩虹粗仿宋" w:hAnsi="彩虹粗仿宋" w:eastAsia="彩虹粗仿宋"/>
          <w:color w:val="auto"/>
          <w:sz w:val="32"/>
        </w:rPr>
        <w:t>（五）2021年1月1日以来银行保安、</w:t>
      </w:r>
      <w:bookmarkStart w:id="0" w:name="_GoBack"/>
      <w:r>
        <w:rPr>
          <w:rFonts w:hint="eastAsia" w:ascii="彩虹粗仿宋" w:hAnsi="彩虹粗仿宋" w:eastAsia="彩虹粗仿宋"/>
          <w:color w:val="auto"/>
          <w:sz w:val="32"/>
        </w:rPr>
        <w:t>押运</w:t>
      </w:r>
      <w:bookmarkEnd w:id="0"/>
      <w:r>
        <w:rPr>
          <w:rFonts w:hint="eastAsia" w:ascii="彩虹粗仿宋" w:hAnsi="彩虹粗仿宋" w:eastAsia="彩虹粗仿宋"/>
          <w:color w:val="auto"/>
          <w:sz w:val="32"/>
        </w:rPr>
        <w:t>、110报警服务同类项目经验。</w:t>
      </w:r>
    </w:p>
    <w:p>
      <w:pPr>
        <w:spacing w:line="560" w:lineRule="atLeast"/>
        <w:ind w:firstLine="320"/>
        <w:rPr>
          <w:rFonts w:ascii="彩虹粗仿宋" w:hAnsi="彩虹粗仿宋" w:eastAsia="彩虹粗仿宋"/>
          <w:color w:val="auto"/>
          <w:sz w:val="32"/>
        </w:rPr>
      </w:pPr>
      <w:r>
        <w:rPr>
          <w:rFonts w:hint="eastAsia" w:ascii="彩虹粗仿宋" w:hAnsi="彩虹粗仿宋" w:eastAsia="彩虹粗仿宋"/>
          <w:color w:val="auto"/>
          <w:sz w:val="32"/>
        </w:rPr>
        <w:t>（六）本项目不允许联合体投标，不允许分包或转包。</w:t>
      </w:r>
    </w:p>
    <w:p>
      <w:pPr>
        <w:spacing w:line="560" w:lineRule="atLeast"/>
        <w:ind w:firstLine="320"/>
        <w:rPr>
          <w:rFonts w:ascii="彩虹粗仿宋" w:hAnsi="彩虹粗仿宋" w:eastAsia="彩虹粗仿宋"/>
          <w:color w:val="auto"/>
          <w:sz w:val="32"/>
        </w:rPr>
      </w:pPr>
      <w:r>
        <w:rPr>
          <w:rFonts w:hint="eastAsia" w:ascii="彩虹粗仿宋" w:hAnsi="彩虹粗仿宋" w:eastAsia="彩虹粗仿宋"/>
          <w:color w:val="auto"/>
          <w:sz w:val="32"/>
        </w:rPr>
        <w:t>（七）外商独资、中外合资、中外合作的保安公司不得参与（根据保安服务管理条例第二十二条规定）。</w:t>
      </w:r>
    </w:p>
    <w:p>
      <w:pPr>
        <w:spacing w:line="560" w:lineRule="exact"/>
        <w:ind w:firstLine="480"/>
        <w:outlineLvl w:val="0"/>
        <w:rPr>
          <w:rFonts w:ascii="彩虹黑体" w:hAnsi="彩虹黑体" w:eastAsia="彩虹黑体"/>
          <w:color w:val="auto"/>
          <w:sz w:val="32"/>
          <w:szCs w:val="32"/>
        </w:rPr>
      </w:pPr>
      <w:r>
        <w:rPr>
          <w:rFonts w:hint="eastAsia" w:ascii="彩虹黑体" w:hAnsi="彩虹黑体" w:eastAsia="彩虹黑体"/>
          <w:color w:val="auto"/>
          <w:sz w:val="32"/>
          <w:szCs w:val="32"/>
        </w:rPr>
        <w:t>二、服务基本内容</w:t>
      </w:r>
    </w:p>
    <w:p>
      <w:pPr>
        <w:spacing w:line="560" w:lineRule="exact"/>
        <w:ind w:left="480"/>
        <w:outlineLvl w:val="1"/>
        <w:rPr>
          <w:rFonts w:ascii="彩虹粗仿宋" w:hAnsi="彩虹粗仿宋" w:eastAsia="彩虹粗仿宋"/>
          <w:color w:val="auto"/>
          <w:sz w:val="32"/>
          <w:szCs w:val="32"/>
        </w:rPr>
      </w:pPr>
      <w:r>
        <w:rPr>
          <w:rFonts w:hint="eastAsia" w:ascii="彩虹粗仿宋" w:hAnsi="彩虹粗仿宋" w:eastAsia="彩虹粗仿宋"/>
          <w:color w:val="auto"/>
          <w:sz w:val="32"/>
          <w:szCs w:val="32"/>
        </w:rPr>
        <w:t>（一）保安值守服务</w:t>
      </w:r>
    </w:p>
    <w:p>
      <w:pPr>
        <w:spacing w:line="560" w:lineRule="exact"/>
        <w:ind w:firstLine="640"/>
        <w:rPr>
          <w:rFonts w:ascii="Times New Roman" w:hAnsi="Times New Roman" w:eastAsia="彩虹粗仿宋" w:cs="宋体"/>
          <w:color w:val="auto"/>
          <w:sz w:val="32"/>
          <w:szCs w:val="32"/>
        </w:rPr>
      </w:pPr>
      <w:r>
        <w:rPr>
          <w:rFonts w:hint="eastAsia" w:ascii="Times New Roman" w:hAnsi="Times New Roman" w:eastAsia="彩虹粗仿宋" w:cs="宋体"/>
          <w:color w:val="auto"/>
          <w:sz w:val="32"/>
          <w:szCs w:val="32"/>
        </w:rPr>
        <w:t>本次安保值守服务内容是许昌长葛支行本部和所辖营业部等4个营业网点的保安服务。</w:t>
      </w:r>
    </w:p>
    <w:p>
      <w:pPr>
        <w:spacing w:line="560" w:lineRule="exact"/>
        <w:ind w:firstLine="640"/>
        <w:outlineLvl w:val="1"/>
        <w:rPr>
          <w:rFonts w:ascii="Times New Roman" w:hAnsi="Times New Roman" w:eastAsia="彩虹粗仿宋" w:cs="宋体"/>
          <w:color w:val="auto"/>
          <w:sz w:val="32"/>
          <w:szCs w:val="32"/>
        </w:rPr>
      </w:pPr>
      <w:r>
        <w:rPr>
          <w:rFonts w:hint="eastAsia" w:ascii="彩虹粗仿宋" w:hAnsi="彩虹粗仿宋" w:eastAsia="彩虹粗仿宋" w:cs="宋体"/>
          <w:color w:val="auto"/>
          <w:sz w:val="32"/>
          <w:szCs w:val="32"/>
        </w:rPr>
        <w:t>（二）联网</w:t>
      </w:r>
      <w:r>
        <w:rPr>
          <w:rFonts w:hint="eastAsia" w:ascii="Times New Roman" w:hAnsi="Times New Roman" w:eastAsia="彩虹粗仿宋" w:cs="宋体"/>
          <w:color w:val="auto"/>
          <w:sz w:val="32"/>
          <w:szCs w:val="32"/>
        </w:rPr>
        <w:t>110报警服务</w:t>
      </w:r>
    </w:p>
    <w:p>
      <w:pPr>
        <w:spacing w:line="560" w:lineRule="exact"/>
        <w:ind w:firstLine="640"/>
        <w:rPr>
          <w:rFonts w:ascii="彩虹粗仿宋" w:hAnsi="彩虹粗仿宋" w:eastAsia="彩虹粗仿宋" w:cs="宋体"/>
          <w:color w:val="auto"/>
          <w:sz w:val="32"/>
          <w:szCs w:val="32"/>
        </w:rPr>
      </w:pPr>
      <w:r>
        <w:rPr>
          <w:rFonts w:hint="eastAsia" w:ascii="Times New Roman" w:hAnsi="Times New Roman" w:eastAsia="彩虹粗仿宋" w:cs="宋体"/>
          <w:color w:val="auto"/>
          <w:sz w:val="32"/>
          <w:szCs w:val="32"/>
        </w:rPr>
        <w:t>长葛支行</w:t>
      </w:r>
      <w:r>
        <w:rPr>
          <w:rFonts w:hint="eastAsia" w:ascii="彩虹粗仿宋" w:hAnsi="彩虹粗仿宋" w:eastAsia="彩虹粗仿宋" w:cs="彩虹粗仿宋"/>
          <w:color w:val="auto"/>
          <w:sz w:val="32"/>
          <w:szCs w:val="32"/>
        </w:rPr>
        <w:t>所辖4个营业网点的联网报警设施、设备及相关配件的安装、更换、调试、维修、巡检及迁移，对联网报警设备进行报警测试、监控、警情处置等服务项目。</w:t>
      </w:r>
      <w:r>
        <w:rPr>
          <w:rFonts w:hint="eastAsia" w:ascii="彩虹粗仿宋" w:hAnsi="彩虹粗仿宋" w:eastAsia="彩虹粗仿宋" w:cs="宋体"/>
          <w:color w:val="auto"/>
          <w:sz w:val="32"/>
          <w:szCs w:val="32"/>
        </w:rPr>
        <w:t>（三）钞币押运服务</w:t>
      </w:r>
    </w:p>
    <w:p>
      <w:pPr>
        <w:spacing w:line="560" w:lineRule="exact"/>
        <w:ind w:firstLine="640"/>
        <w:rPr>
          <w:rFonts w:ascii="彩虹粗仿宋" w:hAnsi="彩虹粗仿宋" w:eastAsia="彩虹粗仿宋"/>
          <w:color w:val="auto"/>
          <w:sz w:val="32"/>
          <w:szCs w:val="32"/>
        </w:rPr>
      </w:pPr>
      <w:r>
        <w:rPr>
          <w:rFonts w:hint="eastAsia" w:ascii="彩虹粗仿宋" w:hAnsi="彩虹粗仿宋" w:eastAsia="彩虹粗仿宋" w:cs="宋体"/>
          <w:color w:val="auto"/>
          <w:sz w:val="32"/>
          <w:szCs w:val="32"/>
        </w:rPr>
        <w:t>钞币押运服务内容是对许昌长葛支行4个营业网点（含附行自助）的钞币运送服务。</w:t>
      </w:r>
    </w:p>
    <w:p>
      <w:pPr>
        <w:spacing w:line="560" w:lineRule="exact"/>
        <w:ind w:firstLine="640"/>
        <w:rPr>
          <w:rFonts w:ascii="彩虹粗仿宋" w:hAnsi="彩虹粗仿宋" w:eastAsia="彩虹粗仿宋" w:cs="宋体"/>
          <w:color w:val="auto"/>
          <w:sz w:val="32"/>
          <w:szCs w:val="32"/>
        </w:rPr>
      </w:pPr>
      <w:r>
        <w:rPr>
          <w:rFonts w:hint="eastAsia" w:ascii="彩虹粗仿宋" w:hAnsi="彩虹粗仿宋" w:eastAsia="彩虹粗仿宋" w:cs="Courier New"/>
          <w:color w:val="auto"/>
          <w:sz w:val="32"/>
          <w:szCs w:val="32"/>
        </w:rPr>
        <w:t>注：业务点（是指营业场所、自助设备、上门服务点）的早、晚营业尾款箱（包）接送；业务点营业期间提缴现金；业务点配送外币、贵金属;离行式自助（设备）银行收、送现金;我行客户上门收、送现金；去往许昌分行提取、缴存现金、贵金属、重要单证等；到省分行提取、缴存现金、重要空白凭证、贵金属等;业务点之间的票据、紧急公文等重要物品传递或者</w:t>
      </w:r>
      <w:r>
        <w:rPr>
          <w:rFonts w:hint="eastAsia" w:ascii="彩虹粗仿宋" w:hAnsi="彩虹粗仿宋" w:eastAsia="彩虹粗仿宋" w:cs="宋体"/>
          <w:color w:val="auto"/>
          <w:sz w:val="32"/>
          <w:szCs w:val="32"/>
        </w:rPr>
        <w:t>因业务需要产生的临时押运事项等</w:t>
      </w:r>
      <w:r>
        <w:rPr>
          <w:rFonts w:hint="eastAsia" w:ascii="彩虹粗仿宋" w:hAnsi="彩虹粗仿宋" w:eastAsia="彩虹粗仿宋" w:cs="Courier New"/>
          <w:color w:val="auto"/>
          <w:sz w:val="32"/>
          <w:szCs w:val="32"/>
        </w:rPr>
        <w:t>提供武装押运服务。</w:t>
      </w:r>
    </w:p>
    <w:p>
      <w:pPr>
        <w:spacing w:line="560" w:lineRule="exact"/>
        <w:ind w:firstLine="640"/>
        <w:outlineLvl w:val="0"/>
        <w:rPr>
          <w:rFonts w:ascii="彩虹黑体" w:hAnsi="彩虹黑体" w:eastAsia="彩虹黑体"/>
          <w:color w:val="auto"/>
          <w:sz w:val="32"/>
          <w:szCs w:val="32"/>
        </w:rPr>
      </w:pPr>
      <w:r>
        <w:rPr>
          <w:rFonts w:hint="eastAsia" w:ascii="彩虹黑体" w:hAnsi="彩虹黑体" w:eastAsia="彩虹黑体"/>
          <w:color w:val="auto"/>
          <w:sz w:val="32"/>
          <w:szCs w:val="32"/>
        </w:rPr>
        <w:t>三、服务团队要求</w:t>
      </w:r>
    </w:p>
    <w:p>
      <w:pPr>
        <w:spacing w:line="560" w:lineRule="exact"/>
        <w:ind w:firstLine="640"/>
        <w:rPr>
          <w:rFonts w:ascii="彩虹粗仿宋" w:hAnsi="彩虹粗仿宋" w:eastAsia="彩虹粗仿宋" w:cs="彩虹粗仿宋"/>
          <w:color w:val="auto"/>
          <w:sz w:val="32"/>
          <w:szCs w:val="32"/>
        </w:rPr>
      </w:pPr>
      <w:r>
        <w:rPr>
          <w:rFonts w:hint="eastAsia" w:ascii="彩虹粗仿宋" w:hAnsi="彩虹粗仿宋" w:eastAsia="彩虹粗仿宋" w:cs="宋体"/>
          <w:color w:val="auto"/>
          <w:sz w:val="32"/>
          <w:szCs w:val="32"/>
        </w:rPr>
        <w:t>（一）</w:t>
      </w:r>
      <w:r>
        <w:rPr>
          <w:rFonts w:hint="eastAsia" w:ascii="彩虹粗仿宋" w:hAnsi="彩虹粗仿宋" w:eastAsia="彩虹粗仿宋" w:cs="彩虹粗仿宋"/>
          <w:color w:val="auto"/>
          <w:sz w:val="32"/>
          <w:szCs w:val="32"/>
        </w:rPr>
        <w:t>符合《保安服务管理条例》的要求，有</w:t>
      </w:r>
      <w:r>
        <w:rPr>
          <w:rFonts w:ascii="彩虹粗仿宋" w:hAnsi="彩虹粗仿宋" w:eastAsia="彩虹粗仿宋"/>
          <w:color w:val="auto"/>
          <w:sz w:val="32"/>
          <w:szCs w:val="32"/>
        </w:rPr>
        <w:t>省公安厅批准颁发的</w:t>
      </w:r>
      <w:r>
        <w:rPr>
          <w:rFonts w:hint="eastAsia" w:ascii="彩虹粗仿宋" w:hAnsi="彩虹粗仿宋" w:eastAsia="彩虹粗仿宋"/>
          <w:color w:val="auto"/>
          <w:sz w:val="32"/>
          <w:szCs w:val="32"/>
        </w:rPr>
        <w:t>具有武装守护、押运的许可资质，</w:t>
      </w:r>
      <w:r>
        <w:rPr>
          <w:rFonts w:hint="eastAsia" w:ascii="彩虹粗仿宋" w:hAnsi="彩虹粗仿宋" w:eastAsia="彩虹粗仿宋" w:cs="彩虹粗仿宋"/>
          <w:color w:val="auto"/>
          <w:sz w:val="32"/>
          <w:szCs w:val="32"/>
        </w:rPr>
        <w:t>有当地公安部门认可的110报警入网许可服务，开展110联网报警服务3年以上，在当地服务于大多数金融机构。</w:t>
      </w:r>
    </w:p>
    <w:p>
      <w:pPr>
        <w:spacing w:line="560" w:lineRule="exact"/>
        <w:ind w:firstLine="480"/>
        <w:rPr>
          <w:rFonts w:ascii="彩虹粗仿宋" w:hAnsi="彩虹粗仿宋" w:eastAsia="彩虹粗仿宋" w:cs="宋体"/>
          <w:color w:val="auto"/>
          <w:sz w:val="32"/>
          <w:szCs w:val="32"/>
        </w:rPr>
      </w:pPr>
      <w:r>
        <w:rPr>
          <w:rFonts w:hint="eastAsia" w:ascii="彩虹粗仿宋" w:hAnsi="彩虹粗仿宋" w:eastAsia="彩虹粗仿宋" w:cs="宋体"/>
          <w:color w:val="auto"/>
          <w:sz w:val="32"/>
          <w:szCs w:val="32"/>
        </w:rPr>
        <w:t>（二）人员政治上可靠，遵守国家法律、法规，无不良行为记录、身体健康、着统一服装。</w:t>
      </w:r>
    </w:p>
    <w:p>
      <w:pPr>
        <w:spacing w:line="560" w:lineRule="exact"/>
        <w:ind w:firstLine="480"/>
        <w:rPr>
          <w:rFonts w:ascii="彩虹粗仿宋" w:hAnsi="彩虹粗仿宋" w:eastAsia="彩虹粗仿宋" w:cs="宋体"/>
          <w:color w:val="auto"/>
          <w:sz w:val="32"/>
          <w:szCs w:val="32"/>
        </w:rPr>
      </w:pPr>
      <w:r>
        <w:rPr>
          <w:rFonts w:hint="eastAsia" w:ascii="彩虹粗仿宋" w:hAnsi="彩虹粗仿宋" w:eastAsia="彩虹粗仿宋" w:cs="宋体"/>
          <w:color w:val="auto"/>
          <w:sz w:val="32"/>
          <w:szCs w:val="32"/>
        </w:rPr>
        <w:t>（三）具备一定的专业技能，能正确处理服务中出现的各种情况并进行有效处置。</w:t>
      </w:r>
    </w:p>
    <w:p>
      <w:pPr>
        <w:spacing w:line="560" w:lineRule="exact"/>
        <w:ind w:firstLine="480"/>
        <w:rPr>
          <w:rFonts w:ascii="彩虹粗仿宋" w:hAnsi="彩虹粗仿宋" w:eastAsia="彩虹粗仿宋" w:cs="宋体"/>
          <w:color w:val="auto"/>
          <w:sz w:val="32"/>
          <w:szCs w:val="32"/>
        </w:rPr>
      </w:pPr>
      <w:r>
        <w:rPr>
          <w:rFonts w:hint="eastAsia" w:ascii="彩虹粗仿宋" w:hAnsi="彩虹粗仿宋" w:eastAsia="彩虹粗仿宋" w:cs="宋体"/>
          <w:color w:val="auto"/>
          <w:sz w:val="32"/>
          <w:szCs w:val="32"/>
        </w:rPr>
        <w:t>（四）派驻人员须按国家规定持证上岗，必须认真执行国家有关规定及要求。如由于人员违反规定，造成财产损失和人员伤亡的，外包服务公司负全部责任。</w:t>
      </w:r>
    </w:p>
    <w:p>
      <w:pPr>
        <w:spacing w:line="560" w:lineRule="exact"/>
        <w:ind w:firstLine="480"/>
        <w:rPr>
          <w:rFonts w:ascii="彩虹粗仿宋" w:hAnsi="彩虹粗仿宋" w:eastAsia="彩虹粗仿宋" w:cs="宋体"/>
          <w:color w:val="auto"/>
          <w:sz w:val="32"/>
          <w:szCs w:val="32"/>
        </w:rPr>
      </w:pPr>
      <w:r>
        <w:rPr>
          <w:rFonts w:hint="eastAsia" w:ascii="彩虹粗仿宋" w:hAnsi="彩虹粗仿宋" w:eastAsia="彩虹粗仿宋" w:cs="宋体"/>
          <w:color w:val="auto"/>
          <w:sz w:val="32"/>
          <w:szCs w:val="32"/>
        </w:rPr>
        <w:t>（五）具有满足服务需要的器械和车辆等。</w:t>
      </w:r>
    </w:p>
    <w:p>
      <w:pPr>
        <w:spacing w:line="560" w:lineRule="exact"/>
        <w:ind w:firstLine="480"/>
        <w:outlineLvl w:val="0"/>
        <w:rPr>
          <w:rFonts w:ascii="彩虹黑体" w:hAnsi="彩虹黑体" w:eastAsia="彩虹黑体"/>
          <w:color w:val="auto"/>
          <w:sz w:val="32"/>
          <w:szCs w:val="32"/>
        </w:rPr>
      </w:pPr>
      <w:r>
        <w:rPr>
          <w:rFonts w:hint="eastAsia" w:ascii="彩虹黑体" w:hAnsi="彩虹黑体" w:eastAsia="彩虹黑体"/>
          <w:color w:val="auto"/>
          <w:sz w:val="32"/>
          <w:szCs w:val="32"/>
        </w:rPr>
        <w:t>四、服务质量要求</w:t>
      </w:r>
    </w:p>
    <w:p>
      <w:pPr>
        <w:spacing w:line="560" w:lineRule="exact"/>
        <w:ind w:firstLine="320"/>
        <w:outlineLvl w:val="1"/>
        <w:rPr>
          <w:rFonts w:ascii="彩虹粗仿宋" w:hAnsi="彩虹粗仿宋" w:eastAsia="彩虹粗仿宋"/>
          <w:color w:val="auto"/>
          <w:sz w:val="32"/>
          <w:szCs w:val="32"/>
        </w:rPr>
      </w:pPr>
      <w:r>
        <w:rPr>
          <w:rFonts w:hint="eastAsia" w:ascii="彩虹粗仿宋" w:hAnsi="彩虹粗仿宋" w:eastAsia="彩虹粗仿宋"/>
          <w:color w:val="auto"/>
          <w:sz w:val="32"/>
          <w:szCs w:val="32"/>
        </w:rPr>
        <w:t>（一）计划安排要求</w:t>
      </w:r>
    </w:p>
    <w:p>
      <w:pPr>
        <w:spacing w:line="560" w:lineRule="exact"/>
        <w:ind w:firstLine="48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项目推进根据前期工作安排，按照我行采购流程进行，积极与采购部门对接，安排专人配合采购部门及时解决采购事项所涉及到的内容、费用、问题等，圆满完成本次采购项目。</w:t>
      </w:r>
    </w:p>
    <w:p>
      <w:pPr>
        <w:spacing w:line="560" w:lineRule="exact"/>
        <w:ind w:firstLine="160"/>
        <w:outlineLvl w:val="1"/>
        <w:rPr>
          <w:rFonts w:ascii="彩虹粗仿宋" w:hAnsi="彩虹粗仿宋" w:eastAsia="彩虹粗仿宋" w:cs="Courier New"/>
          <w:color w:val="auto"/>
          <w:sz w:val="32"/>
          <w:szCs w:val="32"/>
        </w:rPr>
      </w:pPr>
      <w:r>
        <w:rPr>
          <w:rFonts w:hint="eastAsia" w:ascii="彩虹粗仿宋" w:hAnsi="彩虹粗仿宋" w:eastAsia="彩虹粗仿宋"/>
          <w:bCs/>
          <w:color w:val="auto"/>
          <w:sz w:val="32"/>
          <w:szCs w:val="32"/>
        </w:rPr>
        <w:t>（二）服务质量标准</w:t>
      </w:r>
    </w:p>
    <w:p>
      <w:pPr>
        <w:tabs>
          <w:tab w:val="left" w:pos="720"/>
        </w:tabs>
        <w:spacing w:line="560" w:lineRule="exact"/>
        <w:ind w:left="-178" w:firstLine="480"/>
        <w:outlineLvl w:val="0"/>
        <w:rPr>
          <w:rFonts w:ascii="彩虹粗仿宋" w:hAnsi="彩虹粗仿宋" w:eastAsia="彩虹粗仿宋"/>
          <w:color w:val="auto"/>
          <w:sz w:val="32"/>
          <w:szCs w:val="32"/>
        </w:rPr>
      </w:pPr>
      <w:r>
        <w:rPr>
          <w:rFonts w:hint="eastAsia" w:ascii="彩虹粗仿宋" w:hAnsi="彩虹粗仿宋" w:eastAsia="彩虹粗仿宋" w:cs="Courier New"/>
          <w:color w:val="auto"/>
          <w:sz w:val="32"/>
          <w:szCs w:val="32"/>
        </w:rPr>
        <w:t>1、</w:t>
      </w:r>
      <w:r>
        <w:rPr>
          <w:rFonts w:hint="eastAsia" w:ascii="彩虹粗仿宋" w:hAnsi="彩虹粗仿宋" w:eastAsia="彩虹粗仿宋"/>
          <w:color w:val="auto"/>
          <w:sz w:val="32"/>
          <w:szCs w:val="32"/>
        </w:rPr>
        <w:t>外包服务公司承诺按照协议约定的服务内容向我行提供合格的服务，接受我行对其工作的指导和监督。</w:t>
      </w:r>
    </w:p>
    <w:p>
      <w:pPr>
        <w:tabs>
          <w:tab w:val="left" w:pos="720"/>
        </w:tabs>
        <w:spacing w:line="560" w:lineRule="exact"/>
        <w:ind w:firstLine="320"/>
        <w:outlineLvl w:val="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2、严格遵守我行的制度和规定，按照我行的服务需求，配备和提供外包人员。不得泄漏因服务而取得的任何我行的业务信息。</w:t>
      </w:r>
    </w:p>
    <w:p>
      <w:pPr>
        <w:tabs>
          <w:tab w:val="left" w:pos="720"/>
        </w:tabs>
        <w:spacing w:line="560" w:lineRule="exact"/>
        <w:ind w:left="-178" w:firstLine="480"/>
        <w:outlineLvl w:val="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3、外包服务公司负责制定与受托业务相关的内控制度、操作规程、人员考核等办法，并报我行备案；未经我行书面同意，外包公司不得将其在协议约定项下任一事项转让或分包给第三方。</w:t>
      </w:r>
    </w:p>
    <w:p>
      <w:pPr>
        <w:tabs>
          <w:tab w:val="left" w:pos="720"/>
        </w:tabs>
        <w:spacing w:line="560" w:lineRule="exact"/>
        <w:ind w:left="-178" w:firstLine="480"/>
        <w:outlineLvl w:val="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4、外包服务公司负责与外包人员签订符合《劳动法》的正式合同，负责劳动用工以及涉及劳动关系管理的所有事宜。外包服务公司应承诺外包人员的基本保障性工资不低于所在工作地区最低工资标准，按照国家规定缴纳社会保险等。</w:t>
      </w:r>
    </w:p>
    <w:p>
      <w:pPr>
        <w:tabs>
          <w:tab w:val="left" w:pos="720"/>
        </w:tabs>
        <w:spacing w:line="560" w:lineRule="exact"/>
        <w:ind w:left="-178" w:firstLine="480"/>
        <w:outlineLvl w:val="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5、外包服务公司应对派驻我行的人员进行业务知识培训，并达到国家承认的上岗资格，做到持证上岗。派往我行的人员非必要，不得进入我行营业柜台等场所，不得从事本岗位工作职责以外的工作。执勤期间，按照合同约定着装持械上岗。定期进行应急预案演练。</w:t>
      </w:r>
    </w:p>
    <w:p>
      <w:pPr>
        <w:spacing w:line="600" w:lineRule="exact"/>
        <w:ind w:firstLine="64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6、供应商应确保与公安局“110”报警服务平台的信息畅通，达到公安部门服务的要求。做好所辖110报警设备日常的故障排查工作，确保技术人员配备，保障设备良好运行。</w:t>
      </w:r>
    </w:p>
    <w:p>
      <w:pPr>
        <w:spacing w:line="560" w:lineRule="exact"/>
        <w:rPr>
          <w:rFonts w:ascii="彩虹粗仿宋" w:hAnsi="彩虹粗仿宋" w:eastAsia="彩虹粗仿宋"/>
          <w:color w:val="auto"/>
          <w:sz w:val="32"/>
          <w:szCs w:val="32"/>
        </w:rPr>
      </w:pPr>
      <w:r>
        <w:rPr>
          <w:rFonts w:hint="eastAsia" w:ascii="彩虹粗仿宋" w:hAnsi="彩虹粗仿宋" w:eastAsia="彩虹粗仿宋"/>
          <w:color w:val="auto"/>
          <w:sz w:val="32"/>
          <w:szCs w:val="32"/>
        </w:rPr>
        <w:t>（三）风险控制要求</w:t>
      </w:r>
    </w:p>
    <w:p>
      <w:pPr>
        <w:spacing w:line="560" w:lineRule="exact"/>
        <w:ind w:firstLine="32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按照总行《关于防范业务外包用工风险的通知》（建人〔2014〕235号）的文件要求，禁止外包服务公司以我行名义进行用工管理或开展生产经营活动，外包服务人员应与公司依法订立劳动合同，防范外包业务用工风险。</w:t>
      </w:r>
    </w:p>
    <w:p>
      <w:pPr>
        <w:spacing w:line="560" w:lineRule="exact"/>
        <w:ind w:firstLine="800"/>
        <w:rPr>
          <w:rFonts w:ascii="彩虹粗仿宋" w:hAnsi="彩虹粗仿宋" w:eastAsia="彩虹粗仿宋" w:cs="CHCFS"/>
          <w:color w:val="auto"/>
          <w:sz w:val="32"/>
          <w:szCs w:val="32"/>
        </w:rPr>
      </w:pPr>
      <w:r>
        <w:rPr>
          <w:rFonts w:hint="eastAsia" w:ascii="彩虹粗仿宋" w:hAnsi="彩虹粗仿宋" w:eastAsia="彩虹粗仿宋" w:cs="CHCFS"/>
          <w:color w:val="auto"/>
          <w:sz w:val="32"/>
          <w:szCs w:val="32"/>
        </w:rPr>
        <w:t xml:space="preserve">1.日常管理、监督和检查。定期对外包服务进行检查，每半年至少开展一次检查、并形成检查报告，检查内容为外包事项、工作进度、操作流程、风险控制、信息安全和服务质量等进行监督，对检查发现问题及时通报保安公司，限期整改和落实，确保保安服务合规合法开展，每年度结束后形成年度评估报告。 </w:t>
      </w:r>
    </w:p>
    <w:p>
      <w:pPr>
        <w:spacing w:line="560" w:lineRule="exact"/>
        <w:ind w:firstLine="640"/>
        <w:rPr>
          <w:rFonts w:ascii="彩虹粗仿宋" w:hAnsi="彩虹粗仿宋" w:eastAsia="彩虹粗仿宋" w:cs="CHCFS"/>
          <w:color w:val="auto"/>
          <w:sz w:val="32"/>
          <w:szCs w:val="32"/>
        </w:rPr>
      </w:pPr>
      <w:r>
        <w:rPr>
          <w:rFonts w:hint="eastAsia" w:ascii="彩虹粗仿宋" w:hAnsi="彩虹粗仿宋" w:eastAsia="彩虹粗仿宋" w:cs="CHCFS"/>
          <w:color w:val="auto"/>
          <w:sz w:val="32"/>
          <w:szCs w:val="32"/>
        </w:rPr>
        <w:t>2.明确责任，防范风险。通过服务合同对保安公司的行为做出约束，防范我行可能承担的各类连带风险责任，依法合规合法开展外包业务，严格防范操作风险、声誉风险及其它风险。</w:t>
      </w:r>
    </w:p>
    <w:p>
      <w:pPr>
        <w:spacing w:line="560" w:lineRule="exact"/>
        <w:ind w:firstLine="636"/>
        <w:rPr>
          <w:rFonts w:ascii="彩虹粗仿宋" w:hAnsi="彩虹粗仿宋" w:eastAsia="彩虹粗仿宋"/>
          <w:color w:val="auto"/>
          <w:sz w:val="32"/>
          <w:szCs w:val="32"/>
        </w:rPr>
      </w:pPr>
      <w:r>
        <w:rPr>
          <w:rFonts w:hint="eastAsia" w:ascii="彩虹粗仿宋" w:hAnsi="彩虹粗仿宋" w:eastAsia="彩虹粗仿宋"/>
          <w:color w:val="auto"/>
          <w:sz w:val="32"/>
          <w:szCs w:val="32"/>
        </w:rPr>
        <w:t>3.服务验收质量评价。外包服务公司应根据合同服务条款的规定，接受我行的服务质量评价和验收，并作为付款的依据。</w:t>
      </w:r>
    </w:p>
    <w:p>
      <w:pPr>
        <w:spacing w:line="560" w:lineRule="exact"/>
        <w:ind w:firstLine="32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（四）保密要求</w:t>
      </w:r>
    </w:p>
    <w:p>
      <w:pPr>
        <w:tabs>
          <w:tab w:val="left" w:pos="720"/>
        </w:tabs>
        <w:spacing w:line="560" w:lineRule="exact"/>
        <w:ind w:firstLine="480"/>
        <w:outlineLvl w:val="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1、外包服务人员只能掌握了解工作需要的相关信息，不得将我行信息资料以任何方式透露给其他任何机构或个人。</w:t>
      </w:r>
    </w:p>
    <w:p>
      <w:pPr>
        <w:tabs>
          <w:tab w:val="left" w:pos="720"/>
        </w:tabs>
        <w:spacing w:line="560" w:lineRule="exact"/>
        <w:ind w:firstLine="480"/>
        <w:outlineLvl w:val="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2、外包服务人员不得利用工作之便窃取、收买或者非法提供他人申请信息资料进行各种非法活动。</w:t>
      </w:r>
    </w:p>
    <w:p>
      <w:pPr>
        <w:tabs>
          <w:tab w:val="left" w:pos="720"/>
        </w:tabs>
        <w:spacing w:line="560" w:lineRule="exact"/>
        <w:ind w:firstLine="480"/>
        <w:outlineLvl w:val="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3、由于外包服务公司原因导致我行及客户信息泄漏的，按照双方合同约定追究相关责任。</w:t>
      </w:r>
    </w:p>
    <w:p>
      <w:pPr>
        <w:tabs>
          <w:tab w:val="left" w:pos="720"/>
        </w:tabs>
        <w:spacing w:line="560" w:lineRule="exact"/>
        <w:ind w:firstLine="480"/>
        <w:outlineLvl w:val="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4、外包服务公司应严守在履行协议约定中以口头、书面或其他任何方式知悉的我行的商业秘密、技术秘密和其他商业及业务信息，不得泄露。无论协议约定是否无效、变更或终止，本保密条款持续有效。</w:t>
      </w:r>
    </w:p>
    <w:p>
      <w:pPr>
        <w:spacing w:line="560" w:lineRule="exact"/>
        <w:ind w:firstLine="32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（五）应急措施要求</w:t>
      </w:r>
    </w:p>
    <w:p>
      <w:pPr>
        <w:spacing w:line="560" w:lineRule="exact"/>
        <w:ind w:firstLine="48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1、外包服务公司应制定相关应急预案，预案场景设置、预案分工、预案演练、预案评估，并明确应急处置流程。</w:t>
      </w:r>
    </w:p>
    <w:p>
      <w:pPr>
        <w:spacing w:line="560" w:lineRule="exact"/>
        <w:ind w:firstLine="48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2、因外包服务人员原因造成我行及客户信息泄露、客户投诉等风险，外包服务公司应立即向我行报告，同时启动应急预案，沟通协商解决办法，防止事态扩大。</w:t>
      </w:r>
    </w:p>
    <w:p>
      <w:pPr>
        <w:spacing w:line="560" w:lineRule="exact"/>
        <w:ind w:firstLine="48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3、营业网点如遇挤兑、抢劫、被盗等情形，外包服务人员应及时报告我行和上级部门以及外包服务公司，启动应急预案并报警。</w:t>
      </w:r>
    </w:p>
    <w:p>
      <w:pPr>
        <w:spacing w:line="560" w:lineRule="exact"/>
        <w:ind w:firstLine="48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4、由于外包服务公司原因（如：外包服务中断）引起突发事件的，我行应立即启动相应应急预案，妥善处置问题，积极争取恢复生产。</w:t>
      </w:r>
    </w:p>
    <w:p>
      <w:pPr>
        <w:spacing w:line="560" w:lineRule="exact"/>
        <w:ind w:firstLine="48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5、造成我行经济损失的，应按照相关法律法规、合同约定进行索赔。造成我行声誉损失的，应要求保安公司积极配合我行采取措施消除影响、恢复声誉。涉嫌违法犯罪的，应及时向公安机关报案。</w:t>
      </w:r>
    </w:p>
    <w:p>
      <w:pPr>
        <w:spacing w:line="560" w:lineRule="exact"/>
        <w:ind w:firstLine="64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6、在处理事（案）件过程中要时刻向我行报告进展情况，待风险解除后，形成书面报告报送我行，我行综合评估后确定是否继续开展外包事项。</w:t>
      </w:r>
    </w:p>
    <w:p>
      <w:pPr>
        <w:spacing w:line="560" w:lineRule="exact"/>
        <w:ind w:firstLine="16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（六）外包争端的解决</w:t>
      </w:r>
    </w:p>
    <w:p>
      <w:pPr>
        <w:spacing w:line="560" w:lineRule="exact"/>
        <w:ind w:firstLine="48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外包协议有效期内若发生争议，应本着友好协商的态度加以妥善解决。协商不成的，向所在地人民法院起诉。诉讼期间，外包协议不涉及争议的条款，双方仍需继续履行。</w:t>
      </w:r>
    </w:p>
    <w:p>
      <w:pPr>
        <w:spacing w:line="560" w:lineRule="exact"/>
        <w:ind w:firstLine="32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（七）验收方法和标准</w:t>
      </w:r>
    </w:p>
    <w:p>
      <w:pPr>
        <w:spacing w:line="560" w:lineRule="exact"/>
        <w:ind w:firstLine="48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1、根据《中国建设银行营业办公场所保安值勤操作规程》有关规定，依据《XX月营业网点保安服务测评表》（见附件），每月由我行按照“合格”、“基本合格”、“不合格”进行测评考核。</w:t>
      </w:r>
    </w:p>
    <w:p>
      <w:pPr>
        <w:spacing w:line="560" w:lineRule="exact"/>
        <w:ind w:firstLine="48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2、每月由服务单位按“合格”、“基本合格”、“不合格”进行测评考核，根据我行提供的测评情况对外包服务公司进行综合评价，合格岗位占服务总岗位90%（含）以上为总体合格、80%（含）以上90%以下为基本合格、80%以下为不合格，按总体合格、基本合格、不合格三个档次支付服务费用。总体合格档次支付全额服务费用，基本合格、不合格档次对外包服务公司进行约谈，按照合同约定扣减相应费用。</w:t>
      </w:r>
    </w:p>
    <w:p>
      <w:pPr>
        <w:spacing w:line="560" w:lineRule="exact"/>
        <w:ind w:firstLine="636"/>
        <w:outlineLvl w:val="0"/>
        <w:rPr>
          <w:rFonts w:ascii="彩虹黑体" w:hAnsi="彩虹黑体" w:eastAsia="彩虹黑体"/>
          <w:color w:val="auto"/>
          <w:sz w:val="32"/>
          <w:szCs w:val="32"/>
        </w:rPr>
      </w:pPr>
      <w:r>
        <w:rPr>
          <w:rFonts w:hint="eastAsia" w:ascii="彩虹黑体" w:hAnsi="彩虹黑体" w:eastAsia="彩虹黑体"/>
          <w:color w:val="auto"/>
          <w:sz w:val="32"/>
          <w:szCs w:val="32"/>
        </w:rPr>
        <w:t>五、消保条款要求</w:t>
      </w:r>
    </w:p>
    <w:p>
      <w:pPr>
        <w:spacing w:line="560" w:lineRule="exact"/>
        <w:ind w:firstLine="636"/>
        <w:outlineLvl w:val="1"/>
        <w:rPr>
          <w:rFonts w:ascii="彩虹黑体" w:hAnsi="彩虹黑体" w:eastAsia="彩虹黑体"/>
          <w:color w:val="auto"/>
          <w:sz w:val="32"/>
          <w:szCs w:val="32"/>
        </w:rPr>
      </w:pPr>
      <w:r>
        <w:rPr>
          <w:rFonts w:hint="eastAsia" w:ascii="彩虹黑体" w:hAnsi="彩虹黑体" w:eastAsia="彩虹黑体"/>
          <w:color w:val="auto"/>
          <w:sz w:val="32"/>
          <w:szCs w:val="32"/>
        </w:rPr>
        <w:t>（一）个人信息保护条款</w:t>
      </w:r>
    </w:p>
    <w:p>
      <w:pPr>
        <w:spacing w:line="560" w:lineRule="exact"/>
        <w:ind w:firstLine="64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1.明确双方职责、保密义务及个人信息保护条款措施、个人信息发生泄露的违约责任；约定合作机构的保密义务不因服务的终止而终止；</w:t>
      </w:r>
    </w:p>
    <w:p>
      <w:pPr>
        <w:spacing w:line="560" w:lineRule="exact"/>
        <w:ind w:firstLine="64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2.合作机构不得在未获得客户同意的前提下将获得的个人信息进一步提供给其他第三方；</w:t>
      </w:r>
    </w:p>
    <w:p>
      <w:pPr>
        <w:spacing w:line="560" w:lineRule="exact"/>
        <w:ind w:firstLine="64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3.合作机构向个人信息主体征得收集个人信息的明确同意授权；</w:t>
      </w:r>
    </w:p>
    <w:p>
      <w:pPr>
        <w:spacing w:line="560" w:lineRule="exact"/>
        <w:ind w:firstLine="64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4.在双方合作关系终止时，应确保其不再存储我行相关个人信息。</w:t>
      </w:r>
    </w:p>
    <w:p>
      <w:pPr>
        <w:spacing w:line="560" w:lineRule="exact"/>
        <w:ind w:firstLine="64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560" w:lineRule="exact"/>
        <w:ind w:firstLine="64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560" w:lineRule="exact"/>
        <w:ind w:firstLine="640"/>
        <w:outlineLvl w:val="1"/>
        <w:rPr>
          <w:rFonts w:ascii="彩虹黑体" w:hAnsi="彩虹黑体" w:eastAsia="彩虹黑体"/>
          <w:color w:val="auto"/>
          <w:sz w:val="32"/>
          <w:szCs w:val="32"/>
        </w:rPr>
      </w:pPr>
      <w:r>
        <w:rPr>
          <w:rFonts w:hint="eastAsia" w:ascii="彩虹黑体" w:hAnsi="彩虹黑体" w:eastAsia="彩虹黑体"/>
          <w:color w:val="auto"/>
          <w:sz w:val="32"/>
          <w:szCs w:val="32"/>
        </w:rPr>
        <w:t>(二）信息披露条款</w:t>
      </w:r>
    </w:p>
    <w:p>
      <w:pPr>
        <w:spacing w:line="560" w:lineRule="exact"/>
        <w:ind w:firstLine="64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560" w:lineRule="exact"/>
        <w:ind w:firstLine="640"/>
        <w:outlineLvl w:val="1"/>
        <w:rPr>
          <w:rFonts w:ascii="彩虹黑体" w:hAnsi="彩虹黑体" w:eastAsia="彩虹黑体"/>
          <w:color w:val="auto"/>
          <w:sz w:val="32"/>
          <w:szCs w:val="32"/>
        </w:rPr>
      </w:pPr>
      <w:r>
        <w:rPr>
          <w:rFonts w:hint="eastAsia" w:ascii="彩虹黑体" w:hAnsi="彩虹黑体" w:eastAsia="彩虹黑体"/>
          <w:color w:val="auto"/>
          <w:sz w:val="32"/>
          <w:szCs w:val="32"/>
        </w:rPr>
        <w:t xml:space="preserve">(三）消费者投诉条款 </w:t>
      </w:r>
    </w:p>
    <w:p>
      <w:pPr>
        <w:spacing w:line="560" w:lineRule="exact"/>
        <w:ind w:firstLine="64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560" w:lineRule="exact"/>
        <w:ind w:firstLine="64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2.对涉及理赔给付的合作机构，应明确其承担的投诉处理义务和责任。</w:t>
      </w:r>
    </w:p>
    <w:p>
      <w:pPr>
        <w:spacing w:line="560" w:lineRule="exact"/>
        <w:ind w:firstLine="640"/>
        <w:outlineLvl w:val="1"/>
        <w:rPr>
          <w:rFonts w:ascii="彩虹黑体" w:hAnsi="彩虹黑体" w:eastAsia="彩虹黑体"/>
          <w:color w:val="auto"/>
          <w:sz w:val="32"/>
          <w:szCs w:val="32"/>
        </w:rPr>
      </w:pPr>
      <w:r>
        <w:rPr>
          <w:rFonts w:hint="eastAsia" w:ascii="彩虹黑体" w:hAnsi="彩虹黑体" w:eastAsia="彩虹黑体"/>
          <w:color w:val="auto"/>
          <w:sz w:val="32"/>
          <w:szCs w:val="32"/>
        </w:rPr>
        <w:t xml:space="preserve">（四）其他行为监督 </w:t>
      </w:r>
    </w:p>
    <w:p>
      <w:pPr>
        <w:spacing w:line="560" w:lineRule="exact"/>
        <w:ind w:firstLine="64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560" w:lineRule="exact"/>
        <w:ind w:firstLine="640"/>
        <w:outlineLvl w:val="1"/>
        <w:rPr>
          <w:rFonts w:ascii="彩虹粗仿宋" w:hAnsi="彩虹粗仿宋" w:eastAsia="彩虹粗仿宋"/>
          <w:color w:val="auto"/>
          <w:sz w:val="32"/>
          <w:szCs w:val="32"/>
        </w:rPr>
      </w:pPr>
      <w:r>
        <w:rPr>
          <w:rFonts w:hint="eastAsia" w:ascii="彩虹黑体" w:hAnsi="彩虹黑体" w:eastAsia="彩虹黑体"/>
          <w:color w:val="auto"/>
          <w:sz w:val="32"/>
          <w:szCs w:val="32"/>
        </w:rPr>
        <w:t>（五）黑名单退出机制</w:t>
      </w:r>
    </w:p>
    <w:p>
      <w:pPr>
        <w:spacing w:line="560" w:lineRule="exact"/>
        <w:ind w:firstLine="64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对有下列情形之一的，应取消准入资格；已经准入的，应予以退出。</w:t>
      </w:r>
    </w:p>
    <w:p>
      <w:pPr>
        <w:spacing w:line="560" w:lineRule="exact"/>
        <w:ind w:left="210" w:firstLine="320"/>
        <w:rPr>
          <w:rFonts w:ascii="彩虹粗仿宋" w:hAnsi="彩虹粗仿宋" w:eastAsia="彩虹粗仿宋"/>
          <w:color w:val="auto"/>
          <w:sz w:val="32"/>
          <w:szCs w:val="32"/>
        </w:rPr>
      </w:pPr>
      <w:r>
        <w:rPr>
          <w:rFonts w:ascii="彩虹粗仿宋" w:hAnsi="彩虹粗仿宋" w:eastAsia="彩虹粗仿宋"/>
          <w:color w:val="auto"/>
          <w:sz w:val="32"/>
          <w:szCs w:val="32"/>
        </w:rPr>
        <w:t>1.存在消费者权益侵权行为，引发较大舆情或重大投诉在社会上造成严重不良影响的；</w:t>
      </w:r>
    </w:p>
    <w:p>
      <w:pPr>
        <w:spacing w:line="560" w:lineRule="exact"/>
        <w:ind w:firstLine="640"/>
        <w:rPr>
          <w:rFonts w:ascii="彩虹粗仿宋" w:hAnsi="彩虹粗仿宋" w:eastAsia="彩虹粗仿宋"/>
          <w:color w:val="auto"/>
          <w:sz w:val="32"/>
          <w:szCs w:val="32"/>
        </w:rPr>
      </w:pPr>
      <w:r>
        <w:rPr>
          <w:rFonts w:ascii="彩虹粗仿宋" w:hAnsi="彩虹粗仿宋" w:eastAsia="彩虹粗仿宋"/>
          <w:color w:val="auto"/>
          <w:sz w:val="32"/>
          <w:szCs w:val="32"/>
        </w:rPr>
        <w:t>2.存在消费者权益侵权行为，受到监管处罚，给我行造成严重不良影响的；</w:t>
      </w:r>
    </w:p>
    <w:p>
      <w:pPr>
        <w:spacing w:line="560" w:lineRule="exact"/>
        <w:ind w:firstLine="640"/>
        <w:rPr>
          <w:rFonts w:ascii="彩虹粗仿宋" w:hAnsi="彩虹粗仿宋" w:eastAsia="彩虹粗仿宋"/>
          <w:color w:val="auto"/>
          <w:sz w:val="32"/>
          <w:szCs w:val="32"/>
        </w:rPr>
      </w:pPr>
      <w:r>
        <w:rPr>
          <w:rFonts w:ascii="彩虹粗仿宋" w:hAnsi="彩虹粗仿宋" w:eastAsia="彩虹粗仿宋"/>
          <w:color w:val="auto"/>
          <w:sz w:val="32"/>
          <w:szCs w:val="32"/>
        </w:rPr>
        <w:t>3.存在消费者权益侵权行为，受到公安立案或法院判决，给我行造成严重不良影响的；</w:t>
      </w:r>
    </w:p>
    <w:p>
      <w:pPr>
        <w:spacing w:line="560" w:lineRule="exact"/>
        <w:ind w:firstLine="640"/>
        <w:rPr>
          <w:rFonts w:ascii="彩虹黑体" w:hAnsi="彩虹黑体" w:eastAsia="彩虹粗仿宋"/>
          <w:color w:val="auto"/>
          <w:sz w:val="32"/>
          <w:szCs w:val="32"/>
        </w:rPr>
      </w:pPr>
      <w:r>
        <w:rPr>
          <w:rFonts w:ascii="彩虹粗仿宋" w:hAnsi="彩虹粗仿宋" w:eastAsia="彩虹粗仿宋"/>
          <w:color w:val="auto"/>
          <w:sz w:val="32"/>
          <w:szCs w:val="32"/>
        </w:rPr>
        <w:t>4.违反法律法规和监管机构规定的其他严重情形</w:t>
      </w:r>
      <w:r>
        <w:rPr>
          <w:rFonts w:hint="eastAsia" w:ascii="彩虹粗仿宋" w:hAnsi="彩虹粗仿宋" w:eastAsia="彩虹粗仿宋"/>
          <w:color w:val="auto"/>
          <w:sz w:val="32"/>
          <w:szCs w:val="32"/>
        </w:rPr>
        <w:t>。</w:t>
      </w:r>
    </w:p>
    <w:p>
      <w:pPr>
        <w:spacing w:line="560" w:lineRule="exact"/>
        <w:ind w:firstLine="480"/>
        <w:outlineLvl w:val="0"/>
        <w:rPr>
          <w:rFonts w:ascii="彩虹黑体" w:hAnsi="彩虹黑体" w:eastAsia="彩虹黑体"/>
          <w:color w:val="auto"/>
          <w:sz w:val="32"/>
          <w:szCs w:val="32"/>
        </w:rPr>
      </w:pPr>
      <w:r>
        <w:rPr>
          <w:rFonts w:hint="eastAsia" w:ascii="彩虹黑体" w:hAnsi="彩虹黑体" w:eastAsia="彩虹黑体"/>
          <w:color w:val="auto"/>
          <w:sz w:val="32"/>
          <w:szCs w:val="32"/>
        </w:rPr>
        <w:t>六、服务供应安排</w:t>
      </w:r>
    </w:p>
    <w:p>
      <w:pPr>
        <w:spacing w:line="560" w:lineRule="exact"/>
        <w:ind w:firstLine="320"/>
        <w:outlineLvl w:val="1"/>
        <w:rPr>
          <w:rFonts w:ascii="彩虹粗仿宋" w:hAnsi="彩虹粗仿宋" w:eastAsia="彩虹粗仿宋"/>
          <w:color w:val="auto"/>
          <w:sz w:val="32"/>
          <w:szCs w:val="32"/>
        </w:rPr>
      </w:pPr>
      <w:r>
        <w:rPr>
          <w:rFonts w:hint="eastAsia" w:ascii="彩虹粗仿宋" w:hAnsi="彩虹粗仿宋" w:eastAsia="彩虹粗仿宋"/>
          <w:color w:val="auto"/>
          <w:sz w:val="32"/>
          <w:szCs w:val="32"/>
        </w:rPr>
        <w:t>（一）办公营业场所保安值守服务</w:t>
      </w:r>
    </w:p>
    <w:p>
      <w:pPr>
        <w:spacing w:line="560" w:lineRule="exact"/>
        <w:ind w:firstLine="48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1、负责为许昌长葛支行本部和4个网点提供保安值守服务。</w:t>
      </w:r>
    </w:p>
    <w:p>
      <w:pPr>
        <w:spacing w:line="560" w:lineRule="exact"/>
        <w:ind w:firstLine="48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2、许昌长葛支行本部实行24小时轮班制值守，4个网点保安人员执勤的工作时间与网点营业时间保持一致，每人每周工作时间符合国家法定工作时间。</w:t>
      </w:r>
    </w:p>
    <w:p>
      <w:pPr>
        <w:spacing w:line="560" w:lineRule="exact"/>
        <w:ind w:left="479" w:firstLine="160"/>
        <w:outlineLvl w:val="1"/>
        <w:rPr>
          <w:rFonts w:ascii="彩虹粗仿宋" w:hAnsi="彩虹粗仿宋" w:eastAsia="彩虹粗仿宋" w:cs="彩虹粗仿宋"/>
          <w:color w:val="auto"/>
          <w:sz w:val="32"/>
          <w:szCs w:val="32"/>
        </w:rPr>
      </w:pPr>
      <w:r>
        <w:rPr>
          <w:rFonts w:hint="eastAsia" w:ascii="彩虹粗仿宋" w:hAnsi="彩虹粗仿宋" w:eastAsia="彩虹粗仿宋"/>
          <w:color w:val="auto"/>
          <w:sz w:val="32"/>
          <w:szCs w:val="32"/>
        </w:rPr>
        <w:t>（二)联网</w:t>
      </w:r>
      <w:r>
        <w:rPr>
          <w:rFonts w:hint="eastAsia" w:ascii="彩虹粗仿宋" w:hAnsi="彩虹粗仿宋" w:eastAsia="彩虹粗仿宋" w:cs="彩虹粗仿宋"/>
          <w:color w:val="auto"/>
          <w:sz w:val="32"/>
          <w:szCs w:val="32"/>
        </w:rPr>
        <w:t>110报警服务</w:t>
      </w:r>
    </w:p>
    <w:p>
      <w:pPr>
        <w:spacing w:line="600" w:lineRule="exact"/>
        <w:ind w:firstLine="640"/>
        <w:jc w:val="left"/>
        <w:outlineLvl w:val="2"/>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1、报警监控</w:t>
      </w:r>
    </w:p>
    <w:p>
      <w:pPr>
        <w:spacing w:line="600" w:lineRule="exact"/>
        <w:ind w:firstLine="64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供应商公司按照报警联网设备合同的约定对我行各地区辖内报警服务点（含网点、自助、金库、档案库房等）进行撤布防的监控。</w:t>
      </w:r>
    </w:p>
    <w:p>
      <w:pPr>
        <w:spacing w:line="600" w:lineRule="exact"/>
        <w:ind w:firstLine="640"/>
        <w:jc w:val="left"/>
        <w:outlineLvl w:val="2"/>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2、设备巡检</w:t>
      </w:r>
    </w:p>
    <w:p>
      <w:pPr>
        <w:spacing w:line="600" w:lineRule="exact"/>
        <w:ind w:firstLine="64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全年为我行网点的联网报警系统每季度进行1次全面的检修。</w:t>
      </w:r>
    </w:p>
    <w:p>
      <w:pPr>
        <w:spacing w:line="600" w:lineRule="exact"/>
        <w:ind w:firstLine="640"/>
        <w:jc w:val="left"/>
        <w:outlineLvl w:val="2"/>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3、设备日常维修维护</w:t>
      </w:r>
    </w:p>
    <w:p>
      <w:pPr>
        <w:spacing w:line="600" w:lineRule="exact"/>
        <w:ind w:firstLine="64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做好营业场所和办公楼等重点部位110联网线路设备和报警系统的的日常维护。</w:t>
      </w:r>
    </w:p>
    <w:p>
      <w:pPr>
        <w:spacing w:line="600" w:lineRule="exact"/>
        <w:ind w:firstLine="640"/>
        <w:jc w:val="left"/>
        <w:outlineLvl w:val="2"/>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4、人员培训</w:t>
      </w:r>
    </w:p>
    <w:p>
      <w:pPr>
        <w:spacing w:line="600" w:lineRule="exact"/>
        <w:ind w:firstLine="64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每年对我行人员每季度提供1次安保设施设备维护使用培训。</w:t>
      </w:r>
    </w:p>
    <w:p>
      <w:pPr>
        <w:spacing w:line="600" w:lineRule="exact"/>
        <w:ind w:firstLine="640"/>
        <w:jc w:val="left"/>
        <w:outlineLvl w:val="2"/>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5、警情处置</w:t>
      </w:r>
    </w:p>
    <w:p>
      <w:pPr>
        <w:spacing w:line="560" w:lineRule="exact"/>
        <w:ind w:firstLine="640"/>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供应商与“110”指挥中心24小时共同接收紧急报警信号，及时通知反馈处理。</w:t>
      </w:r>
    </w:p>
    <w:p>
      <w:pPr>
        <w:spacing w:line="560" w:lineRule="exact"/>
        <w:ind w:left="479" w:firstLine="160"/>
        <w:outlineLvl w:val="1"/>
        <w:rPr>
          <w:rFonts w:ascii="彩虹粗仿宋" w:hAnsi="彩虹粗仿宋" w:eastAsia="彩虹粗仿宋"/>
          <w:color w:val="auto"/>
          <w:sz w:val="32"/>
          <w:szCs w:val="32"/>
        </w:rPr>
      </w:pPr>
      <w:r>
        <w:rPr>
          <w:rFonts w:hint="eastAsia" w:ascii="彩虹粗仿宋" w:hAnsi="彩虹粗仿宋" w:eastAsia="彩虹粗仿宋"/>
          <w:color w:val="auto"/>
          <w:sz w:val="32"/>
          <w:szCs w:val="32"/>
        </w:rPr>
        <w:t>（三）钞币运送</w:t>
      </w:r>
    </w:p>
    <w:p>
      <w:pPr>
        <w:spacing w:line="560" w:lineRule="exact"/>
        <w:ind w:firstLine="640"/>
        <w:rPr>
          <w:rFonts w:ascii="彩虹粗仿宋" w:hAnsi="彩虹粗仿宋" w:eastAsia="彩虹粗仿宋" w:cs="宋体"/>
          <w:color w:val="auto"/>
          <w:sz w:val="32"/>
          <w:szCs w:val="32"/>
        </w:rPr>
      </w:pPr>
      <w:r>
        <w:rPr>
          <w:rFonts w:hint="eastAsia" w:ascii="彩虹粗仿宋" w:hAnsi="彩虹粗仿宋" w:eastAsia="彩虹粗仿宋" w:cs="宋体"/>
          <w:color w:val="auto"/>
          <w:sz w:val="32"/>
          <w:szCs w:val="32"/>
        </w:rPr>
        <w:t>许昌长葛支行现有4个营业网点（含附行自助），保证</w:t>
      </w:r>
      <w:r>
        <w:rPr>
          <w:rFonts w:hint="eastAsia" w:ascii="彩虹粗仿宋" w:hAnsi="彩虹粗仿宋" w:eastAsia="彩虹粗仿宋" w:cs="Courier New"/>
          <w:color w:val="auto"/>
          <w:sz w:val="32"/>
          <w:szCs w:val="32"/>
        </w:rPr>
        <w:t>业务点（是指营业场所、自助设备、上门服务点）的早、晚营业尾款箱（包）接送；业务点营业期间提缴现金；业务点配送外币、实物黄金;离行式自助（设备）银行收、送现金;我行客户上门收、送现金；去往许昌分行提取、缴存现金、贵金属、重要单证等；到省分行提取、缴存现金、重要空白凭证、贵金属等;业务点之间的票据、紧急公文等重要物品传递或者</w:t>
      </w:r>
      <w:r>
        <w:rPr>
          <w:rFonts w:hint="eastAsia" w:ascii="彩虹粗仿宋" w:hAnsi="彩虹粗仿宋" w:eastAsia="彩虹粗仿宋" w:cs="宋体"/>
          <w:color w:val="auto"/>
          <w:sz w:val="32"/>
          <w:szCs w:val="32"/>
        </w:rPr>
        <w:t>因业务需要产生的临时押运事项等</w:t>
      </w:r>
      <w:r>
        <w:rPr>
          <w:rFonts w:hint="eastAsia" w:ascii="彩虹粗仿宋" w:hAnsi="彩虹粗仿宋" w:eastAsia="彩虹粗仿宋" w:cs="Courier New"/>
          <w:color w:val="auto"/>
          <w:sz w:val="32"/>
          <w:szCs w:val="32"/>
        </w:rPr>
        <w:t>提供武装押运服务。</w:t>
      </w:r>
    </w:p>
    <w:p>
      <w:pPr>
        <w:spacing w:line="560" w:lineRule="atLeast"/>
        <w:ind w:firstLine="48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押运人员执勤的工作时间与网点营业时间保持一致，接受我行的安全业务检查，每人每周工作时间符合国家法定工作时间。押运费用按照合同约定经双方确认后进行结算。</w:t>
      </w:r>
    </w:p>
    <w:p>
      <w:pPr>
        <w:spacing w:line="560" w:lineRule="exact"/>
        <w:ind w:firstLine="633"/>
        <w:rPr>
          <w:rFonts w:ascii="彩虹粗仿宋" w:hAnsi="彩虹粗仿宋" w:eastAsia="彩虹粗仿宋"/>
          <w:b/>
          <w:color w:val="auto"/>
          <w:sz w:val="32"/>
          <w:szCs w:val="32"/>
        </w:rPr>
      </w:pPr>
      <w:r>
        <w:rPr>
          <w:rFonts w:hint="eastAsia" w:ascii="彩虹粗仿宋" w:hAnsi="彩虹粗仿宋" w:eastAsia="彩虹粗仿宋"/>
          <w:color w:val="auto"/>
          <w:sz w:val="32"/>
          <w:szCs w:val="32"/>
        </w:rPr>
        <w:t>押运的物品包括现金、重要凭证、有价证券以及黄金、贵金属等。</w:t>
      </w:r>
    </w:p>
    <w:p>
      <w:pPr>
        <w:spacing w:line="560" w:lineRule="exact"/>
        <w:ind w:firstLine="320"/>
        <w:outlineLvl w:val="0"/>
        <w:rPr>
          <w:rFonts w:ascii="彩虹黑体" w:hAnsi="彩虹黑体" w:eastAsia="彩虹黑体"/>
          <w:color w:val="auto"/>
          <w:sz w:val="32"/>
          <w:szCs w:val="32"/>
        </w:rPr>
      </w:pPr>
      <w:r>
        <w:rPr>
          <w:rFonts w:hint="eastAsia" w:ascii="彩虹黑体" w:hAnsi="彩虹黑体" w:eastAsia="彩虹黑体"/>
          <w:color w:val="auto"/>
          <w:sz w:val="32"/>
          <w:szCs w:val="32"/>
        </w:rPr>
        <w:t>七、服务数量要求</w:t>
      </w:r>
    </w:p>
    <w:p>
      <w:pPr>
        <w:spacing w:line="560" w:lineRule="exact"/>
        <w:ind w:firstLine="320"/>
        <w:outlineLvl w:val="1"/>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（一）服务区域</w:t>
      </w:r>
    </w:p>
    <w:p>
      <w:pPr>
        <w:spacing w:line="560" w:lineRule="exact"/>
        <w:ind w:firstLine="48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1、安保服务：长葛支行本部办公楼及所辖营业部等4个营业机构。</w:t>
      </w:r>
    </w:p>
    <w:p>
      <w:pPr>
        <w:spacing w:line="560" w:lineRule="exact"/>
        <w:ind w:firstLine="358"/>
        <w:rPr>
          <w:rFonts w:ascii="彩虹粗仿宋" w:hAnsi="彩虹粗仿宋" w:eastAsia="彩虹粗仿宋"/>
          <w:color w:val="auto"/>
          <w:sz w:val="32"/>
          <w:szCs w:val="32"/>
        </w:rPr>
      </w:pPr>
      <w:r>
        <w:rPr>
          <w:rFonts w:hint="eastAsia" w:ascii="彩虹粗仿宋" w:hAnsi="彩虹粗仿宋" w:eastAsia="彩虹粗仿宋"/>
          <w:color w:val="auto"/>
          <w:sz w:val="32"/>
          <w:szCs w:val="32"/>
        </w:rPr>
        <w:t>2、联网110报警服务：长葛支行4个营业网点（含附行式自助银行）。</w:t>
      </w:r>
    </w:p>
    <w:p>
      <w:pPr>
        <w:spacing w:line="560" w:lineRule="exact"/>
        <w:ind w:firstLine="358"/>
        <w:rPr>
          <w:rFonts w:ascii="彩虹粗仿宋" w:hAnsi="彩虹粗仿宋" w:eastAsia="彩虹粗仿宋"/>
          <w:color w:val="auto"/>
          <w:sz w:val="32"/>
          <w:szCs w:val="32"/>
        </w:rPr>
      </w:pPr>
      <w:r>
        <w:rPr>
          <w:rFonts w:hint="eastAsia" w:ascii="彩虹粗仿宋" w:hAnsi="彩虹粗仿宋" w:eastAsia="彩虹粗仿宋"/>
          <w:color w:val="auto"/>
          <w:sz w:val="32"/>
          <w:szCs w:val="32"/>
        </w:rPr>
        <w:t>3、钞币运送服务：</w:t>
      </w:r>
      <w:r>
        <w:rPr>
          <w:rFonts w:hint="eastAsia" w:ascii="彩虹粗仿宋" w:hAnsi="彩虹粗仿宋" w:eastAsia="彩虹粗仿宋" w:cs="宋体"/>
          <w:color w:val="auto"/>
          <w:sz w:val="32"/>
          <w:szCs w:val="32"/>
        </w:rPr>
        <w:t>长葛支行现有4个营业网点（含附行自助）</w:t>
      </w:r>
      <w:r>
        <w:rPr>
          <w:rFonts w:hint="eastAsia" w:ascii="彩虹粗仿宋" w:hAnsi="彩虹粗仿宋" w:eastAsia="彩虹粗仿宋"/>
          <w:color w:val="auto"/>
          <w:sz w:val="32"/>
          <w:szCs w:val="32"/>
        </w:rPr>
        <w:t>早晚接送款、清机加钞、上门收款、许昌提交款等业务服务。</w:t>
      </w:r>
    </w:p>
    <w:p>
      <w:pPr>
        <w:spacing w:line="560" w:lineRule="exact"/>
        <w:ind w:firstLine="320"/>
        <w:outlineLvl w:val="1"/>
        <w:rPr>
          <w:rFonts w:ascii="彩虹粗仿宋" w:hAnsi="彩虹粗仿宋" w:eastAsia="彩虹粗仿宋"/>
          <w:color w:val="auto"/>
          <w:sz w:val="32"/>
          <w:szCs w:val="32"/>
        </w:rPr>
      </w:pPr>
      <w:r>
        <w:rPr>
          <w:rFonts w:hint="eastAsia" w:ascii="彩虹粗仿宋" w:hAnsi="彩虹粗仿宋" w:eastAsia="彩虹粗仿宋"/>
          <w:color w:val="auto"/>
          <w:sz w:val="32"/>
          <w:szCs w:val="32"/>
        </w:rPr>
        <w:t>（二）岗位数量</w:t>
      </w:r>
    </w:p>
    <w:p>
      <w:pPr>
        <w:spacing w:line="560" w:lineRule="exact"/>
        <w:ind w:firstLine="480"/>
        <w:rPr>
          <w:rFonts w:ascii="彩虹粗仿宋" w:hAnsi="彩虹粗仿宋" w:eastAsia="彩虹粗仿宋"/>
          <w:color w:val="auto"/>
          <w:sz w:val="32"/>
          <w:szCs w:val="32"/>
        </w:rPr>
      </w:pPr>
      <w:r>
        <w:rPr>
          <w:rFonts w:ascii="彩虹粗仿宋" w:hAnsi="彩虹粗仿宋" w:eastAsia="彩虹粗仿宋"/>
          <w:color w:val="auto"/>
          <w:sz w:val="32"/>
          <w:szCs w:val="32"/>
        </w:rPr>
        <w:t>1</w:t>
      </w:r>
      <w:r>
        <w:rPr>
          <w:rFonts w:hint="eastAsia" w:ascii="彩虹粗仿宋" w:hAnsi="彩虹粗仿宋" w:eastAsia="彩虹粗仿宋"/>
          <w:color w:val="auto"/>
          <w:sz w:val="32"/>
          <w:szCs w:val="32"/>
        </w:rPr>
        <w:t>、许昌长葛支行办公楼配备3个岗；营业部、长社路支行、八七路支行和钟繇大道支行各配备2个岗，共需1</w:t>
      </w:r>
      <w:r>
        <w:rPr>
          <w:rFonts w:ascii="彩虹粗仿宋" w:hAnsi="彩虹粗仿宋" w:eastAsia="彩虹粗仿宋"/>
          <w:color w:val="auto"/>
          <w:sz w:val="32"/>
          <w:szCs w:val="32"/>
        </w:rPr>
        <w:t>1</w:t>
      </w:r>
      <w:r>
        <w:rPr>
          <w:rFonts w:hint="eastAsia" w:ascii="彩虹粗仿宋" w:hAnsi="彩虹粗仿宋" w:eastAsia="彩虹粗仿宋"/>
          <w:color w:val="auto"/>
          <w:sz w:val="32"/>
          <w:szCs w:val="32"/>
        </w:rPr>
        <w:t>个岗位。</w:t>
      </w:r>
    </w:p>
    <w:p>
      <w:pPr>
        <w:spacing w:line="560" w:lineRule="exact"/>
        <w:ind w:firstLine="48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2、长葛支行营业部、长社路、八七路、钟繇大道支行4个网点的报警服务。</w:t>
      </w:r>
    </w:p>
    <w:p>
      <w:pPr>
        <w:spacing w:line="560" w:lineRule="exact"/>
        <w:ind w:firstLine="48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3、钞币运送服务：1辆制式武装押运车辆，每个车组配备5人，其中车长1名、队员1名、解款员2名、司机1名。</w:t>
      </w:r>
    </w:p>
    <w:p>
      <w:pPr>
        <w:spacing w:line="560" w:lineRule="exact"/>
        <w:ind w:firstLine="480"/>
        <w:outlineLvl w:val="0"/>
        <w:rPr>
          <w:rFonts w:ascii="彩虹黑体" w:hAnsi="彩虹黑体" w:eastAsia="彩虹黑体"/>
          <w:color w:val="auto"/>
          <w:sz w:val="32"/>
          <w:szCs w:val="32"/>
        </w:rPr>
      </w:pPr>
      <w:r>
        <w:rPr>
          <w:rFonts w:hint="eastAsia" w:ascii="彩虹黑体" w:hAnsi="彩虹黑体" w:eastAsia="彩虹黑体"/>
          <w:color w:val="auto"/>
          <w:sz w:val="32"/>
          <w:szCs w:val="32"/>
        </w:rPr>
        <w:t>八、款项支付要求</w:t>
      </w:r>
    </w:p>
    <w:p>
      <w:pPr>
        <w:spacing w:line="600" w:lineRule="exact"/>
        <w:ind w:firstLine="640"/>
        <w:jc w:val="left"/>
        <w:rPr>
          <w:rFonts w:ascii="彩虹粗仿宋" w:hAnsi="彩虹粗仿宋" w:eastAsia="彩虹粗仿宋"/>
          <w:color w:val="auto"/>
          <w:sz w:val="32"/>
          <w:szCs w:val="32"/>
        </w:rPr>
      </w:pPr>
      <w:r>
        <w:rPr>
          <w:rFonts w:hint="eastAsia" w:ascii="彩虹粗仿宋" w:hAnsi="彩虹粗仿宋" w:eastAsia="彩虹粗仿宋" w:cs="彩虹粗仿宋"/>
          <w:color w:val="auto"/>
          <w:sz w:val="32"/>
          <w:szCs w:val="32"/>
        </w:rPr>
        <w:t>按月根据保安岗位、押运接送款和联网110报警设备点数实际增减情况据实支付</w:t>
      </w:r>
      <w:r>
        <w:rPr>
          <w:rFonts w:hint="eastAsia" w:ascii="彩虹粗仿宋" w:hAnsi="彩虹粗仿宋" w:eastAsia="彩虹粗仿宋"/>
          <w:color w:val="auto"/>
          <w:sz w:val="32"/>
          <w:szCs w:val="32"/>
        </w:rPr>
        <w:t>，根据月度考核情况，供应商出具相应的增值税专用发票，如遇增加或减少岗位数量,服务金额按对应岗位价格和数量进行增减。</w:t>
      </w:r>
    </w:p>
    <w:p>
      <w:pPr>
        <w:spacing w:line="560" w:lineRule="exact"/>
        <w:ind w:firstLine="480"/>
        <w:outlineLvl w:val="0"/>
        <w:rPr>
          <w:rFonts w:ascii="彩虹黑体" w:hAnsi="彩虹黑体" w:eastAsia="彩虹黑体"/>
          <w:color w:val="auto"/>
          <w:sz w:val="32"/>
          <w:szCs w:val="32"/>
        </w:rPr>
      </w:pPr>
      <w:r>
        <w:rPr>
          <w:rFonts w:hint="eastAsia" w:ascii="彩虹黑体" w:hAnsi="彩虹黑体" w:eastAsia="彩虹黑体"/>
          <w:color w:val="auto"/>
          <w:sz w:val="32"/>
          <w:szCs w:val="32"/>
        </w:rPr>
        <w:t>九、报价要求</w:t>
      </w:r>
    </w:p>
    <w:p>
      <w:pPr>
        <w:spacing w:line="560" w:lineRule="exact"/>
        <w:ind w:left="-113" w:firstLine="48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（一）长葛支行本部办公楼及营业网点配备保安11个岗位，每年服务费用预算34.32万元（含税价），每月2.86万元。按元/月/岗报单价和含税总价进行报价，超过预算为无效报价。</w:t>
      </w:r>
    </w:p>
    <w:p>
      <w:pPr>
        <w:spacing w:line="560" w:lineRule="exact"/>
        <w:ind w:firstLine="48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（二）长葛支行公安110联网报警服务，</w:t>
      </w:r>
      <w:r>
        <w:rPr>
          <w:rFonts w:hint="eastAsia" w:ascii="彩虹粗仿宋" w:hAnsi="彩虹粗仿宋" w:eastAsia="彩虹粗仿宋"/>
          <w:color w:val="auto"/>
          <w:sz w:val="32"/>
          <w:szCs w:val="32"/>
          <w:lang w:eastAsia="zh-CN"/>
        </w:rPr>
        <w:t>服务点数为</w:t>
      </w:r>
      <w:r>
        <w:rPr>
          <w:rFonts w:hint="eastAsia" w:ascii="彩虹粗仿宋" w:hAnsi="彩虹粗仿宋" w:eastAsia="彩虹粗仿宋"/>
          <w:color w:val="auto"/>
          <w:sz w:val="32"/>
          <w:szCs w:val="32"/>
          <w:lang w:val="en-US" w:eastAsia="zh-CN"/>
        </w:rPr>
        <w:t>4点</w:t>
      </w:r>
      <w:r>
        <w:rPr>
          <w:rFonts w:hint="eastAsia" w:ascii="彩虹粗仿宋" w:hAnsi="彩虹粗仿宋" w:eastAsia="彩虹粗仿宋"/>
          <w:color w:val="auto"/>
          <w:sz w:val="32"/>
          <w:szCs w:val="32"/>
        </w:rPr>
        <w:t>，按“525元/点/月”报含税单价和含税总价，超过预算为无效报价。</w:t>
      </w:r>
    </w:p>
    <w:p>
      <w:pPr>
        <w:spacing w:line="560" w:lineRule="exact"/>
        <w:ind w:left="-283" w:right="-368" w:firstLine="48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（三）长葛支行需1个押运车组，每年费用为59.60万元（含税价），每月为4.97万元。按单价和含税总价进行报价，超过预算为无效报价。</w:t>
      </w:r>
    </w:p>
    <w:p>
      <w:pPr>
        <w:spacing w:line="560" w:lineRule="exact"/>
        <w:ind w:firstLine="320"/>
        <w:outlineLvl w:val="0"/>
        <w:rPr>
          <w:rFonts w:ascii="彩虹黑体" w:hAnsi="彩虹黑体" w:eastAsia="彩虹黑体"/>
          <w:color w:val="auto"/>
          <w:sz w:val="32"/>
          <w:szCs w:val="32"/>
        </w:rPr>
      </w:pPr>
      <w:r>
        <w:rPr>
          <w:rFonts w:hint="eastAsia" w:ascii="彩虹黑体" w:hAnsi="彩虹黑体" w:eastAsia="彩虹黑体"/>
          <w:color w:val="auto"/>
          <w:sz w:val="32"/>
          <w:szCs w:val="32"/>
        </w:rPr>
        <w:t>十、其他要求</w:t>
      </w:r>
    </w:p>
    <w:p>
      <w:pPr>
        <w:spacing w:line="560" w:lineRule="exact"/>
        <w:ind w:firstLine="480"/>
        <w:rPr>
          <w:rFonts w:ascii="彩虹粗仿宋" w:hAnsi="彩虹粗仿宋" w:eastAsia="彩虹粗仿宋"/>
          <w:b/>
          <w:color w:val="auto"/>
          <w:sz w:val="32"/>
          <w:szCs w:val="32"/>
          <w:shd w:val="clear" w:color="auto" w:fill="FFFFFF"/>
        </w:rPr>
      </w:pPr>
      <w:r>
        <w:rPr>
          <w:rFonts w:hint="eastAsia" w:ascii="彩虹粗仿宋" w:hAnsi="彩虹粗仿宋" w:eastAsia="彩虹粗仿宋"/>
          <w:color w:val="auto"/>
          <w:sz w:val="32"/>
          <w:szCs w:val="32"/>
          <w:shd w:val="clear" w:color="auto" w:fill="FFFFFF"/>
        </w:rPr>
        <w:t>未经采购方允许，供应商不得将本项目采购内容及项目以任何方式进行转包。</w:t>
      </w:r>
    </w:p>
    <w:tbl>
      <w:tblPr>
        <w:tblStyle w:val="2"/>
        <w:tblW w:w="8980" w:type="dxa"/>
        <w:tblInd w:w="-15" w:type="dxa"/>
        <w:tblLayout w:type="autofit"/>
        <w:tblCellMar>
          <w:top w:w="0" w:type="dxa"/>
          <w:left w:w="10" w:type="dxa"/>
          <w:bottom w:w="0" w:type="dxa"/>
          <w:right w:w="10" w:type="dxa"/>
        </w:tblCellMar>
      </w:tblPr>
      <w:tblGrid>
        <w:gridCol w:w="740"/>
        <w:gridCol w:w="740"/>
        <w:gridCol w:w="720"/>
        <w:gridCol w:w="1080"/>
        <w:gridCol w:w="740"/>
        <w:gridCol w:w="1120"/>
        <w:gridCol w:w="920"/>
        <w:gridCol w:w="740"/>
        <w:gridCol w:w="700"/>
        <w:gridCol w:w="720"/>
        <w:gridCol w:w="760"/>
      </w:tblGrid>
      <w:tr>
        <w:tblPrEx>
          <w:tblCellMar>
            <w:top w:w="0" w:type="dxa"/>
            <w:left w:w="10" w:type="dxa"/>
            <w:bottom w:w="0" w:type="dxa"/>
            <w:right w:w="10" w:type="dxa"/>
          </w:tblCellMar>
        </w:tblPrEx>
        <w:trPr>
          <w:trHeight w:val="456" w:hRule="atLeast"/>
        </w:trPr>
        <w:tc>
          <w:tcPr>
            <w:tcW w:w="8980" w:type="dxa"/>
            <w:gridSpan w:val="11"/>
            <w:tcBorders>
              <w:top w:val="nil"/>
              <w:left w:val="nil"/>
              <w:bottom w:val="nil"/>
              <w:right w:val="nil"/>
            </w:tcBorders>
            <w:tcMar>
              <w:top w:w="0" w:type="dxa"/>
              <w:left w:w="108" w:type="dxa"/>
              <w:bottom w:w="0" w:type="dxa"/>
              <w:right w:w="108" w:type="dxa"/>
            </w:tcMar>
            <w:vAlign w:val="center"/>
          </w:tcPr>
          <w:p>
            <w:pPr>
              <w:widowControl/>
              <w:jc w:val="center"/>
              <w:rPr>
                <w:rFonts w:ascii="彩虹粗仿宋" w:hAnsi="彩虹粗仿宋" w:eastAsia="彩虹粗仿宋"/>
                <w:color w:val="auto"/>
                <w:sz w:val="32"/>
                <w:szCs w:val="32"/>
              </w:rPr>
            </w:pPr>
            <w:r>
              <w:rPr>
                <w:rFonts w:hint="eastAsia" w:ascii="彩虹粗仿宋" w:hAnsi="彩虹粗仿宋" w:eastAsia="彩虹粗仿宋"/>
                <w:color w:val="auto"/>
                <w:sz w:val="32"/>
                <w:szCs w:val="32"/>
              </w:rPr>
              <w:t>附件：</w:t>
            </w:r>
          </w:p>
          <w:p>
            <w:pPr>
              <w:widowControl/>
              <w:jc w:val="center"/>
              <w:rPr>
                <w:rFonts w:ascii="Times New Roman" w:hAnsi="Times New Roman"/>
                <w:b/>
                <w:bCs/>
                <w:color w:val="auto"/>
                <w:sz w:val="36"/>
                <w:szCs w:val="36"/>
              </w:rPr>
            </w:pPr>
            <w:r>
              <w:rPr>
                <w:rFonts w:hint="eastAsia" w:ascii="宋体" w:hAnsi="宋体"/>
                <w:b/>
                <w:bCs/>
                <w:color w:val="auto"/>
                <w:sz w:val="36"/>
                <w:szCs w:val="36"/>
              </w:rPr>
              <w:t>保安服务测评表</w:t>
            </w:r>
          </w:p>
        </w:tc>
      </w:tr>
      <w:tr>
        <w:tblPrEx>
          <w:tblCellMar>
            <w:top w:w="0" w:type="dxa"/>
            <w:left w:w="10" w:type="dxa"/>
            <w:bottom w:w="0" w:type="dxa"/>
            <w:right w:w="10" w:type="dxa"/>
          </w:tblCellMar>
        </w:tblPrEx>
        <w:trPr>
          <w:trHeight w:val="135" w:hRule="atLeast"/>
        </w:trPr>
        <w:tc>
          <w:tcPr>
            <w:tcW w:w="740" w:type="dxa"/>
            <w:tcBorders>
              <w:top w:val="nil"/>
              <w:left w:val="nil"/>
              <w:bottom w:val="nil"/>
              <w:right w:val="nil"/>
            </w:tcBorders>
            <w:tcMar>
              <w:top w:w="0" w:type="dxa"/>
              <w:left w:w="108" w:type="dxa"/>
              <w:bottom w:w="0" w:type="dxa"/>
              <w:right w:w="108" w:type="dxa"/>
            </w:tcMar>
            <w:vAlign w:val="center"/>
          </w:tcPr>
          <w:p>
            <w:pPr>
              <w:widowControl/>
              <w:jc w:val="center"/>
              <w:rPr>
                <w:rFonts w:ascii="宋体" w:hAnsi="宋体" w:cs="宋体"/>
                <w:color w:val="auto"/>
                <w:sz w:val="24"/>
                <w:szCs w:val="24"/>
              </w:rPr>
            </w:pPr>
          </w:p>
        </w:tc>
        <w:tc>
          <w:tcPr>
            <w:tcW w:w="740" w:type="dxa"/>
            <w:tcBorders>
              <w:top w:val="nil"/>
              <w:left w:val="nil"/>
              <w:bottom w:val="nil"/>
              <w:right w:val="nil"/>
            </w:tcBorders>
            <w:tcMar>
              <w:top w:w="0" w:type="dxa"/>
              <w:left w:w="108" w:type="dxa"/>
              <w:bottom w:w="0" w:type="dxa"/>
              <w:right w:w="108" w:type="dxa"/>
            </w:tcMar>
            <w:vAlign w:val="bottom"/>
          </w:tcPr>
          <w:p>
            <w:pPr>
              <w:widowControl/>
              <w:jc w:val="left"/>
              <w:rPr>
                <w:rFonts w:ascii="宋体" w:hAnsi="宋体" w:cs="宋体"/>
                <w:color w:val="auto"/>
                <w:sz w:val="24"/>
                <w:szCs w:val="24"/>
              </w:rPr>
            </w:pPr>
          </w:p>
        </w:tc>
        <w:tc>
          <w:tcPr>
            <w:tcW w:w="720" w:type="dxa"/>
            <w:tcBorders>
              <w:top w:val="nil"/>
              <w:left w:val="nil"/>
              <w:bottom w:val="nil"/>
              <w:right w:val="nil"/>
            </w:tcBorders>
            <w:tcMar>
              <w:top w:w="0" w:type="dxa"/>
              <w:left w:w="108" w:type="dxa"/>
              <w:bottom w:w="0" w:type="dxa"/>
              <w:right w:w="108" w:type="dxa"/>
            </w:tcMar>
            <w:vAlign w:val="bottom"/>
          </w:tcPr>
          <w:p>
            <w:pPr>
              <w:widowControl/>
              <w:jc w:val="left"/>
              <w:rPr>
                <w:rFonts w:ascii="宋体" w:hAnsi="宋体" w:cs="宋体"/>
                <w:color w:val="auto"/>
                <w:sz w:val="24"/>
                <w:szCs w:val="24"/>
              </w:rPr>
            </w:pPr>
          </w:p>
        </w:tc>
        <w:tc>
          <w:tcPr>
            <w:tcW w:w="1080" w:type="dxa"/>
            <w:tcBorders>
              <w:top w:val="nil"/>
              <w:left w:val="nil"/>
              <w:bottom w:val="nil"/>
              <w:right w:val="nil"/>
            </w:tcBorders>
            <w:tcMar>
              <w:top w:w="0" w:type="dxa"/>
              <w:left w:w="108" w:type="dxa"/>
              <w:bottom w:w="0" w:type="dxa"/>
              <w:right w:w="108" w:type="dxa"/>
            </w:tcMar>
            <w:vAlign w:val="bottom"/>
          </w:tcPr>
          <w:p>
            <w:pPr>
              <w:widowControl/>
              <w:jc w:val="left"/>
              <w:rPr>
                <w:rFonts w:ascii="宋体" w:hAnsi="宋体" w:cs="宋体"/>
                <w:color w:val="auto"/>
                <w:sz w:val="24"/>
                <w:szCs w:val="24"/>
              </w:rPr>
            </w:pPr>
          </w:p>
        </w:tc>
        <w:tc>
          <w:tcPr>
            <w:tcW w:w="740" w:type="dxa"/>
            <w:tcBorders>
              <w:top w:val="nil"/>
              <w:left w:val="nil"/>
              <w:bottom w:val="nil"/>
              <w:right w:val="nil"/>
            </w:tcBorders>
            <w:tcMar>
              <w:top w:w="0" w:type="dxa"/>
              <w:left w:w="108" w:type="dxa"/>
              <w:bottom w:w="0" w:type="dxa"/>
              <w:right w:w="108" w:type="dxa"/>
            </w:tcMar>
            <w:vAlign w:val="bottom"/>
          </w:tcPr>
          <w:p>
            <w:pPr>
              <w:widowControl/>
              <w:jc w:val="left"/>
              <w:rPr>
                <w:rFonts w:ascii="宋体" w:hAnsi="宋体" w:cs="宋体"/>
                <w:color w:val="auto"/>
                <w:sz w:val="24"/>
                <w:szCs w:val="24"/>
              </w:rPr>
            </w:pPr>
          </w:p>
        </w:tc>
        <w:tc>
          <w:tcPr>
            <w:tcW w:w="1120" w:type="dxa"/>
            <w:tcBorders>
              <w:top w:val="nil"/>
              <w:left w:val="nil"/>
              <w:bottom w:val="nil"/>
              <w:right w:val="nil"/>
            </w:tcBorders>
            <w:tcMar>
              <w:top w:w="0" w:type="dxa"/>
              <w:left w:w="108" w:type="dxa"/>
              <w:bottom w:w="0" w:type="dxa"/>
              <w:right w:w="108" w:type="dxa"/>
            </w:tcMar>
            <w:vAlign w:val="bottom"/>
          </w:tcPr>
          <w:p>
            <w:pPr>
              <w:widowControl/>
              <w:jc w:val="left"/>
              <w:rPr>
                <w:rFonts w:ascii="宋体" w:hAnsi="宋体" w:cs="宋体"/>
                <w:color w:val="auto"/>
                <w:sz w:val="24"/>
                <w:szCs w:val="24"/>
              </w:rPr>
            </w:pPr>
          </w:p>
        </w:tc>
        <w:tc>
          <w:tcPr>
            <w:tcW w:w="920" w:type="dxa"/>
            <w:tcBorders>
              <w:top w:val="nil"/>
              <w:left w:val="nil"/>
              <w:bottom w:val="nil"/>
              <w:right w:val="nil"/>
            </w:tcBorders>
            <w:tcMar>
              <w:top w:w="0" w:type="dxa"/>
              <w:left w:w="108" w:type="dxa"/>
              <w:bottom w:w="0" w:type="dxa"/>
              <w:right w:w="108" w:type="dxa"/>
            </w:tcMar>
            <w:vAlign w:val="bottom"/>
          </w:tcPr>
          <w:p>
            <w:pPr>
              <w:widowControl/>
              <w:jc w:val="left"/>
              <w:rPr>
                <w:rFonts w:ascii="宋体" w:hAnsi="宋体" w:cs="宋体"/>
                <w:color w:val="auto"/>
                <w:sz w:val="24"/>
                <w:szCs w:val="24"/>
              </w:rPr>
            </w:pPr>
          </w:p>
        </w:tc>
        <w:tc>
          <w:tcPr>
            <w:tcW w:w="740" w:type="dxa"/>
            <w:tcBorders>
              <w:top w:val="nil"/>
              <w:left w:val="nil"/>
              <w:bottom w:val="nil"/>
              <w:right w:val="nil"/>
            </w:tcBorders>
            <w:tcMar>
              <w:top w:w="0" w:type="dxa"/>
              <w:left w:w="108" w:type="dxa"/>
              <w:bottom w:w="0" w:type="dxa"/>
              <w:right w:w="108" w:type="dxa"/>
            </w:tcMar>
            <w:vAlign w:val="bottom"/>
          </w:tcPr>
          <w:p>
            <w:pPr>
              <w:widowControl/>
              <w:jc w:val="left"/>
              <w:rPr>
                <w:rFonts w:ascii="宋体" w:hAnsi="宋体" w:cs="宋体"/>
                <w:color w:val="auto"/>
                <w:sz w:val="24"/>
                <w:szCs w:val="24"/>
              </w:rPr>
            </w:pPr>
          </w:p>
        </w:tc>
        <w:tc>
          <w:tcPr>
            <w:tcW w:w="700" w:type="dxa"/>
            <w:tcBorders>
              <w:top w:val="nil"/>
              <w:left w:val="nil"/>
              <w:bottom w:val="nil"/>
              <w:right w:val="nil"/>
            </w:tcBorders>
            <w:tcMar>
              <w:top w:w="0" w:type="dxa"/>
              <w:left w:w="108" w:type="dxa"/>
              <w:bottom w:w="0" w:type="dxa"/>
              <w:right w:w="108" w:type="dxa"/>
            </w:tcMar>
            <w:vAlign w:val="bottom"/>
          </w:tcPr>
          <w:p>
            <w:pPr>
              <w:widowControl/>
              <w:jc w:val="left"/>
              <w:rPr>
                <w:rFonts w:ascii="宋体" w:hAnsi="宋体" w:cs="宋体"/>
                <w:color w:val="auto"/>
                <w:sz w:val="24"/>
                <w:szCs w:val="24"/>
              </w:rPr>
            </w:pPr>
          </w:p>
        </w:tc>
        <w:tc>
          <w:tcPr>
            <w:tcW w:w="720" w:type="dxa"/>
            <w:tcBorders>
              <w:top w:val="nil"/>
              <w:left w:val="nil"/>
              <w:bottom w:val="nil"/>
              <w:right w:val="nil"/>
            </w:tcBorders>
            <w:tcMar>
              <w:top w:w="0" w:type="dxa"/>
              <w:left w:w="108" w:type="dxa"/>
              <w:bottom w:w="0" w:type="dxa"/>
              <w:right w:w="108" w:type="dxa"/>
            </w:tcMar>
            <w:vAlign w:val="bottom"/>
          </w:tcPr>
          <w:p>
            <w:pPr>
              <w:widowControl/>
              <w:jc w:val="left"/>
              <w:rPr>
                <w:rFonts w:ascii="宋体" w:hAnsi="宋体" w:cs="宋体"/>
                <w:color w:val="auto"/>
                <w:sz w:val="24"/>
                <w:szCs w:val="24"/>
              </w:rPr>
            </w:pPr>
          </w:p>
        </w:tc>
        <w:tc>
          <w:tcPr>
            <w:tcW w:w="760" w:type="dxa"/>
            <w:tcBorders>
              <w:top w:val="nil"/>
              <w:left w:val="nil"/>
              <w:bottom w:val="nil"/>
              <w:right w:val="nil"/>
            </w:tcBorders>
            <w:tcMar>
              <w:top w:w="0" w:type="dxa"/>
              <w:left w:w="108" w:type="dxa"/>
              <w:bottom w:w="0" w:type="dxa"/>
              <w:right w:w="108" w:type="dxa"/>
            </w:tcMar>
            <w:vAlign w:val="bottom"/>
          </w:tcPr>
          <w:p>
            <w:pPr>
              <w:widowControl/>
              <w:jc w:val="left"/>
              <w:rPr>
                <w:rFonts w:ascii="宋体" w:hAnsi="宋体" w:cs="宋体"/>
                <w:color w:val="auto"/>
                <w:sz w:val="24"/>
                <w:szCs w:val="24"/>
              </w:rPr>
            </w:pPr>
          </w:p>
        </w:tc>
      </w:tr>
      <w:tr>
        <w:tblPrEx>
          <w:tblCellMar>
            <w:top w:w="0" w:type="dxa"/>
            <w:left w:w="10" w:type="dxa"/>
            <w:bottom w:w="0" w:type="dxa"/>
            <w:right w:w="10" w:type="dxa"/>
          </w:tblCellMar>
        </w:tblPrEx>
        <w:trPr>
          <w:trHeight w:val="600" w:hRule="atLeast"/>
        </w:trPr>
        <w:tc>
          <w:tcPr>
            <w:tcW w:w="1480" w:type="dxa"/>
            <w:gridSpan w:val="2"/>
            <w:tcBorders>
              <w:top w:val="nil"/>
              <w:left w:val="nil"/>
              <w:bottom w:val="single" w:color="000000" w:sz="4" w:space="0"/>
              <w:right w:val="nil"/>
            </w:tcBorders>
            <w:tcMar>
              <w:top w:w="0" w:type="dxa"/>
              <w:left w:w="108" w:type="dxa"/>
              <w:bottom w:w="0" w:type="dxa"/>
              <w:right w:w="108" w:type="dxa"/>
            </w:tcMar>
            <w:vAlign w:val="center"/>
          </w:tcPr>
          <w:p>
            <w:pPr>
              <w:widowControl/>
              <w:jc w:val="center"/>
              <w:rPr>
                <w:rFonts w:ascii="宋体" w:hAnsi="宋体" w:cs="宋体"/>
                <w:color w:val="auto"/>
                <w:szCs w:val="28"/>
              </w:rPr>
            </w:pPr>
            <w:r>
              <w:rPr>
                <w:rFonts w:hint="eastAsia" w:ascii="宋体" w:hAnsi="宋体" w:cs="宋体"/>
                <w:color w:val="auto"/>
                <w:szCs w:val="28"/>
              </w:rPr>
              <w:t>网点：</w:t>
            </w:r>
          </w:p>
        </w:tc>
        <w:tc>
          <w:tcPr>
            <w:tcW w:w="720" w:type="dxa"/>
            <w:tcBorders>
              <w:top w:val="nil"/>
              <w:left w:val="nil"/>
              <w:bottom w:val="nil"/>
              <w:right w:val="nil"/>
            </w:tcBorders>
            <w:tcMar>
              <w:top w:w="0" w:type="dxa"/>
              <w:left w:w="108" w:type="dxa"/>
              <w:bottom w:w="0" w:type="dxa"/>
              <w:right w:w="108" w:type="dxa"/>
            </w:tcMar>
            <w:vAlign w:val="center"/>
          </w:tcPr>
          <w:p>
            <w:pPr>
              <w:widowControl/>
              <w:jc w:val="left"/>
              <w:rPr>
                <w:rFonts w:ascii="宋体" w:hAnsi="宋体" w:cs="宋体"/>
                <w:color w:val="auto"/>
                <w:szCs w:val="28"/>
              </w:rPr>
            </w:pPr>
          </w:p>
        </w:tc>
        <w:tc>
          <w:tcPr>
            <w:tcW w:w="1080" w:type="dxa"/>
            <w:tcBorders>
              <w:top w:val="nil"/>
              <w:left w:val="nil"/>
              <w:bottom w:val="nil"/>
              <w:right w:val="nil"/>
            </w:tcBorders>
            <w:tcMar>
              <w:top w:w="0" w:type="dxa"/>
              <w:left w:w="108" w:type="dxa"/>
              <w:bottom w:w="0" w:type="dxa"/>
              <w:right w:w="108" w:type="dxa"/>
            </w:tcMar>
            <w:vAlign w:val="center"/>
          </w:tcPr>
          <w:p>
            <w:pPr>
              <w:widowControl/>
              <w:jc w:val="left"/>
              <w:rPr>
                <w:rFonts w:ascii="宋体" w:hAnsi="宋体" w:cs="宋体"/>
                <w:color w:val="auto"/>
                <w:szCs w:val="28"/>
              </w:rPr>
            </w:pPr>
          </w:p>
        </w:tc>
        <w:tc>
          <w:tcPr>
            <w:tcW w:w="1860" w:type="dxa"/>
            <w:gridSpan w:val="2"/>
            <w:tcBorders>
              <w:top w:val="nil"/>
              <w:left w:val="nil"/>
              <w:bottom w:val="nil"/>
              <w:right w:val="nil"/>
            </w:tcBorders>
            <w:tcMar>
              <w:top w:w="0" w:type="dxa"/>
              <w:left w:w="108" w:type="dxa"/>
              <w:bottom w:w="0" w:type="dxa"/>
              <w:right w:w="108" w:type="dxa"/>
            </w:tcMar>
            <w:vAlign w:val="center"/>
          </w:tcPr>
          <w:p>
            <w:pPr>
              <w:widowControl/>
              <w:jc w:val="left"/>
              <w:rPr>
                <w:rFonts w:ascii="宋体" w:hAnsi="宋体" w:cs="宋体"/>
                <w:color w:val="auto"/>
                <w:szCs w:val="28"/>
              </w:rPr>
            </w:pPr>
            <w:r>
              <w:rPr>
                <w:rFonts w:hint="eastAsia" w:ascii="宋体" w:hAnsi="宋体" w:cs="宋体"/>
                <w:color w:val="auto"/>
                <w:szCs w:val="28"/>
              </w:rPr>
              <w:t>保安姓名：</w:t>
            </w:r>
          </w:p>
        </w:tc>
        <w:tc>
          <w:tcPr>
            <w:tcW w:w="920" w:type="dxa"/>
            <w:tcBorders>
              <w:top w:val="nil"/>
              <w:left w:val="nil"/>
              <w:bottom w:val="nil"/>
              <w:right w:val="nil"/>
            </w:tcBorders>
            <w:tcMar>
              <w:top w:w="0" w:type="dxa"/>
              <w:left w:w="108" w:type="dxa"/>
              <w:bottom w:w="0" w:type="dxa"/>
              <w:right w:w="108" w:type="dxa"/>
            </w:tcMar>
            <w:vAlign w:val="center"/>
          </w:tcPr>
          <w:p>
            <w:pPr>
              <w:widowControl/>
              <w:jc w:val="left"/>
              <w:rPr>
                <w:rFonts w:ascii="宋体" w:hAnsi="宋体" w:cs="宋体"/>
                <w:color w:val="auto"/>
                <w:szCs w:val="28"/>
              </w:rPr>
            </w:pPr>
          </w:p>
        </w:tc>
        <w:tc>
          <w:tcPr>
            <w:tcW w:w="740" w:type="dxa"/>
            <w:tcBorders>
              <w:top w:val="nil"/>
              <w:left w:val="nil"/>
              <w:bottom w:val="nil"/>
              <w:right w:val="nil"/>
            </w:tcBorders>
            <w:tcMar>
              <w:top w:w="0" w:type="dxa"/>
              <w:left w:w="108" w:type="dxa"/>
              <w:bottom w:w="0" w:type="dxa"/>
              <w:right w:w="108" w:type="dxa"/>
            </w:tcMar>
            <w:vAlign w:val="center"/>
          </w:tcPr>
          <w:p>
            <w:pPr>
              <w:widowControl/>
              <w:jc w:val="left"/>
              <w:rPr>
                <w:rFonts w:ascii="宋体" w:hAnsi="宋体" w:cs="宋体"/>
                <w:color w:val="auto"/>
                <w:szCs w:val="28"/>
              </w:rPr>
            </w:pPr>
          </w:p>
        </w:tc>
        <w:tc>
          <w:tcPr>
            <w:tcW w:w="1420" w:type="dxa"/>
            <w:gridSpan w:val="2"/>
            <w:tcBorders>
              <w:top w:val="nil"/>
              <w:left w:val="nil"/>
              <w:bottom w:val="nil"/>
              <w:right w:val="nil"/>
            </w:tcBorders>
            <w:tcMar>
              <w:top w:w="0" w:type="dxa"/>
              <w:left w:w="108" w:type="dxa"/>
              <w:bottom w:w="0" w:type="dxa"/>
              <w:right w:w="108" w:type="dxa"/>
            </w:tcMar>
            <w:vAlign w:val="center"/>
          </w:tcPr>
          <w:p>
            <w:pPr>
              <w:widowControl/>
              <w:jc w:val="left"/>
              <w:rPr>
                <w:rFonts w:ascii="宋体" w:hAnsi="宋体" w:cs="宋体"/>
                <w:color w:val="auto"/>
                <w:szCs w:val="28"/>
              </w:rPr>
            </w:pPr>
            <w:r>
              <w:rPr>
                <w:rFonts w:hint="eastAsia" w:ascii="宋体" w:hAnsi="宋体" w:cs="宋体"/>
                <w:color w:val="auto"/>
                <w:szCs w:val="28"/>
              </w:rPr>
              <w:t>日期：</w:t>
            </w:r>
          </w:p>
        </w:tc>
        <w:tc>
          <w:tcPr>
            <w:tcW w:w="760" w:type="dxa"/>
            <w:tcBorders>
              <w:top w:val="nil"/>
              <w:left w:val="nil"/>
              <w:bottom w:val="nil"/>
              <w:right w:val="nil"/>
            </w:tcBorders>
            <w:tcMar>
              <w:top w:w="0" w:type="dxa"/>
              <w:left w:w="108" w:type="dxa"/>
              <w:bottom w:w="0" w:type="dxa"/>
              <w:right w:w="108" w:type="dxa"/>
            </w:tcMar>
            <w:vAlign w:val="bottom"/>
          </w:tcPr>
          <w:p>
            <w:pPr>
              <w:widowControl/>
              <w:jc w:val="left"/>
              <w:rPr>
                <w:rFonts w:ascii="宋体" w:hAnsi="宋体" w:cs="宋体"/>
                <w:color w:val="auto"/>
                <w:szCs w:val="28"/>
              </w:rPr>
            </w:pPr>
          </w:p>
        </w:tc>
      </w:tr>
      <w:tr>
        <w:tblPrEx>
          <w:tblCellMar>
            <w:top w:w="0" w:type="dxa"/>
            <w:left w:w="10" w:type="dxa"/>
            <w:bottom w:w="0" w:type="dxa"/>
            <w:right w:w="10" w:type="dxa"/>
          </w:tblCellMar>
        </w:tblPrEx>
        <w:trPr>
          <w:trHeight w:val="360" w:hRule="atLeast"/>
        </w:trPr>
        <w:tc>
          <w:tcPr>
            <w:tcW w:w="740" w:type="dxa"/>
            <w:vMerge w:val="restart"/>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color w:val="auto"/>
                <w:sz w:val="24"/>
                <w:szCs w:val="24"/>
              </w:rPr>
            </w:pPr>
            <w:r>
              <w:rPr>
                <w:rFonts w:hint="eastAsia" w:ascii="宋体" w:hAnsi="宋体" w:cs="宋体"/>
                <w:color w:val="auto"/>
                <w:sz w:val="24"/>
                <w:szCs w:val="24"/>
              </w:rPr>
              <w:t>日</w:t>
            </w:r>
            <w:r>
              <w:rPr>
                <w:rFonts w:ascii="Times New Roman" w:hAnsi="Times New Roman"/>
                <w:color w:val="auto"/>
                <w:sz w:val="24"/>
                <w:szCs w:val="24"/>
              </w:rPr>
              <w:t xml:space="preserve">   </w:t>
            </w:r>
            <w:r>
              <w:rPr>
                <w:rFonts w:hint="eastAsia" w:ascii="宋体" w:hAnsi="宋体" w:cs="宋体"/>
                <w:color w:val="auto"/>
                <w:sz w:val="24"/>
                <w:szCs w:val="24"/>
              </w:rPr>
              <w:t>期</w:t>
            </w:r>
          </w:p>
        </w:tc>
        <w:tc>
          <w:tcPr>
            <w:tcW w:w="7480" w:type="dxa"/>
            <w:gridSpan w:val="9"/>
            <w:tcBorders>
              <w:top w:val="single" w:color="000000" w:sz="4" w:space="0"/>
              <w:left w:val="nil"/>
              <w:bottom w:val="single" w:color="000000" w:sz="4" w:space="0"/>
              <w:right w:val="single" w:color="000000" w:sz="4" w:space="0"/>
            </w:tcBorders>
            <w:tcMar>
              <w:top w:w="0" w:type="dxa"/>
              <w:left w:w="108" w:type="dxa"/>
              <w:bottom w:w="0" w:type="dxa"/>
              <w:right w:w="108" w:type="dxa"/>
            </w:tcMar>
            <w:vAlign w:val="bottom"/>
          </w:tcPr>
          <w:p>
            <w:pPr>
              <w:widowControl/>
              <w:jc w:val="center"/>
              <w:rPr>
                <w:rFonts w:ascii="宋体" w:hAnsi="宋体" w:cs="宋体"/>
                <w:b/>
                <w:bCs/>
                <w:color w:val="auto"/>
                <w:szCs w:val="28"/>
              </w:rPr>
            </w:pPr>
            <w:r>
              <w:rPr>
                <w:rFonts w:hint="eastAsia" w:ascii="宋体" w:hAnsi="宋体" w:cs="宋体"/>
                <w:b/>
                <w:bCs/>
                <w:color w:val="auto"/>
                <w:szCs w:val="28"/>
              </w:rPr>
              <w:t>违犯规定内容及次数</w:t>
            </w:r>
          </w:p>
        </w:tc>
        <w:tc>
          <w:tcPr>
            <w:tcW w:w="760" w:type="dxa"/>
            <w:tcBorders>
              <w:top w:val="single" w:color="000000" w:sz="4" w:space="0"/>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r>
      <w:tr>
        <w:tblPrEx>
          <w:tblCellMar>
            <w:top w:w="0" w:type="dxa"/>
            <w:left w:w="10" w:type="dxa"/>
            <w:bottom w:w="0" w:type="dxa"/>
            <w:right w:w="10" w:type="dxa"/>
          </w:tblCellMar>
        </w:tblPrEx>
        <w:trPr>
          <w:trHeight w:val="1014" w:hRule="atLeast"/>
        </w:trPr>
        <w:tc>
          <w:tcPr>
            <w:tcW w:w="740" w:type="dxa"/>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rPr>
                <w:color w:val="auto"/>
              </w:rPr>
            </w:pP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color w:val="auto"/>
                <w:sz w:val="22"/>
              </w:rPr>
            </w:pPr>
            <w:r>
              <w:rPr>
                <w:rFonts w:hint="eastAsia" w:ascii="宋体" w:hAnsi="宋体" w:cs="宋体"/>
                <w:color w:val="auto"/>
                <w:sz w:val="22"/>
              </w:rPr>
              <w:t>着装</w:t>
            </w:r>
            <w:r>
              <w:rPr>
                <w:rFonts w:ascii="Times New Roman" w:hAnsi="Times New Roman"/>
                <w:color w:val="auto"/>
                <w:sz w:val="22"/>
              </w:rPr>
              <w:t xml:space="preserve">    </w:t>
            </w:r>
            <w:r>
              <w:rPr>
                <w:rFonts w:hint="eastAsia" w:ascii="宋体" w:hAnsi="宋体" w:cs="宋体"/>
                <w:color w:val="auto"/>
                <w:sz w:val="22"/>
              </w:rPr>
              <w:t>不整</w:t>
            </w:r>
          </w:p>
        </w:tc>
        <w:tc>
          <w:tcPr>
            <w:tcW w:w="720" w:type="dxa"/>
            <w:tcBorders>
              <w:top w:val="nil"/>
              <w:left w:val="nil"/>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color w:val="auto"/>
                <w:sz w:val="22"/>
              </w:rPr>
            </w:pPr>
            <w:r>
              <w:rPr>
                <w:rFonts w:hint="eastAsia" w:ascii="宋体" w:hAnsi="宋体" w:cs="宋体"/>
                <w:color w:val="auto"/>
                <w:sz w:val="22"/>
              </w:rPr>
              <w:t>警具</w:t>
            </w:r>
            <w:r>
              <w:rPr>
                <w:rFonts w:ascii="Times New Roman" w:hAnsi="Times New Roman"/>
                <w:color w:val="auto"/>
                <w:sz w:val="22"/>
              </w:rPr>
              <w:t xml:space="preserve">      </w:t>
            </w:r>
            <w:r>
              <w:rPr>
                <w:rFonts w:hint="eastAsia" w:ascii="宋体" w:hAnsi="宋体" w:cs="宋体"/>
                <w:color w:val="auto"/>
                <w:sz w:val="22"/>
              </w:rPr>
              <w:t>乱放</w:t>
            </w:r>
          </w:p>
        </w:tc>
        <w:tc>
          <w:tcPr>
            <w:tcW w:w="1080" w:type="dxa"/>
            <w:tcBorders>
              <w:top w:val="nil"/>
              <w:left w:val="nil"/>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color w:val="auto"/>
                <w:sz w:val="22"/>
              </w:rPr>
            </w:pPr>
            <w:r>
              <w:rPr>
                <w:rFonts w:hint="eastAsia" w:ascii="宋体" w:hAnsi="宋体" w:cs="宋体"/>
                <w:color w:val="auto"/>
                <w:sz w:val="22"/>
              </w:rPr>
              <w:t>迟到、早退  脱岗、旷工</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color w:val="auto"/>
                <w:sz w:val="22"/>
              </w:rPr>
            </w:pPr>
            <w:r>
              <w:rPr>
                <w:rFonts w:hint="eastAsia" w:ascii="宋体" w:hAnsi="宋体" w:cs="宋体"/>
                <w:color w:val="auto"/>
                <w:sz w:val="22"/>
              </w:rPr>
              <w:t>不服从          领 导</w:t>
            </w:r>
          </w:p>
        </w:tc>
        <w:tc>
          <w:tcPr>
            <w:tcW w:w="1120" w:type="dxa"/>
            <w:tcBorders>
              <w:top w:val="nil"/>
              <w:left w:val="nil"/>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color w:val="auto"/>
                <w:sz w:val="22"/>
              </w:rPr>
            </w:pPr>
            <w:r>
              <w:rPr>
                <w:rFonts w:hint="eastAsia" w:ascii="宋体" w:hAnsi="宋体" w:cs="宋体"/>
                <w:color w:val="auto"/>
                <w:sz w:val="22"/>
              </w:rPr>
              <w:t>睡觉、看报会客、聊天</w:t>
            </w:r>
          </w:p>
        </w:tc>
        <w:tc>
          <w:tcPr>
            <w:tcW w:w="920" w:type="dxa"/>
            <w:tcBorders>
              <w:top w:val="nil"/>
              <w:left w:val="nil"/>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color w:val="auto"/>
                <w:sz w:val="22"/>
              </w:rPr>
            </w:pPr>
            <w:r>
              <w:rPr>
                <w:rFonts w:hint="eastAsia" w:ascii="宋体" w:hAnsi="宋体" w:cs="宋体"/>
                <w:color w:val="auto"/>
                <w:sz w:val="22"/>
              </w:rPr>
              <w:t>警惕性差松懈怠工</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color w:val="auto"/>
                <w:sz w:val="22"/>
              </w:rPr>
            </w:pPr>
            <w:r>
              <w:rPr>
                <w:rFonts w:hint="eastAsia" w:ascii="宋体" w:hAnsi="宋体" w:cs="宋体"/>
                <w:color w:val="auto"/>
                <w:sz w:val="22"/>
              </w:rPr>
              <w:t>客户</w:t>
            </w:r>
            <w:r>
              <w:rPr>
                <w:rFonts w:ascii="Times New Roman" w:hAnsi="Times New Roman"/>
                <w:color w:val="auto"/>
                <w:sz w:val="22"/>
              </w:rPr>
              <w:t xml:space="preserve">       </w:t>
            </w:r>
            <w:r>
              <w:rPr>
                <w:rFonts w:hint="eastAsia" w:ascii="宋体" w:hAnsi="宋体" w:cs="宋体"/>
                <w:color w:val="auto"/>
                <w:sz w:val="22"/>
              </w:rPr>
              <w:t>投诉</w:t>
            </w:r>
          </w:p>
        </w:tc>
        <w:tc>
          <w:tcPr>
            <w:tcW w:w="700" w:type="dxa"/>
            <w:tcBorders>
              <w:top w:val="nil"/>
              <w:left w:val="nil"/>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color w:val="auto"/>
                <w:sz w:val="22"/>
              </w:rPr>
            </w:pPr>
            <w:r>
              <w:rPr>
                <w:rFonts w:hint="eastAsia" w:ascii="宋体" w:hAnsi="宋体" w:cs="宋体"/>
                <w:color w:val="auto"/>
                <w:sz w:val="22"/>
              </w:rPr>
              <w:t>与客户发生纠纷</w:t>
            </w:r>
          </w:p>
        </w:tc>
        <w:tc>
          <w:tcPr>
            <w:tcW w:w="720" w:type="dxa"/>
            <w:tcBorders>
              <w:top w:val="nil"/>
              <w:left w:val="nil"/>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color w:val="auto"/>
                <w:sz w:val="22"/>
              </w:rPr>
            </w:pPr>
            <w:r>
              <w:rPr>
                <w:rFonts w:hint="eastAsia" w:ascii="宋体" w:hAnsi="宋体" w:cs="宋体"/>
                <w:color w:val="auto"/>
                <w:sz w:val="22"/>
              </w:rPr>
              <w:t>其   他</w:t>
            </w:r>
          </w:p>
        </w:tc>
        <w:tc>
          <w:tcPr>
            <w:tcW w:w="760" w:type="dxa"/>
            <w:tcBorders>
              <w:top w:val="nil"/>
              <w:left w:val="nil"/>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color w:val="auto"/>
                <w:sz w:val="22"/>
              </w:rPr>
            </w:pPr>
            <w:r>
              <w:rPr>
                <w:rFonts w:hint="eastAsia" w:ascii="宋体" w:hAnsi="宋体" w:cs="宋体"/>
                <w:color w:val="auto"/>
                <w:sz w:val="22"/>
              </w:rPr>
              <w:t>当日合计</w:t>
            </w:r>
          </w:p>
        </w:tc>
      </w:tr>
      <w:tr>
        <w:tblPrEx>
          <w:tblCellMar>
            <w:top w:w="0" w:type="dxa"/>
            <w:left w:w="10" w:type="dxa"/>
            <w:bottom w:w="0" w:type="dxa"/>
            <w:right w:w="10" w:type="dxa"/>
          </w:tblCellMar>
        </w:tblPrEx>
        <w:trPr>
          <w:trHeight w:val="312" w:hRule="atLeast"/>
        </w:trPr>
        <w:tc>
          <w:tcPr>
            <w:tcW w:w="740" w:type="dxa"/>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rPr>
                <w:color w:val="auto"/>
              </w:rPr>
            </w:pP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center"/>
              <w:rPr>
                <w:rFonts w:ascii="宋体" w:hAnsi="宋体" w:cs="宋体"/>
                <w:color w:val="auto"/>
                <w:sz w:val="24"/>
                <w:szCs w:val="24"/>
              </w:rPr>
            </w:pPr>
            <w:r>
              <w:rPr>
                <w:rFonts w:hint="eastAsia" w:ascii="宋体" w:hAnsi="宋体" w:cs="宋体"/>
                <w:color w:val="auto"/>
                <w:sz w:val="24"/>
                <w:szCs w:val="24"/>
              </w:rPr>
              <w:t>次数</w:t>
            </w:r>
          </w:p>
        </w:tc>
        <w:tc>
          <w:tcPr>
            <w:tcW w:w="7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center"/>
              <w:rPr>
                <w:rFonts w:ascii="宋体" w:hAnsi="宋体" w:cs="宋体"/>
                <w:color w:val="auto"/>
                <w:sz w:val="24"/>
                <w:szCs w:val="24"/>
              </w:rPr>
            </w:pPr>
            <w:r>
              <w:rPr>
                <w:rFonts w:hint="eastAsia" w:ascii="宋体" w:hAnsi="宋体" w:cs="宋体"/>
                <w:color w:val="auto"/>
                <w:sz w:val="24"/>
                <w:szCs w:val="24"/>
              </w:rPr>
              <w:t>次数</w:t>
            </w:r>
          </w:p>
        </w:tc>
        <w:tc>
          <w:tcPr>
            <w:tcW w:w="108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center"/>
              <w:rPr>
                <w:rFonts w:ascii="宋体" w:hAnsi="宋体" w:cs="宋体"/>
                <w:color w:val="auto"/>
                <w:sz w:val="24"/>
                <w:szCs w:val="24"/>
              </w:rPr>
            </w:pPr>
            <w:r>
              <w:rPr>
                <w:rFonts w:hint="eastAsia" w:ascii="宋体" w:hAnsi="宋体" w:cs="宋体"/>
                <w:color w:val="auto"/>
                <w:sz w:val="24"/>
                <w:szCs w:val="24"/>
              </w:rPr>
              <w:t>次数</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center"/>
              <w:rPr>
                <w:rFonts w:ascii="宋体" w:hAnsi="宋体" w:cs="宋体"/>
                <w:color w:val="auto"/>
                <w:sz w:val="24"/>
                <w:szCs w:val="24"/>
              </w:rPr>
            </w:pPr>
            <w:r>
              <w:rPr>
                <w:rFonts w:hint="eastAsia" w:ascii="宋体" w:hAnsi="宋体" w:cs="宋体"/>
                <w:color w:val="auto"/>
                <w:sz w:val="24"/>
                <w:szCs w:val="24"/>
              </w:rPr>
              <w:t>次数</w:t>
            </w:r>
          </w:p>
        </w:tc>
        <w:tc>
          <w:tcPr>
            <w:tcW w:w="11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center"/>
              <w:rPr>
                <w:rFonts w:ascii="宋体" w:hAnsi="宋体" w:cs="宋体"/>
                <w:color w:val="auto"/>
                <w:sz w:val="24"/>
                <w:szCs w:val="24"/>
              </w:rPr>
            </w:pPr>
            <w:r>
              <w:rPr>
                <w:rFonts w:hint="eastAsia" w:ascii="宋体" w:hAnsi="宋体" w:cs="宋体"/>
                <w:color w:val="auto"/>
                <w:sz w:val="24"/>
                <w:szCs w:val="24"/>
              </w:rPr>
              <w:t>次数</w:t>
            </w:r>
          </w:p>
        </w:tc>
        <w:tc>
          <w:tcPr>
            <w:tcW w:w="9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center"/>
              <w:rPr>
                <w:rFonts w:ascii="宋体" w:hAnsi="宋体" w:cs="宋体"/>
                <w:color w:val="auto"/>
                <w:sz w:val="24"/>
                <w:szCs w:val="24"/>
              </w:rPr>
            </w:pPr>
            <w:r>
              <w:rPr>
                <w:rFonts w:hint="eastAsia" w:ascii="宋体" w:hAnsi="宋体" w:cs="宋体"/>
                <w:color w:val="auto"/>
                <w:sz w:val="24"/>
                <w:szCs w:val="24"/>
              </w:rPr>
              <w:t>次数</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center"/>
              <w:rPr>
                <w:rFonts w:ascii="宋体" w:hAnsi="宋体" w:cs="宋体"/>
                <w:color w:val="auto"/>
                <w:sz w:val="24"/>
                <w:szCs w:val="24"/>
              </w:rPr>
            </w:pPr>
            <w:r>
              <w:rPr>
                <w:rFonts w:hint="eastAsia" w:ascii="宋体" w:hAnsi="宋体" w:cs="宋体"/>
                <w:color w:val="auto"/>
                <w:sz w:val="24"/>
                <w:szCs w:val="24"/>
              </w:rPr>
              <w:t>次数</w:t>
            </w:r>
          </w:p>
        </w:tc>
        <w:tc>
          <w:tcPr>
            <w:tcW w:w="70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center"/>
              <w:rPr>
                <w:rFonts w:ascii="宋体" w:hAnsi="宋体" w:cs="宋体"/>
                <w:color w:val="auto"/>
                <w:sz w:val="24"/>
                <w:szCs w:val="24"/>
              </w:rPr>
            </w:pPr>
            <w:r>
              <w:rPr>
                <w:rFonts w:hint="eastAsia" w:ascii="宋体" w:hAnsi="宋体" w:cs="宋体"/>
                <w:color w:val="auto"/>
                <w:sz w:val="24"/>
                <w:szCs w:val="24"/>
              </w:rPr>
              <w:t>次数</w:t>
            </w:r>
          </w:p>
        </w:tc>
        <w:tc>
          <w:tcPr>
            <w:tcW w:w="7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center"/>
              <w:rPr>
                <w:rFonts w:ascii="宋体" w:hAnsi="宋体" w:cs="宋体"/>
                <w:color w:val="auto"/>
                <w:sz w:val="24"/>
                <w:szCs w:val="24"/>
              </w:rPr>
            </w:pPr>
            <w:r>
              <w:rPr>
                <w:rFonts w:hint="eastAsia" w:ascii="宋体" w:hAnsi="宋体" w:cs="宋体"/>
                <w:color w:val="auto"/>
                <w:sz w:val="24"/>
                <w:szCs w:val="24"/>
              </w:rPr>
              <w:t>次数</w:t>
            </w:r>
          </w:p>
        </w:tc>
        <w:tc>
          <w:tcPr>
            <w:tcW w:w="76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center"/>
              <w:rPr>
                <w:rFonts w:ascii="宋体" w:hAnsi="宋体" w:cs="宋体"/>
                <w:color w:val="auto"/>
                <w:sz w:val="24"/>
                <w:szCs w:val="24"/>
              </w:rPr>
            </w:pPr>
            <w:r>
              <w:rPr>
                <w:rFonts w:hint="eastAsia" w:ascii="宋体" w:hAnsi="宋体" w:cs="宋体"/>
                <w:color w:val="auto"/>
                <w:sz w:val="24"/>
                <w:szCs w:val="24"/>
              </w:rPr>
              <w:t>次数</w:t>
            </w:r>
          </w:p>
        </w:tc>
      </w:tr>
      <w:tr>
        <w:tblPrEx>
          <w:tblCellMar>
            <w:top w:w="0" w:type="dxa"/>
            <w:left w:w="10" w:type="dxa"/>
            <w:bottom w:w="0" w:type="dxa"/>
            <w:right w:w="10" w:type="dxa"/>
          </w:tblCellMar>
        </w:tblPrEx>
        <w:trPr>
          <w:trHeight w:val="318" w:hRule="atLeast"/>
        </w:trPr>
        <w:tc>
          <w:tcPr>
            <w:tcW w:w="740"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color w:val="auto"/>
                <w:sz w:val="24"/>
                <w:szCs w:val="24"/>
              </w:rPr>
            </w:pPr>
            <w:r>
              <w:rPr>
                <w:rFonts w:hint="eastAsia" w:ascii="宋体" w:hAnsi="宋体" w:cs="宋体"/>
                <w:color w:val="auto"/>
                <w:sz w:val="24"/>
                <w:szCs w:val="24"/>
              </w:rPr>
              <w:t>1</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108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11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9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0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6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r>
      <w:tr>
        <w:tblPrEx>
          <w:tblCellMar>
            <w:top w:w="0" w:type="dxa"/>
            <w:left w:w="10" w:type="dxa"/>
            <w:bottom w:w="0" w:type="dxa"/>
            <w:right w:w="10" w:type="dxa"/>
          </w:tblCellMar>
        </w:tblPrEx>
        <w:trPr>
          <w:trHeight w:val="318" w:hRule="atLeast"/>
        </w:trPr>
        <w:tc>
          <w:tcPr>
            <w:tcW w:w="740"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color w:val="auto"/>
                <w:sz w:val="24"/>
                <w:szCs w:val="24"/>
              </w:rPr>
            </w:pPr>
            <w:r>
              <w:rPr>
                <w:rFonts w:hint="eastAsia" w:ascii="宋体" w:hAnsi="宋体" w:cs="宋体"/>
                <w:color w:val="auto"/>
                <w:sz w:val="24"/>
                <w:szCs w:val="24"/>
              </w:rPr>
              <w:t>2</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108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11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9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0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6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r>
      <w:tr>
        <w:tblPrEx>
          <w:tblCellMar>
            <w:top w:w="0" w:type="dxa"/>
            <w:left w:w="10" w:type="dxa"/>
            <w:bottom w:w="0" w:type="dxa"/>
            <w:right w:w="10" w:type="dxa"/>
          </w:tblCellMar>
        </w:tblPrEx>
        <w:trPr>
          <w:trHeight w:val="318" w:hRule="atLeast"/>
        </w:trPr>
        <w:tc>
          <w:tcPr>
            <w:tcW w:w="740"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color w:val="auto"/>
                <w:sz w:val="24"/>
                <w:szCs w:val="24"/>
              </w:rPr>
            </w:pPr>
            <w:r>
              <w:rPr>
                <w:rFonts w:hint="eastAsia" w:ascii="宋体" w:hAnsi="宋体" w:cs="宋体"/>
                <w:color w:val="auto"/>
                <w:sz w:val="24"/>
                <w:szCs w:val="24"/>
              </w:rPr>
              <w:t>3</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108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11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9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0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6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r>
      <w:tr>
        <w:tblPrEx>
          <w:tblCellMar>
            <w:top w:w="0" w:type="dxa"/>
            <w:left w:w="10" w:type="dxa"/>
            <w:bottom w:w="0" w:type="dxa"/>
            <w:right w:w="10" w:type="dxa"/>
          </w:tblCellMar>
        </w:tblPrEx>
        <w:trPr>
          <w:trHeight w:val="318" w:hRule="atLeast"/>
        </w:trPr>
        <w:tc>
          <w:tcPr>
            <w:tcW w:w="740"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color w:val="auto"/>
                <w:sz w:val="24"/>
                <w:szCs w:val="24"/>
              </w:rPr>
            </w:pPr>
            <w:r>
              <w:rPr>
                <w:rFonts w:hint="eastAsia" w:ascii="宋体" w:hAnsi="宋体" w:cs="宋体"/>
                <w:color w:val="auto"/>
                <w:sz w:val="24"/>
                <w:szCs w:val="24"/>
              </w:rPr>
              <w:t>4</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108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11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9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0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6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r>
      <w:tr>
        <w:tblPrEx>
          <w:tblCellMar>
            <w:top w:w="0" w:type="dxa"/>
            <w:left w:w="10" w:type="dxa"/>
            <w:bottom w:w="0" w:type="dxa"/>
            <w:right w:w="10" w:type="dxa"/>
          </w:tblCellMar>
        </w:tblPrEx>
        <w:trPr>
          <w:trHeight w:val="318" w:hRule="atLeast"/>
        </w:trPr>
        <w:tc>
          <w:tcPr>
            <w:tcW w:w="740"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color w:val="auto"/>
                <w:sz w:val="24"/>
                <w:szCs w:val="24"/>
              </w:rPr>
            </w:pPr>
            <w:r>
              <w:rPr>
                <w:rFonts w:hint="eastAsia" w:ascii="宋体" w:hAnsi="宋体" w:cs="宋体"/>
                <w:color w:val="auto"/>
                <w:sz w:val="24"/>
                <w:szCs w:val="24"/>
              </w:rPr>
              <w:t>5</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108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11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9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0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6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r>
      <w:tr>
        <w:tblPrEx>
          <w:tblCellMar>
            <w:top w:w="0" w:type="dxa"/>
            <w:left w:w="10" w:type="dxa"/>
            <w:bottom w:w="0" w:type="dxa"/>
            <w:right w:w="10" w:type="dxa"/>
          </w:tblCellMar>
        </w:tblPrEx>
        <w:trPr>
          <w:trHeight w:val="318" w:hRule="atLeast"/>
        </w:trPr>
        <w:tc>
          <w:tcPr>
            <w:tcW w:w="740"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color w:val="auto"/>
                <w:sz w:val="24"/>
                <w:szCs w:val="24"/>
              </w:rPr>
            </w:pPr>
            <w:r>
              <w:rPr>
                <w:rFonts w:hint="eastAsia" w:ascii="宋体" w:hAnsi="宋体" w:cs="宋体"/>
                <w:color w:val="auto"/>
                <w:sz w:val="24"/>
                <w:szCs w:val="24"/>
              </w:rPr>
              <w:t>6</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108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11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9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0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6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r>
      <w:tr>
        <w:tblPrEx>
          <w:tblCellMar>
            <w:top w:w="0" w:type="dxa"/>
            <w:left w:w="10" w:type="dxa"/>
            <w:bottom w:w="0" w:type="dxa"/>
            <w:right w:w="10" w:type="dxa"/>
          </w:tblCellMar>
        </w:tblPrEx>
        <w:trPr>
          <w:trHeight w:val="318" w:hRule="atLeast"/>
        </w:trPr>
        <w:tc>
          <w:tcPr>
            <w:tcW w:w="740"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eastAsia="宋体" w:cs="宋体"/>
                <w:color w:val="auto"/>
                <w:sz w:val="24"/>
                <w:szCs w:val="24"/>
              </w:rPr>
            </w:pPr>
            <w:r>
              <w:rPr>
                <w:rFonts w:hint="eastAsia" w:ascii="宋体" w:hAnsi="宋体" w:cs="宋体"/>
                <w:color w:val="auto"/>
                <w:sz w:val="24"/>
                <w:szCs w:val="24"/>
              </w:rPr>
              <w:t>：</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108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11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9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0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6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r>
      <w:tr>
        <w:tblPrEx>
          <w:tblCellMar>
            <w:top w:w="0" w:type="dxa"/>
            <w:left w:w="10" w:type="dxa"/>
            <w:bottom w:w="0" w:type="dxa"/>
            <w:right w:w="10" w:type="dxa"/>
          </w:tblCellMar>
        </w:tblPrEx>
        <w:trPr>
          <w:trHeight w:val="318" w:hRule="atLeast"/>
        </w:trPr>
        <w:tc>
          <w:tcPr>
            <w:tcW w:w="740"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color w:val="auto"/>
                <w:sz w:val="24"/>
                <w:szCs w:val="24"/>
              </w:rPr>
            </w:pPr>
            <w:r>
              <w:rPr>
                <w:rFonts w:hint="eastAsia" w:ascii="宋体" w:hAnsi="宋体" w:cs="宋体"/>
                <w:color w:val="auto"/>
                <w:sz w:val="24"/>
                <w:szCs w:val="24"/>
              </w:rPr>
              <w:t>：</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108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11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9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0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6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r>
      <w:tr>
        <w:tblPrEx>
          <w:tblCellMar>
            <w:top w:w="0" w:type="dxa"/>
            <w:left w:w="10" w:type="dxa"/>
            <w:bottom w:w="0" w:type="dxa"/>
            <w:right w:w="10" w:type="dxa"/>
          </w:tblCellMar>
        </w:tblPrEx>
        <w:trPr>
          <w:trHeight w:val="318" w:hRule="atLeast"/>
        </w:trPr>
        <w:tc>
          <w:tcPr>
            <w:tcW w:w="740"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color w:val="auto"/>
                <w:sz w:val="24"/>
                <w:szCs w:val="24"/>
              </w:rPr>
            </w:pPr>
            <w:r>
              <w:rPr>
                <w:rFonts w:hint="eastAsia" w:ascii="宋体" w:hAnsi="宋体" w:cs="宋体"/>
                <w:color w:val="auto"/>
                <w:sz w:val="24"/>
                <w:szCs w:val="24"/>
              </w:rPr>
              <w:t>：</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108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11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9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0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6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r>
      <w:tr>
        <w:tblPrEx>
          <w:tblCellMar>
            <w:top w:w="0" w:type="dxa"/>
            <w:left w:w="10" w:type="dxa"/>
            <w:bottom w:w="0" w:type="dxa"/>
            <w:right w:w="10" w:type="dxa"/>
          </w:tblCellMar>
        </w:tblPrEx>
        <w:trPr>
          <w:trHeight w:val="318" w:hRule="atLeast"/>
        </w:trPr>
        <w:tc>
          <w:tcPr>
            <w:tcW w:w="740"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color w:val="auto"/>
                <w:sz w:val="24"/>
                <w:szCs w:val="24"/>
              </w:rPr>
            </w:pPr>
            <w:r>
              <w:rPr>
                <w:rFonts w:hint="eastAsia" w:ascii="宋体" w:hAnsi="宋体" w:cs="宋体"/>
                <w:color w:val="auto"/>
                <w:sz w:val="24"/>
                <w:szCs w:val="24"/>
              </w:rPr>
              <w:t>：</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108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11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9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0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6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r>
      <w:tr>
        <w:tblPrEx>
          <w:tblCellMar>
            <w:top w:w="0" w:type="dxa"/>
            <w:left w:w="10" w:type="dxa"/>
            <w:bottom w:w="0" w:type="dxa"/>
            <w:right w:w="10" w:type="dxa"/>
          </w:tblCellMar>
        </w:tblPrEx>
        <w:trPr>
          <w:trHeight w:val="318" w:hRule="atLeast"/>
        </w:trPr>
        <w:tc>
          <w:tcPr>
            <w:tcW w:w="740"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color w:val="auto"/>
                <w:sz w:val="24"/>
                <w:szCs w:val="24"/>
              </w:rPr>
            </w:pPr>
            <w:r>
              <w:rPr>
                <w:rFonts w:hint="eastAsia" w:ascii="宋体" w:hAnsi="宋体" w:cs="宋体"/>
                <w:color w:val="auto"/>
                <w:sz w:val="24"/>
                <w:szCs w:val="24"/>
              </w:rPr>
              <w:t>：</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108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11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9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0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6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r>
      <w:tr>
        <w:tblPrEx>
          <w:tblCellMar>
            <w:top w:w="0" w:type="dxa"/>
            <w:left w:w="10" w:type="dxa"/>
            <w:bottom w:w="0" w:type="dxa"/>
            <w:right w:w="10" w:type="dxa"/>
          </w:tblCellMar>
        </w:tblPrEx>
        <w:trPr>
          <w:trHeight w:val="318" w:hRule="atLeast"/>
        </w:trPr>
        <w:tc>
          <w:tcPr>
            <w:tcW w:w="740"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color w:val="auto"/>
                <w:sz w:val="24"/>
                <w:szCs w:val="24"/>
              </w:rPr>
            </w:pPr>
            <w:r>
              <w:rPr>
                <w:rFonts w:hint="eastAsia" w:ascii="宋体" w:hAnsi="宋体" w:cs="宋体"/>
                <w:color w:val="auto"/>
                <w:sz w:val="24"/>
                <w:szCs w:val="24"/>
              </w:rPr>
              <w:t>31</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20" w:type="dxa"/>
            <w:tcBorders>
              <w:top w:val="nil"/>
              <w:left w:val="nil"/>
              <w:bottom w:val="nil"/>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1080" w:type="dxa"/>
            <w:tcBorders>
              <w:top w:val="nil"/>
              <w:left w:val="nil"/>
              <w:bottom w:val="nil"/>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40" w:type="dxa"/>
            <w:tcBorders>
              <w:top w:val="nil"/>
              <w:left w:val="nil"/>
              <w:bottom w:val="nil"/>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1120" w:type="dxa"/>
            <w:tcBorders>
              <w:top w:val="nil"/>
              <w:left w:val="nil"/>
              <w:bottom w:val="nil"/>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920" w:type="dxa"/>
            <w:tcBorders>
              <w:top w:val="nil"/>
              <w:left w:val="nil"/>
              <w:bottom w:val="nil"/>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40" w:type="dxa"/>
            <w:tcBorders>
              <w:top w:val="nil"/>
              <w:left w:val="nil"/>
              <w:bottom w:val="nil"/>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00" w:type="dxa"/>
            <w:tcBorders>
              <w:top w:val="nil"/>
              <w:left w:val="nil"/>
              <w:bottom w:val="nil"/>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20" w:type="dxa"/>
            <w:tcBorders>
              <w:top w:val="nil"/>
              <w:left w:val="nil"/>
              <w:bottom w:val="nil"/>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6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r>
      <w:tr>
        <w:tblPrEx>
          <w:tblCellMar>
            <w:top w:w="0" w:type="dxa"/>
            <w:left w:w="10" w:type="dxa"/>
            <w:bottom w:w="0" w:type="dxa"/>
            <w:right w:w="10" w:type="dxa"/>
          </w:tblCellMar>
        </w:tblPrEx>
        <w:trPr>
          <w:trHeight w:val="600" w:hRule="atLeast"/>
        </w:trPr>
        <w:tc>
          <w:tcPr>
            <w:tcW w:w="740"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color w:val="auto"/>
                <w:sz w:val="24"/>
                <w:szCs w:val="24"/>
              </w:rPr>
            </w:pPr>
            <w:r>
              <w:rPr>
                <w:rFonts w:hint="eastAsia" w:ascii="宋体" w:hAnsi="宋体" w:cs="宋体"/>
                <w:color w:val="auto"/>
                <w:sz w:val="24"/>
                <w:szCs w:val="24"/>
              </w:rPr>
              <w:t>总评</w:t>
            </w:r>
          </w:p>
        </w:tc>
        <w:tc>
          <w:tcPr>
            <w:tcW w:w="8240" w:type="dxa"/>
            <w:gridSpan w:val="10"/>
            <w:tcBorders>
              <w:top w:val="single" w:color="000000" w:sz="4" w:space="0"/>
              <w:left w:val="nil"/>
              <w:bottom w:val="single" w:color="000000" w:sz="4" w:space="0"/>
              <w:right w:val="single" w:color="000000" w:sz="4" w:space="0"/>
            </w:tcBorders>
            <w:tcMar>
              <w:top w:w="0" w:type="dxa"/>
              <w:left w:w="108" w:type="dxa"/>
              <w:bottom w:w="0" w:type="dxa"/>
              <w:right w:w="108" w:type="dxa"/>
            </w:tcMar>
            <w:vAlign w:val="bottom"/>
          </w:tcPr>
          <w:p>
            <w:pPr>
              <w:widowControl/>
              <w:jc w:val="center"/>
              <w:rPr>
                <w:rFonts w:ascii="宋体" w:hAnsi="宋体" w:cs="宋体"/>
                <w:color w:val="auto"/>
                <w:sz w:val="24"/>
                <w:szCs w:val="24"/>
              </w:rPr>
            </w:pPr>
            <w:r>
              <w:rPr>
                <w:rFonts w:hint="eastAsia" w:ascii="宋体" w:hAnsi="宋体" w:cs="宋体"/>
                <w:color w:val="auto"/>
                <w:sz w:val="24"/>
                <w:szCs w:val="24"/>
              </w:rPr>
              <w:t>　</w:t>
            </w:r>
          </w:p>
        </w:tc>
      </w:tr>
      <w:tr>
        <w:tblPrEx>
          <w:tblCellMar>
            <w:top w:w="0" w:type="dxa"/>
            <w:left w:w="10" w:type="dxa"/>
            <w:bottom w:w="0" w:type="dxa"/>
            <w:right w:w="10" w:type="dxa"/>
          </w:tblCellMar>
        </w:tblPrEx>
        <w:trPr>
          <w:trHeight w:val="570" w:hRule="atLeast"/>
        </w:trPr>
        <w:tc>
          <w:tcPr>
            <w:tcW w:w="740"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color w:val="auto"/>
                <w:sz w:val="22"/>
              </w:rPr>
            </w:pPr>
            <w:r>
              <w:rPr>
                <w:rFonts w:hint="eastAsia" w:ascii="宋体" w:hAnsi="宋体" w:cs="宋体"/>
                <w:color w:val="auto"/>
                <w:sz w:val="22"/>
              </w:rPr>
              <w:t>备注</w:t>
            </w:r>
          </w:p>
        </w:tc>
        <w:tc>
          <w:tcPr>
            <w:tcW w:w="8240" w:type="dxa"/>
            <w:gridSpan w:val="10"/>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color w:val="auto"/>
                <w:sz w:val="24"/>
                <w:szCs w:val="24"/>
              </w:rPr>
            </w:pPr>
            <w:r>
              <w:rPr>
                <w:rFonts w:hint="eastAsia" w:ascii="宋体" w:hAnsi="宋体" w:cs="宋体"/>
                <w:color w:val="auto"/>
                <w:sz w:val="24"/>
                <w:szCs w:val="24"/>
              </w:rPr>
              <w:t>违犯规定10次以下为合格；10次（不含）以上20次以下为基本合格；20次（不含）以上为不合格。</w:t>
            </w:r>
          </w:p>
        </w:tc>
      </w:tr>
      <w:tr>
        <w:tblPrEx>
          <w:tblCellMar>
            <w:top w:w="0" w:type="dxa"/>
            <w:left w:w="10" w:type="dxa"/>
            <w:bottom w:w="0" w:type="dxa"/>
            <w:right w:w="10" w:type="dxa"/>
          </w:tblCellMar>
        </w:tblPrEx>
        <w:trPr>
          <w:trHeight w:val="312" w:hRule="atLeast"/>
        </w:trPr>
        <w:tc>
          <w:tcPr>
            <w:tcW w:w="740" w:type="dxa"/>
            <w:tcBorders>
              <w:top w:val="nil"/>
              <w:left w:val="nil"/>
              <w:bottom w:val="nil"/>
              <w:right w:val="nil"/>
            </w:tcBorders>
            <w:tcMar>
              <w:top w:w="0" w:type="dxa"/>
              <w:left w:w="108" w:type="dxa"/>
              <w:bottom w:w="0" w:type="dxa"/>
              <w:right w:w="108" w:type="dxa"/>
            </w:tcMar>
            <w:vAlign w:val="center"/>
          </w:tcPr>
          <w:p>
            <w:pPr>
              <w:widowControl/>
              <w:jc w:val="center"/>
              <w:rPr>
                <w:rFonts w:ascii="宋体" w:hAnsi="宋体" w:cs="宋体"/>
                <w:color w:val="auto"/>
                <w:sz w:val="24"/>
                <w:szCs w:val="24"/>
              </w:rPr>
            </w:pPr>
          </w:p>
        </w:tc>
        <w:tc>
          <w:tcPr>
            <w:tcW w:w="740" w:type="dxa"/>
            <w:tcBorders>
              <w:top w:val="nil"/>
              <w:left w:val="nil"/>
              <w:bottom w:val="nil"/>
              <w:right w:val="nil"/>
            </w:tcBorders>
            <w:tcMar>
              <w:top w:w="0" w:type="dxa"/>
              <w:left w:w="108" w:type="dxa"/>
              <w:bottom w:w="0" w:type="dxa"/>
              <w:right w:w="108" w:type="dxa"/>
            </w:tcMar>
            <w:vAlign w:val="bottom"/>
          </w:tcPr>
          <w:p>
            <w:pPr>
              <w:widowControl/>
              <w:jc w:val="left"/>
              <w:rPr>
                <w:rFonts w:ascii="宋体" w:hAnsi="宋体" w:cs="宋体"/>
                <w:color w:val="auto"/>
                <w:sz w:val="24"/>
                <w:szCs w:val="24"/>
              </w:rPr>
            </w:pPr>
          </w:p>
        </w:tc>
        <w:tc>
          <w:tcPr>
            <w:tcW w:w="720" w:type="dxa"/>
            <w:tcBorders>
              <w:top w:val="nil"/>
              <w:left w:val="nil"/>
              <w:bottom w:val="nil"/>
              <w:right w:val="nil"/>
            </w:tcBorders>
            <w:tcMar>
              <w:top w:w="0" w:type="dxa"/>
              <w:left w:w="108" w:type="dxa"/>
              <w:bottom w:w="0" w:type="dxa"/>
              <w:right w:w="108" w:type="dxa"/>
            </w:tcMar>
            <w:vAlign w:val="bottom"/>
          </w:tcPr>
          <w:p>
            <w:pPr>
              <w:widowControl/>
              <w:jc w:val="left"/>
              <w:rPr>
                <w:rFonts w:ascii="宋体" w:hAnsi="宋体" w:cs="宋体"/>
                <w:color w:val="auto"/>
                <w:sz w:val="24"/>
                <w:szCs w:val="24"/>
              </w:rPr>
            </w:pPr>
          </w:p>
        </w:tc>
        <w:tc>
          <w:tcPr>
            <w:tcW w:w="1080" w:type="dxa"/>
            <w:tcBorders>
              <w:top w:val="nil"/>
              <w:left w:val="nil"/>
              <w:bottom w:val="nil"/>
              <w:right w:val="nil"/>
            </w:tcBorders>
            <w:tcMar>
              <w:top w:w="0" w:type="dxa"/>
              <w:left w:w="108" w:type="dxa"/>
              <w:bottom w:w="0" w:type="dxa"/>
              <w:right w:w="108" w:type="dxa"/>
            </w:tcMar>
            <w:vAlign w:val="bottom"/>
          </w:tcPr>
          <w:p>
            <w:pPr>
              <w:widowControl/>
              <w:jc w:val="left"/>
              <w:rPr>
                <w:rFonts w:ascii="宋体" w:hAnsi="宋体" w:cs="宋体"/>
                <w:color w:val="auto"/>
                <w:sz w:val="24"/>
                <w:szCs w:val="24"/>
              </w:rPr>
            </w:pPr>
          </w:p>
        </w:tc>
        <w:tc>
          <w:tcPr>
            <w:tcW w:w="740" w:type="dxa"/>
            <w:tcBorders>
              <w:top w:val="nil"/>
              <w:left w:val="nil"/>
              <w:bottom w:val="nil"/>
              <w:right w:val="nil"/>
            </w:tcBorders>
            <w:tcMar>
              <w:top w:w="0" w:type="dxa"/>
              <w:left w:w="108" w:type="dxa"/>
              <w:bottom w:w="0" w:type="dxa"/>
              <w:right w:w="108" w:type="dxa"/>
            </w:tcMar>
            <w:vAlign w:val="bottom"/>
          </w:tcPr>
          <w:p>
            <w:pPr>
              <w:widowControl/>
              <w:jc w:val="left"/>
              <w:rPr>
                <w:rFonts w:ascii="宋体" w:hAnsi="宋体" w:cs="宋体"/>
                <w:color w:val="auto"/>
                <w:sz w:val="24"/>
                <w:szCs w:val="24"/>
              </w:rPr>
            </w:pPr>
          </w:p>
        </w:tc>
        <w:tc>
          <w:tcPr>
            <w:tcW w:w="1120" w:type="dxa"/>
            <w:tcBorders>
              <w:top w:val="nil"/>
              <w:left w:val="nil"/>
              <w:bottom w:val="nil"/>
              <w:right w:val="nil"/>
            </w:tcBorders>
            <w:tcMar>
              <w:top w:w="0" w:type="dxa"/>
              <w:left w:w="108" w:type="dxa"/>
              <w:bottom w:w="0" w:type="dxa"/>
              <w:right w:w="108" w:type="dxa"/>
            </w:tcMar>
            <w:vAlign w:val="bottom"/>
          </w:tcPr>
          <w:p>
            <w:pPr>
              <w:widowControl/>
              <w:jc w:val="left"/>
              <w:rPr>
                <w:rFonts w:ascii="宋体" w:hAnsi="宋体" w:cs="宋体"/>
                <w:color w:val="auto"/>
                <w:sz w:val="24"/>
                <w:szCs w:val="24"/>
              </w:rPr>
            </w:pPr>
          </w:p>
        </w:tc>
        <w:tc>
          <w:tcPr>
            <w:tcW w:w="920" w:type="dxa"/>
            <w:tcBorders>
              <w:top w:val="nil"/>
              <w:left w:val="nil"/>
              <w:bottom w:val="nil"/>
              <w:right w:val="nil"/>
            </w:tcBorders>
            <w:tcMar>
              <w:top w:w="0" w:type="dxa"/>
              <w:left w:w="108" w:type="dxa"/>
              <w:bottom w:w="0" w:type="dxa"/>
              <w:right w:w="108" w:type="dxa"/>
            </w:tcMar>
            <w:vAlign w:val="bottom"/>
          </w:tcPr>
          <w:p>
            <w:pPr>
              <w:widowControl/>
              <w:jc w:val="left"/>
              <w:rPr>
                <w:rFonts w:ascii="宋体" w:hAnsi="宋体" w:cs="宋体"/>
                <w:color w:val="auto"/>
                <w:sz w:val="24"/>
                <w:szCs w:val="24"/>
              </w:rPr>
            </w:pPr>
          </w:p>
        </w:tc>
        <w:tc>
          <w:tcPr>
            <w:tcW w:w="740" w:type="dxa"/>
            <w:tcBorders>
              <w:top w:val="nil"/>
              <w:left w:val="nil"/>
              <w:bottom w:val="nil"/>
              <w:right w:val="nil"/>
            </w:tcBorders>
            <w:tcMar>
              <w:top w:w="0" w:type="dxa"/>
              <w:left w:w="108" w:type="dxa"/>
              <w:bottom w:w="0" w:type="dxa"/>
              <w:right w:w="108" w:type="dxa"/>
            </w:tcMar>
            <w:vAlign w:val="bottom"/>
          </w:tcPr>
          <w:p>
            <w:pPr>
              <w:widowControl/>
              <w:jc w:val="left"/>
              <w:rPr>
                <w:rFonts w:ascii="宋体" w:hAnsi="宋体" w:cs="宋体"/>
                <w:color w:val="auto"/>
                <w:sz w:val="24"/>
                <w:szCs w:val="24"/>
              </w:rPr>
            </w:pPr>
          </w:p>
        </w:tc>
        <w:tc>
          <w:tcPr>
            <w:tcW w:w="700" w:type="dxa"/>
            <w:tcBorders>
              <w:top w:val="nil"/>
              <w:left w:val="nil"/>
              <w:bottom w:val="nil"/>
              <w:right w:val="nil"/>
            </w:tcBorders>
            <w:tcMar>
              <w:top w:w="0" w:type="dxa"/>
              <w:left w:w="108" w:type="dxa"/>
              <w:bottom w:w="0" w:type="dxa"/>
              <w:right w:w="108" w:type="dxa"/>
            </w:tcMar>
            <w:vAlign w:val="bottom"/>
          </w:tcPr>
          <w:p>
            <w:pPr>
              <w:widowControl/>
              <w:jc w:val="left"/>
              <w:rPr>
                <w:rFonts w:ascii="宋体" w:hAnsi="宋体" w:cs="宋体"/>
                <w:color w:val="auto"/>
                <w:sz w:val="24"/>
                <w:szCs w:val="24"/>
              </w:rPr>
            </w:pPr>
          </w:p>
        </w:tc>
        <w:tc>
          <w:tcPr>
            <w:tcW w:w="720" w:type="dxa"/>
            <w:tcBorders>
              <w:top w:val="nil"/>
              <w:left w:val="nil"/>
              <w:bottom w:val="nil"/>
              <w:right w:val="nil"/>
            </w:tcBorders>
            <w:tcMar>
              <w:top w:w="0" w:type="dxa"/>
              <w:left w:w="108" w:type="dxa"/>
              <w:bottom w:w="0" w:type="dxa"/>
              <w:right w:w="108" w:type="dxa"/>
            </w:tcMar>
            <w:vAlign w:val="bottom"/>
          </w:tcPr>
          <w:p>
            <w:pPr>
              <w:widowControl/>
              <w:jc w:val="left"/>
              <w:rPr>
                <w:rFonts w:ascii="宋体" w:hAnsi="宋体" w:cs="宋体"/>
                <w:color w:val="auto"/>
                <w:sz w:val="24"/>
                <w:szCs w:val="24"/>
              </w:rPr>
            </w:pPr>
          </w:p>
        </w:tc>
        <w:tc>
          <w:tcPr>
            <w:tcW w:w="760" w:type="dxa"/>
            <w:tcBorders>
              <w:top w:val="nil"/>
              <w:left w:val="nil"/>
              <w:bottom w:val="nil"/>
              <w:right w:val="nil"/>
            </w:tcBorders>
            <w:tcMar>
              <w:top w:w="0" w:type="dxa"/>
              <w:left w:w="108" w:type="dxa"/>
              <w:bottom w:w="0" w:type="dxa"/>
              <w:right w:w="108" w:type="dxa"/>
            </w:tcMar>
            <w:vAlign w:val="bottom"/>
          </w:tcPr>
          <w:p>
            <w:pPr>
              <w:widowControl/>
              <w:jc w:val="left"/>
              <w:rPr>
                <w:rFonts w:ascii="宋体" w:hAnsi="宋体" w:cs="宋体"/>
                <w:color w:val="auto"/>
                <w:sz w:val="24"/>
                <w:szCs w:val="24"/>
              </w:rPr>
            </w:pPr>
          </w:p>
        </w:tc>
      </w:tr>
      <w:tr>
        <w:tblPrEx>
          <w:tblCellMar>
            <w:top w:w="0" w:type="dxa"/>
            <w:left w:w="10" w:type="dxa"/>
            <w:bottom w:w="0" w:type="dxa"/>
            <w:right w:w="10" w:type="dxa"/>
          </w:tblCellMar>
        </w:tblPrEx>
        <w:trPr>
          <w:trHeight w:val="348" w:hRule="atLeast"/>
        </w:trPr>
        <w:tc>
          <w:tcPr>
            <w:tcW w:w="740" w:type="dxa"/>
            <w:tcBorders>
              <w:top w:val="nil"/>
              <w:left w:val="nil"/>
              <w:bottom w:val="nil"/>
              <w:right w:val="nil"/>
            </w:tcBorders>
            <w:tcMar>
              <w:top w:w="0" w:type="dxa"/>
              <w:left w:w="108" w:type="dxa"/>
              <w:bottom w:w="0" w:type="dxa"/>
              <w:right w:w="108" w:type="dxa"/>
            </w:tcMar>
            <w:vAlign w:val="center"/>
          </w:tcPr>
          <w:p>
            <w:pPr>
              <w:widowControl/>
              <w:jc w:val="center"/>
              <w:rPr>
                <w:rFonts w:ascii="宋体" w:hAnsi="宋体" w:cs="宋体"/>
                <w:color w:val="auto"/>
                <w:sz w:val="24"/>
                <w:szCs w:val="24"/>
              </w:rPr>
            </w:pPr>
          </w:p>
        </w:tc>
        <w:tc>
          <w:tcPr>
            <w:tcW w:w="2540" w:type="dxa"/>
            <w:gridSpan w:val="3"/>
            <w:tcBorders>
              <w:top w:val="nil"/>
              <w:left w:val="nil"/>
              <w:bottom w:val="nil"/>
              <w:right w:val="nil"/>
            </w:tcBorders>
            <w:tcMar>
              <w:top w:w="0" w:type="dxa"/>
              <w:left w:w="108" w:type="dxa"/>
              <w:bottom w:w="0" w:type="dxa"/>
              <w:right w:w="108" w:type="dxa"/>
            </w:tcMar>
            <w:vAlign w:val="bottom"/>
          </w:tcPr>
          <w:p>
            <w:pPr>
              <w:widowControl/>
              <w:jc w:val="left"/>
              <w:rPr>
                <w:rFonts w:ascii="宋体" w:hAnsi="宋体" w:cs="宋体"/>
                <w:color w:val="auto"/>
                <w:szCs w:val="28"/>
              </w:rPr>
            </w:pPr>
            <w:r>
              <w:rPr>
                <w:rFonts w:hint="eastAsia" w:ascii="宋体" w:hAnsi="宋体" w:cs="宋体"/>
                <w:color w:val="auto"/>
                <w:szCs w:val="28"/>
              </w:rPr>
              <w:t>网点负责人：</w:t>
            </w:r>
          </w:p>
        </w:tc>
        <w:tc>
          <w:tcPr>
            <w:tcW w:w="740" w:type="dxa"/>
            <w:tcBorders>
              <w:top w:val="nil"/>
              <w:left w:val="nil"/>
              <w:bottom w:val="nil"/>
              <w:right w:val="nil"/>
            </w:tcBorders>
            <w:tcMar>
              <w:top w:w="0" w:type="dxa"/>
              <w:left w:w="108" w:type="dxa"/>
              <w:bottom w:w="0" w:type="dxa"/>
              <w:right w:w="108" w:type="dxa"/>
            </w:tcMar>
            <w:vAlign w:val="bottom"/>
          </w:tcPr>
          <w:p>
            <w:pPr>
              <w:widowControl/>
              <w:jc w:val="left"/>
              <w:rPr>
                <w:rFonts w:ascii="宋体" w:hAnsi="宋体" w:cs="宋体"/>
                <w:color w:val="auto"/>
                <w:sz w:val="24"/>
                <w:szCs w:val="24"/>
              </w:rPr>
            </w:pPr>
          </w:p>
        </w:tc>
        <w:tc>
          <w:tcPr>
            <w:tcW w:w="1120" w:type="dxa"/>
            <w:tcBorders>
              <w:top w:val="nil"/>
              <w:left w:val="nil"/>
              <w:bottom w:val="nil"/>
              <w:right w:val="nil"/>
            </w:tcBorders>
            <w:tcMar>
              <w:top w:w="0" w:type="dxa"/>
              <w:left w:w="108" w:type="dxa"/>
              <w:bottom w:w="0" w:type="dxa"/>
              <w:right w:w="108" w:type="dxa"/>
            </w:tcMar>
            <w:vAlign w:val="bottom"/>
          </w:tcPr>
          <w:p>
            <w:pPr>
              <w:widowControl/>
              <w:jc w:val="left"/>
              <w:rPr>
                <w:rFonts w:ascii="宋体" w:hAnsi="宋体" w:cs="宋体"/>
                <w:color w:val="auto"/>
                <w:sz w:val="24"/>
                <w:szCs w:val="24"/>
              </w:rPr>
            </w:pPr>
          </w:p>
        </w:tc>
        <w:tc>
          <w:tcPr>
            <w:tcW w:w="2360" w:type="dxa"/>
            <w:gridSpan w:val="3"/>
            <w:tcBorders>
              <w:top w:val="nil"/>
              <w:left w:val="nil"/>
              <w:bottom w:val="nil"/>
              <w:right w:val="nil"/>
            </w:tcBorders>
            <w:tcMar>
              <w:top w:w="0" w:type="dxa"/>
              <w:left w:w="108" w:type="dxa"/>
              <w:bottom w:w="0" w:type="dxa"/>
              <w:right w:w="108" w:type="dxa"/>
            </w:tcMar>
            <w:vAlign w:val="bottom"/>
          </w:tcPr>
          <w:p>
            <w:pPr>
              <w:widowControl/>
              <w:jc w:val="left"/>
              <w:rPr>
                <w:rFonts w:ascii="宋体" w:hAnsi="宋体" w:cs="宋体"/>
                <w:color w:val="auto"/>
                <w:szCs w:val="28"/>
              </w:rPr>
            </w:pPr>
            <w:r>
              <w:rPr>
                <w:rFonts w:hint="eastAsia" w:ascii="宋体" w:hAnsi="宋体" w:cs="宋体"/>
                <w:color w:val="auto"/>
                <w:szCs w:val="28"/>
              </w:rPr>
              <w:t>被考评人签字：</w:t>
            </w:r>
          </w:p>
        </w:tc>
        <w:tc>
          <w:tcPr>
            <w:tcW w:w="720" w:type="dxa"/>
            <w:tcBorders>
              <w:top w:val="nil"/>
              <w:left w:val="nil"/>
              <w:bottom w:val="nil"/>
              <w:right w:val="nil"/>
            </w:tcBorders>
            <w:tcMar>
              <w:top w:w="0" w:type="dxa"/>
              <w:left w:w="108" w:type="dxa"/>
              <w:bottom w:w="0" w:type="dxa"/>
              <w:right w:w="108" w:type="dxa"/>
            </w:tcMar>
            <w:vAlign w:val="bottom"/>
          </w:tcPr>
          <w:p>
            <w:pPr>
              <w:widowControl/>
              <w:jc w:val="left"/>
              <w:rPr>
                <w:rFonts w:ascii="宋体" w:hAnsi="宋体" w:cs="宋体"/>
                <w:color w:val="auto"/>
                <w:sz w:val="24"/>
                <w:szCs w:val="24"/>
              </w:rPr>
            </w:pPr>
          </w:p>
        </w:tc>
        <w:tc>
          <w:tcPr>
            <w:tcW w:w="760" w:type="dxa"/>
            <w:tcBorders>
              <w:top w:val="nil"/>
              <w:left w:val="nil"/>
              <w:bottom w:val="nil"/>
              <w:right w:val="nil"/>
            </w:tcBorders>
            <w:tcMar>
              <w:top w:w="0" w:type="dxa"/>
              <w:left w:w="108" w:type="dxa"/>
              <w:bottom w:w="0" w:type="dxa"/>
              <w:right w:w="108" w:type="dxa"/>
            </w:tcMar>
            <w:vAlign w:val="bottom"/>
          </w:tcPr>
          <w:p>
            <w:pPr>
              <w:widowControl/>
              <w:jc w:val="left"/>
              <w:rPr>
                <w:rFonts w:ascii="宋体" w:hAnsi="宋体" w:cs="宋体"/>
                <w:color w:val="auto"/>
                <w:sz w:val="24"/>
                <w:szCs w:val="24"/>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auto"/>
    <w:pitch w:val="default"/>
    <w:sig w:usb0="00000001" w:usb1="080E0000" w:usb2="00000000" w:usb3="00000000" w:csb0="00040000"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auto"/>
    <w:pitch w:val="default"/>
    <w:sig w:usb0="00000001" w:usb1="080E0000" w:usb2="00000000" w:usb3="00000000" w:csb0="00040000" w:csb1="00000000"/>
  </w:font>
  <w:font w:name="CHCFS">
    <w:altName w:val="宋体"/>
    <w:panose1 w:val="00000000000000000000"/>
    <w:charset w:val="86"/>
    <w:family w:val="swiss"/>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7F254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Calibri" w:hAnsi="Calibri" w:eastAsia="Calibri" w:cs="Times New Roman"/>
      <w:kern w:val="1"/>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2024-05-22T01:47:24Z</dcterms:created>
  <dc:creator>haccb</dc:creator>
  <cp:lastModifiedBy>haccb</cp:lastModifiedBy>
  <dcterms:modified xsi:type="dcterms:W3CDTF">2024-05-22T01:48:29Z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F5E388FBE19E4250BC9ED28DEB307910_12</vt:lpwstr>
  </property>
</Properties>
</file>