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topLinePunct w:val="0"/>
        <w:autoSpaceDE/>
        <w:autoSpaceDN/>
        <w:bidi w:val="0"/>
        <w:snapToGrid/>
        <w:spacing w:line="560" w:lineRule="exact"/>
        <w:jc w:val="center"/>
        <w:rPr>
          <w:rFonts w:hint="eastAsia" w:ascii="宋体" w:hAnsi="宋体" w:eastAsia="宋体" w:cs="宋体"/>
          <w:b/>
          <w:kern w:val="44"/>
          <w:sz w:val="44"/>
          <w:szCs w:val="44"/>
          <w:highlight w:val="none"/>
          <w:lang w:val="en-US" w:eastAsia="zh-CN"/>
        </w:rPr>
      </w:pPr>
    </w:p>
    <w:p>
      <w:pPr>
        <w:pageBreakBefore w:val="0"/>
        <w:kinsoku/>
        <w:overflowPunct/>
        <w:topLinePunct w:val="0"/>
        <w:autoSpaceDE/>
        <w:autoSpaceDN/>
        <w:bidi w:val="0"/>
        <w:snapToGrid/>
        <w:spacing w:line="560" w:lineRule="exact"/>
        <w:jc w:val="center"/>
        <w:rPr>
          <w:rFonts w:hint="eastAsia" w:ascii="宋体" w:hAnsi="宋体" w:cs="宋体"/>
          <w:b/>
          <w:kern w:val="44"/>
          <w:sz w:val="44"/>
          <w:szCs w:val="44"/>
          <w:highlight w:val="none"/>
        </w:rPr>
      </w:pPr>
    </w:p>
    <w:p>
      <w:pPr>
        <w:pageBreakBefore w:val="0"/>
        <w:kinsoku/>
        <w:overflowPunct/>
        <w:topLinePunct w:val="0"/>
        <w:autoSpaceDE/>
        <w:autoSpaceDN/>
        <w:bidi w:val="0"/>
        <w:snapToGrid/>
        <w:spacing w:line="560" w:lineRule="exact"/>
        <w:jc w:val="center"/>
        <w:rPr>
          <w:rFonts w:hint="eastAsia" w:ascii="宋体" w:hAnsi="宋体" w:cs="宋体"/>
          <w:b/>
          <w:kern w:val="44"/>
          <w:sz w:val="44"/>
          <w:szCs w:val="44"/>
          <w:highlight w:val="none"/>
        </w:rPr>
      </w:pPr>
    </w:p>
    <w:p>
      <w:pPr>
        <w:pageBreakBefore w:val="0"/>
        <w:kinsoku/>
        <w:overflowPunct/>
        <w:topLinePunct w:val="0"/>
        <w:autoSpaceDE/>
        <w:autoSpaceDN/>
        <w:bidi w:val="0"/>
        <w:snapToGrid/>
        <w:spacing w:line="560" w:lineRule="exact"/>
        <w:jc w:val="center"/>
        <w:rPr>
          <w:rFonts w:hint="eastAsia" w:ascii="宋体" w:hAnsi="宋体" w:cs="宋体"/>
          <w:b/>
          <w:kern w:val="44"/>
          <w:sz w:val="44"/>
          <w:szCs w:val="44"/>
          <w:highlight w:val="none"/>
        </w:rPr>
      </w:pPr>
    </w:p>
    <w:p>
      <w:pPr>
        <w:pageBreakBefore w:val="0"/>
        <w:kinsoku/>
        <w:overflowPunct/>
        <w:topLinePunct w:val="0"/>
        <w:autoSpaceDE/>
        <w:autoSpaceDN/>
        <w:bidi w:val="0"/>
        <w:snapToGrid/>
        <w:spacing w:line="560" w:lineRule="exact"/>
        <w:jc w:val="center"/>
        <w:rPr>
          <w:rFonts w:hint="eastAsia" w:ascii="宋体" w:hAnsi="宋体" w:cs="宋体"/>
          <w:b/>
          <w:kern w:val="44"/>
          <w:sz w:val="44"/>
          <w:szCs w:val="44"/>
          <w:highlight w:val="none"/>
        </w:rPr>
      </w:pPr>
    </w:p>
    <w:p>
      <w:pPr>
        <w:pageBreakBefore w:val="0"/>
        <w:kinsoku/>
        <w:overflowPunct/>
        <w:topLinePunct w:val="0"/>
        <w:autoSpaceDE/>
        <w:autoSpaceDN/>
        <w:bidi w:val="0"/>
        <w:snapToGrid/>
        <w:spacing w:line="560" w:lineRule="exact"/>
        <w:jc w:val="center"/>
        <w:rPr>
          <w:rFonts w:hint="eastAsia" w:ascii="宋体" w:hAnsi="宋体" w:cs="宋体"/>
          <w:b/>
          <w:kern w:val="44"/>
          <w:sz w:val="44"/>
          <w:szCs w:val="44"/>
          <w:highlight w:val="none"/>
        </w:rPr>
      </w:pPr>
    </w:p>
    <w:p>
      <w:pPr>
        <w:pageBreakBefore w:val="0"/>
        <w:kinsoku/>
        <w:overflowPunct/>
        <w:topLinePunct w:val="0"/>
        <w:autoSpaceDE/>
        <w:autoSpaceDN/>
        <w:bidi w:val="0"/>
        <w:snapToGrid/>
        <w:spacing w:line="560" w:lineRule="exact"/>
        <w:jc w:val="center"/>
        <w:rPr>
          <w:rFonts w:hint="eastAsia" w:ascii="宋体" w:hAnsi="宋体" w:cs="宋体"/>
          <w:b/>
          <w:kern w:val="44"/>
          <w:sz w:val="44"/>
          <w:szCs w:val="44"/>
          <w:highlight w:val="none"/>
        </w:rPr>
      </w:pPr>
    </w:p>
    <w:p>
      <w:pPr>
        <w:pageBreakBefore w:val="0"/>
        <w:kinsoku/>
        <w:overflowPunct/>
        <w:topLinePunct w:val="0"/>
        <w:autoSpaceDE/>
        <w:autoSpaceDN/>
        <w:bidi w:val="0"/>
        <w:snapToGrid/>
        <w:spacing w:line="560" w:lineRule="exact"/>
        <w:jc w:val="center"/>
        <w:rPr>
          <w:rFonts w:hint="eastAsia" w:ascii="宋体" w:hAnsi="宋体" w:cs="宋体"/>
          <w:b/>
          <w:kern w:val="44"/>
          <w:sz w:val="44"/>
          <w:szCs w:val="44"/>
          <w:highlight w:val="none"/>
        </w:rPr>
      </w:pPr>
    </w:p>
    <w:p>
      <w:pPr>
        <w:pageBreakBefore w:val="0"/>
        <w:kinsoku/>
        <w:overflowPunct/>
        <w:topLinePunct w:val="0"/>
        <w:autoSpaceDE/>
        <w:autoSpaceDN/>
        <w:bidi w:val="0"/>
        <w:snapToGrid/>
        <w:spacing w:line="560" w:lineRule="exact"/>
        <w:jc w:val="center"/>
        <w:rPr>
          <w:rFonts w:hint="eastAsia" w:ascii="宋体" w:hAnsi="宋体" w:cs="宋体"/>
          <w:b/>
          <w:kern w:val="44"/>
          <w:sz w:val="44"/>
          <w:szCs w:val="44"/>
          <w:highlight w:val="none"/>
        </w:rPr>
      </w:pPr>
    </w:p>
    <w:p>
      <w:pPr>
        <w:pageBreakBefore w:val="0"/>
        <w:kinsoku/>
        <w:overflowPunct/>
        <w:topLinePunct w:val="0"/>
        <w:autoSpaceDE/>
        <w:autoSpaceDN/>
        <w:bidi w:val="0"/>
        <w:snapToGrid/>
        <w:spacing w:line="560" w:lineRule="exact"/>
        <w:jc w:val="center"/>
        <w:rPr>
          <w:rFonts w:hint="eastAsia" w:ascii="宋体" w:hAnsi="宋体" w:cs="宋体"/>
          <w:b/>
          <w:kern w:val="44"/>
          <w:sz w:val="44"/>
          <w:szCs w:val="44"/>
          <w:highlight w:val="none"/>
        </w:rPr>
      </w:pPr>
    </w:p>
    <w:p>
      <w:pPr>
        <w:pageBreakBefore w:val="0"/>
        <w:kinsoku/>
        <w:overflowPunct/>
        <w:topLinePunct w:val="0"/>
        <w:autoSpaceDE/>
        <w:autoSpaceDN/>
        <w:bidi w:val="0"/>
        <w:snapToGrid/>
        <w:spacing w:line="560" w:lineRule="exact"/>
        <w:jc w:val="center"/>
        <w:rPr>
          <w:rFonts w:ascii="宋体" w:hAnsi="宋体" w:cs="宋体"/>
          <w:b/>
          <w:kern w:val="44"/>
          <w:sz w:val="44"/>
          <w:szCs w:val="44"/>
          <w:highlight w:val="none"/>
        </w:rPr>
      </w:pPr>
      <w:r>
        <w:rPr>
          <w:rFonts w:hint="eastAsia" w:ascii="宋体" w:hAnsi="宋体" w:cs="宋体"/>
          <w:b/>
          <w:kern w:val="44"/>
          <w:sz w:val="44"/>
          <w:szCs w:val="44"/>
          <w:highlight w:val="none"/>
        </w:rPr>
        <w:t>中国进出口银行</w:t>
      </w:r>
    </w:p>
    <w:p>
      <w:pPr>
        <w:pageBreakBefore w:val="0"/>
        <w:kinsoku/>
        <w:overflowPunct/>
        <w:topLinePunct w:val="0"/>
        <w:autoSpaceDE/>
        <w:autoSpaceDN/>
        <w:bidi w:val="0"/>
        <w:snapToGrid/>
        <w:spacing w:line="560" w:lineRule="exact"/>
        <w:jc w:val="center"/>
        <w:rPr>
          <w:rFonts w:hint="eastAsia" w:ascii="宋体" w:hAnsi="宋体" w:eastAsia="宋体" w:cs="宋体"/>
          <w:bCs w:val="0"/>
          <w:kern w:val="44"/>
          <w:sz w:val="44"/>
          <w:szCs w:val="44"/>
          <w:highlight w:val="none"/>
          <w:lang w:val="en-US" w:eastAsia="zh-CN" w:bidi="ar-SA"/>
        </w:rPr>
      </w:pPr>
      <w:r>
        <w:rPr>
          <w:rFonts w:hint="eastAsia" w:ascii="宋体" w:hAnsi="宋体" w:cs="宋体"/>
          <w:b/>
          <w:kern w:val="44"/>
          <w:sz w:val="44"/>
          <w:szCs w:val="44"/>
          <w:highlight w:val="none"/>
          <w:lang w:val="en-US" w:eastAsia="zh-CN"/>
        </w:rPr>
        <w:t>二代征信查询系统建设项目</w:t>
      </w:r>
      <w:r>
        <w:rPr>
          <w:rFonts w:hint="eastAsia" w:ascii="宋体" w:hAnsi="宋体" w:cs="宋体"/>
          <w:b/>
          <w:kern w:val="44"/>
          <w:sz w:val="44"/>
          <w:szCs w:val="44"/>
          <w:highlight w:val="none"/>
        </w:rPr>
        <w:t>需求</w:t>
      </w:r>
    </w:p>
    <w:p>
      <w:pPr>
        <w:pStyle w:val="20"/>
        <w:adjustRightInd w:val="0"/>
        <w:spacing w:before="0" w:beforeLines="0" w:after="0" w:afterLines="0" w:line="560" w:lineRule="exact"/>
        <w:ind w:firstLine="640" w:firstLineChars="200"/>
        <w:textAlignment w:val="baseline"/>
        <w:outlineLvl w:val="9"/>
        <w:rPr>
          <w:rFonts w:ascii="Times New Roman" w:hAnsi="黑体" w:eastAsia="黑体"/>
          <w:b w:val="0"/>
          <w:bCs w:val="0"/>
          <w:sz w:val="32"/>
          <w:highlight w:val="none"/>
        </w:rPr>
        <w:sectPr>
          <w:pgSz w:w="11906" w:h="16838"/>
          <w:pgMar w:top="1440" w:right="1800" w:bottom="1440" w:left="1800" w:header="851" w:footer="992" w:gutter="0"/>
          <w:pgNumType w:start="1"/>
          <w:cols w:space="425" w:num="1"/>
          <w:docGrid w:type="lines" w:linePitch="312" w:charSpace="0"/>
        </w:sectPr>
      </w:pPr>
      <w:bookmarkStart w:id="0" w:name="_Toc13475"/>
    </w:p>
    <w:sdt>
      <w:sdtPr>
        <w:rPr>
          <w:rFonts w:ascii="宋体" w:hAnsi="宋体" w:eastAsia="宋体" w:cs="Times New Roman"/>
          <w:kern w:val="2"/>
          <w:sz w:val="21"/>
          <w:szCs w:val="24"/>
          <w:highlight w:val="none"/>
          <w:lang w:val="en-US" w:eastAsia="zh-CN" w:bidi="ar-SA"/>
        </w:rPr>
        <w:id w:val="147479510"/>
        <w15:color w:val="DBDBDB"/>
      </w:sdtPr>
      <w:sdtEndPr>
        <w:rPr>
          <w:rFonts w:ascii="Times New Roman" w:hAnsi="Times New Roman" w:eastAsia="宋体" w:cs="Times New Roman"/>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32"/>
              <w:szCs w:val="32"/>
              <w:highlight w:val="none"/>
            </w:rPr>
          </w:pPr>
          <w:r>
            <w:rPr>
              <w:rFonts w:hint="eastAsia" w:ascii="黑体" w:hAnsi="黑体" w:eastAsia="黑体" w:cs="黑体"/>
              <w:sz w:val="32"/>
              <w:szCs w:val="32"/>
              <w:highlight w:val="none"/>
            </w:rPr>
            <w:t>目录</w:t>
          </w:r>
        </w:p>
        <w:p>
          <w:pPr>
            <w:pStyle w:val="18"/>
            <w:tabs>
              <w:tab w:val="right" w:leader="dot" w:pos="8306"/>
            </w:tabs>
            <w:rPr>
              <w:rFonts w:hint="eastAsia" w:ascii="仿宋_GB2312" w:hAnsi="仿宋_GB2312" w:eastAsia="仿宋_GB2312" w:cs="仿宋_GB2312"/>
              <w:sz w:val="32"/>
              <w:szCs w:val="32"/>
            </w:rPr>
          </w:pPr>
          <w:r>
            <w:rPr>
              <w:rFonts w:hint="eastAsia" w:ascii="黑体" w:hAnsi="黑体" w:eastAsia="黑体" w:cs="黑体"/>
              <w:sz w:val="32"/>
              <w:szCs w:val="32"/>
              <w:highlight w:val="none"/>
            </w:rPr>
            <w:fldChar w:fldCharType="begin"/>
          </w:r>
          <w:r>
            <w:rPr>
              <w:rFonts w:hint="eastAsia" w:ascii="黑体" w:hAnsi="黑体" w:eastAsia="黑体" w:cs="黑体"/>
              <w:sz w:val="32"/>
              <w:szCs w:val="32"/>
              <w:highlight w:val="none"/>
            </w:rPr>
            <w:instrText xml:space="preserve">TOC \o "1-1" \h \u </w:instrText>
          </w:r>
          <w:r>
            <w:rPr>
              <w:rFonts w:hint="eastAsia" w:ascii="黑体" w:hAnsi="黑体" w:eastAsia="黑体" w:cs="黑体"/>
              <w:sz w:val="32"/>
              <w:szCs w:val="32"/>
              <w:highlight w:val="none"/>
            </w:rPr>
            <w:fldChar w:fldCharType="separate"/>
          </w: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_Toc13769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rPr>
            <w:t xml:space="preserve">一、 </w:t>
          </w:r>
          <w:r>
            <w:rPr>
              <w:rFonts w:hint="eastAsia" w:ascii="仿宋_GB2312" w:hAnsi="仿宋_GB2312" w:eastAsia="仿宋_GB2312" w:cs="仿宋_GB2312"/>
              <w:bCs w:val="0"/>
              <w:sz w:val="32"/>
              <w:szCs w:val="32"/>
              <w:highlight w:val="none"/>
            </w:rPr>
            <w:t>项目介绍</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_Toc13769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_Toc13329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rPr>
            <w:t xml:space="preserve">二、 </w:t>
          </w:r>
          <w:r>
            <w:rPr>
              <w:rFonts w:hint="eastAsia" w:ascii="仿宋_GB2312" w:hAnsi="仿宋_GB2312" w:eastAsia="仿宋_GB2312" w:cs="仿宋_GB2312"/>
              <w:bCs w:val="0"/>
              <w:sz w:val="32"/>
              <w:szCs w:val="32"/>
              <w:highlight w:val="none"/>
            </w:rPr>
            <w:t>服务</w:t>
          </w:r>
          <w:r>
            <w:rPr>
              <w:rFonts w:hint="eastAsia" w:ascii="仿宋_GB2312" w:hAnsi="仿宋_GB2312" w:eastAsia="仿宋_GB2312" w:cs="仿宋_GB2312"/>
              <w:bCs w:val="0"/>
              <w:sz w:val="32"/>
              <w:szCs w:val="32"/>
              <w:highlight w:val="none"/>
              <w:lang w:val="en-US" w:eastAsia="zh-CN"/>
            </w:rPr>
            <w:t>及产品</w:t>
          </w:r>
          <w:r>
            <w:rPr>
              <w:rFonts w:hint="eastAsia" w:ascii="仿宋_GB2312" w:hAnsi="仿宋_GB2312" w:eastAsia="仿宋_GB2312" w:cs="仿宋_GB2312"/>
              <w:bCs w:val="0"/>
              <w:sz w:val="32"/>
              <w:szCs w:val="32"/>
              <w:highlight w:val="none"/>
            </w:rPr>
            <w:t>一览表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_Toc13329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_Toc3473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rPr>
            <w:t xml:space="preserve">三、 </w:t>
          </w:r>
          <w:r>
            <w:rPr>
              <w:rFonts w:hint="eastAsia" w:ascii="仿宋_GB2312" w:hAnsi="仿宋_GB2312" w:eastAsia="仿宋_GB2312" w:cs="仿宋_GB2312"/>
              <w:bCs w:val="0"/>
              <w:sz w:val="32"/>
              <w:szCs w:val="32"/>
              <w:highlight w:val="none"/>
            </w:rPr>
            <w:t>业务要求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_Toc3473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_Toc16949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rPr>
            <w:t xml:space="preserve">四、 </w:t>
          </w:r>
          <w:r>
            <w:rPr>
              <w:rFonts w:hint="eastAsia" w:ascii="仿宋_GB2312" w:hAnsi="仿宋_GB2312" w:eastAsia="仿宋_GB2312" w:cs="仿宋_GB2312"/>
              <w:bCs w:val="0"/>
              <w:sz w:val="32"/>
              <w:szCs w:val="32"/>
              <w:highlight w:val="none"/>
            </w:rPr>
            <w:t>技术要求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_Toc16949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_Toc26192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lang w:val="en-US" w:eastAsia="zh-CN"/>
            </w:rPr>
            <w:t xml:space="preserve">五、 </w:t>
          </w:r>
          <w:r>
            <w:rPr>
              <w:rFonts w:hint="eastAsia" w:ascii="仿宋_GB2312" w:hAnsi="仿宋_GB2312" w:eastAsia="仿宋_GB2312" w:cs="仿宋_GB2312"/>
              <w:bCs w:val="0"/>
              <w:sz w:val="32"/>
              <w:szCs w:val="32"/>
              <w:highlight w:val="none"/>
              <w:lang w:val="en-US"/>
            </w:rPr>
            <w:t>服务</w:t>
          </w:r>
          <w:r>
            <w:rPr>
              <w:rFonts w:hint="eastAsia" w:ascii="仿宋_GB2312" w:hAnsi="仿宋_GB2312" w:eastAsia="仿宋_GB2312" w:cs="仿宋_GB2312"/>
              <w:bCs w:val="0"/>
              <w:sz w:val="32"/>
              <w:szCs w:val="32"/>
              <w:highlight w:val="none"/>
            </w:rPr>
            <w:t>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_Toc26192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_Toc25497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rPr>
            <w:t xml:space="preserve">六、 </w:t>
          </w:r>
          <w:r>
            <w:rPr>
              <w:rFonts w:hint="eastAsia" w:ascii="仿宋_GB2312" w:hAnsi="仿宋_GB2312" w:eastAsia="仿宋_GB2312" w:cs="仿宋_GB2312"/>
              <w:bCs w:val="0"/>
              <w:sz w:val="32"/>
              <w:szCs w:val="32"/>
              <w:highlight w:val="none"/>
            </w:rPr>
            <w:t>项目团队要求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_Toc25497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_Toc24551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rPr>
            <w:t xml:space="preserve">七、 </w:t>
          </w:r>
          <w:r>
            <w:rPr>
              <w:rFonts w:hint="eastAsia" w:ascii="仿宋_GB2312" w:hAnsi="仿宋_GB2312" w:eastAsia="仿宋_GB2312" w:cs="仿宋_GB2312"/>
              <w:bCs w:val="0"/>
              <w:sz w:val="32"/>
              <w:szCs w:val="32"/>
              <w:highlight w:val="none"/>
            </w:rPr>
            <w:t>安全要求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_Toc24551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_Toc15279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rPr>
            <w:t xml:space="preserve">八、 </w:t>
          </w:r>
          <w:r>
            <w:rPr>
              <w:rFonts w:hint="eastAsia" w:ascii="仿宋_GB2312" w:hAnsi="仿宋_GB2312" w:eastAsia="仿宋_GB2312" w:cs="仿宋_GB2312"/>
              <w:bCs w:val="0"/>
              <w:sz w:val="32"/>
              <w:szCs w:val="32"/>
              <w:highlight w:val="none"/>
            </w:rPr>
            <w:t>交付或实施时间、地点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_Toc15279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_Toc28333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rPr>
            <w:t xml:space="preserve">九、 </w:t>
          </w:r>
          <w:r>
            <w:rPr>
              <w:rFonts w:hint="eastAsia" w:ascii="仿宋_GB2312" w:hAnsi="仿宋_GB2312" w:eastAsia="仿宋_GB2312" w:cs="仿宋_GB2312"/>
              <w:bCs w:val="0"/>
              <w:sz w:val="32"/>
              <w:szCs w:val="32"/>
              <w:highlight w:val="none"/>
            </w:rPr>
            <w:t>财务支付要求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_Toc28333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_Toc6497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rPr>
            <w:t xml:space="preserve">十、 </w:t>
          </w:r>
          <w:r>
            <w:rPr>
              <w:rFonts w:hint="eastAsia" w:ascii="仿宋_GB2312" w:hAnsi="仿宋_GB2312" w:eastAsia="仿宋_GB2312" w:cs="仿宋_GB2312"/>
              <w:bCs w:val="0"/>
              <w:sz w:val="32"/>
              <w:szCs w:val="32"/>
              <w:highlight w:val="none"/>
            </w:rPr>
            <w:t>履约验收方案</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_Toc6497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18"/>
            <w:tabs>
              <w:tab w:val="right" w:leader="dot" w:pos="8306"/>
            </w:tabs>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_Toc18988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val="0"/>
              <w:sz w:val="32"/>
              <w:szCs w:val="32"/>
            </w:rPr>
            <w:t xml:space="preserve">十一、 </w:t>
          </w:r>
          <w:r>
            <w:rPr>
              <w:rFonts w:hint="eastAsia" w:ascii="仿宋_GB2312" w:hAnsi="仿宋_GB2312" w:eastAsia="仿宋_GB2312" w:cs="仿宋_GB2312"/>
              <w:bCs w:val="0"/>
              <w:sz w:val="32"/>
              <w:szCs w:val="32"/>
              <w:highlight w:val="none"/>
              <w:lang w:val="en-US" w:eastAsia="zh-CN"/>
            </w:rPr>
            <w:t>违约责任</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_Toc18988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highlight w:val="none"/>
            </w:rPr>
            <w:fldChar w:fldCharType="end"/>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宋体" w:cs="Times New Roman"/>
              <w:kern w:val="2"/>
              <w:sz w:val="21"/>
              <w:szCs w:val="24"/>
              <w:highlight w:val="none"/>
              <w:lang w:val="en-US" w:eastAsia="zh-CN" w:bidi="ar-SA"/>
            </w:rPr>
            <w:sectPr>
              <w:footerReference r:id="rId3" w:type="default"/>
              <w:pgSz w:w="11906" w:h="16838"/>
              <w:pgMar w:top="1440" w:right="1800" w:bottom="1440" w:left="1800" w:header="851" w:footer="992" w:gutter="0"/>
              <w:pgNumType w:start="1"/>
              <w:cols w:space="425" w:num="1"/>
              <w:docGrid w:type="lines" w:linePitch="312" w:charSpace="0"/>
            </w:sectPr>
          </w:pPr>
          <w:r>
            <w:rPr>
              <w:rFonts w:hint="eastAsia" w:ascii="黑体" w:hAnsi="黑体" w:eastAsia="黑体" w:cs="黑体"/>
              <w:szCs w:val="32"/>
              <w:highlight w:val="none"/>
            </w:rPr>
            <w:fldChar w:fldCharType="end"/>
          </w:r>
        </w:p>
      </w:sdtContent>
    </w:sdt>
    <w:bookmarkEnd w:id="0"/>
    <w:p>
      <w:pPr>
        <w:pStyle w:val="20"/>
        <w:pageBreakBefore w:val="0"/>
        <w:numPr>
          <w:ilvl w:val="0"/>
          <w:numId w:val="1"/>
        </w:numPr>
        <w:kinsoku/>
        <w:overflowPunct/>
        <w:topLinePunct w:val="0"/>
        <w:autoSpaceDE/>
        <w:autoSpaceDN/>
        <w:bidi w:val="0"/>
        <w:adjustRightInd w:val="0"/>
        <w:snapToGrid/>
        <w:spacing w:before="0" w:beforeLines="0" w:after="0" w:afterLines="0" w:line="560" w:lineRule="exact"/>
        <w:ind w:left="0" w:leftChars="0" w:firstLine="640" w:firstLineChars="200"/>
        <w:textAlignment w:val="baseline"/>
        <w:outlineLvl w:val="0"/>
        <w:rPr>
          <w:rFonts w:ascii="Times New Roman" w:hAnsi="黑体" w:eastAsia="黑体" w:cs="Times New Roman"/>
          <w:b w:val="0"/>
          <w:bCs w:val="0"/>
          <w:sz w:val="32"/>
          <w:highlight w:val="none"/>
        </w:rPr>
      </w:pPr>
      <w:bookmarkStart w:id="1" w:name="_Toc29772"/>
      <w:bookmarkStart w:id="2" w:name="_Toc13769"/>
      <w:r>
        <w:rPr>
          <w:rFonts w:ascii="Times New Roman" w:hAnsi="黑体" w:eastAsia="黑体" w:cs="Times New Roman"/>
          <w:b w:val="0"/>
          <w:bCs w:val="0"/>
          <w:sz w:val="32"/>
          <w:highlight w:val="none"/>
        </w:rPr>
        <w:t>项目介绍</w:t>
      </w:r>
      <w:bookmarkEnd w:id="1"/>
      <w:bookmarkEnd w:id="2"/>
    </w:p>
    <w:p>
      <w:pPr>
        <w:pStyle w:val="20"/>
        <w:pageBreakBefore w:val="0"/>
        <w:widowControl w:val="0"/>
        <w:kinsoku/>
        <w:wordWrap/>
        <w:overflowPunct/>
        <w:topLinePunct w:val="0"/>
        <w:autoSpaceDE/>
        <w:autoSpaceDN/>
        <w:bidi w:val="0"/>
        <w:adjustRightInd w:val="0"/>
        <w:snapToGrid/>
        <w:spacing w:before="0" w:beforeLines="0" w:after="0" w:afterLines="0" w:line="560" w:lineRule="exact"/>
        <w:ind w:firstLine="643" w:firstLineChars="200"/>
        <w:textAlignment w:val="baseline"/>
        <w:rPr>
          <w:rFonts w:hint="eastAsia" w:ascii="楷体_GB2312" w:hAnsi="楷体_GB2312" w:eastAsia="楷体_GB2312" w:cs="楷体_GB2312"/>
          <w:b/>
          <w:bCs/>
          <w:sz w:val="32"/>
          <w:highlight w:val="none"/>
          <w:lang w:eastAsia="zh-CN"/>
        </w:rPr>
      </w:pPr>
      <w:bookmarkStart w:id="3" w:name="_Toc14418"/>
      <w:bookmarkStart w:id="4" w:name="_Toc20375"/>
      <w:r>
        <w:rPr>
          <w:rStyle w:val="41"/>
          <w:rFonts w:hint="eastAsia" w:ascii="楷体_GB2312" w:hAnsi="楷体_GB2312" w:eastAsia="楷体_GB2312" w:cs="楷体_GB2312"/>
          <w:b/>
          <w:bCs/>
          <w:sz w:val="32"/>
          <w:szCs w:val="32"/>
          <w:highlight w:val="none"/>
          <w:lang w:eastAsia="zh-CN"/>
        </w:rPr>
        <w:t>（</w:t>
      </w:r>
      <w:r>
        <w:rPr>
          <w:rStyle w:val="41"/>
          <w:rFonts w:hint="eastAsia" w:ascii="楷体_GB2312" w:hAnsi="楷体_GB2312" w:eastAsia="楷体_GB2312" w:cs="楷体_GB2312"/>
          <w:b/>
          <w:bCs/>
          <w:sz w:val="32"/>
          <w:szCs w:val="32"/>
          <w:highlight w:val="none"/>
          <w:lang w:val="en-US" w:eastAsia="zh-CN"/>
        </w:rPr>
        <w:t>一</w:t>
      </w:r>
      <w:r>
        <w:rPr>
          <w:rStyle w:val="41"/>
          <w:rFonts w:hint="eastAsia" w:ascii="楷体_GB2312" w:hAnsi="楷体_GB2312" w:eastAsia="楷体_GB2312" w:cs="楷体_GB2312"/>
          <w:b/>
          <w:bCs/>
          <w:sz w:val="32"/>
          <w:szCs w:val="32"/>
          <w:highlight w:val="none"/>
          <w:lang w:eastAsia="zh-CN"/>
        </w:rPr>
        <w:t>）</w:t>
      </w:r>
      <w:r>
        <w:rPr>
          <w:rStyle w:val="41"/>
          <w:rFonts w:hint="eastAsia" w:ascii="楷体_GB2312" w:hAnsi="楷体_GB2312" w:eastAsia="楷体_GB2312" w:cs="楷体_GB2312"/>
          <w:b/>
          <w:bCs/>
          <w:sz w:val="32"/>
          <w:highlight w:val="none"/>
        </w:rPr>
        <w:t>项目背景概述</w:t>
      </w:r>
      <w:r>
        <w:rPr>
          <w:rStyle w:val="41"/>
          <w:rFonts w:hint="eastAsia" w:ascii="楷体_GB2312" w:hAnsi="楷体_GB2312" w:eastAsia="楷体_GB2312" w:cs="楷体_GB2312"/>
          <w:b/>
          <w:bCs/>
          <w:sz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我行现有二代征信查询系统于2020年在全行范围内投入使用，提供个人、企业征信报告查询以及各类征信增值</w:t>
      </w:r>
      <w:bookmarkStart w:id="36" w:name="_GoBack"/>
      <w:bookmarkEnd w:id="36"/>
      <w:r>
        <w:rPr>
          <w:rFonts w:hint="eastAsia" w:ascii="仿宋_GB2312" w:hAnsi="仿宋_GB2312" w:eastAsia="仿宋_GB2312" w:cs="仿宋_GB2312"/>
          <w:sz w:val="32"/>
          <w:szCs w:val="32"/>
          <w:highlight w:val="none"/>
          <w:lang w:val="en-US" w:eastAsia="zh-CN"/>
        </w:rPr>
        <w:t>服务。根据我行</w:t>
      </w:r>
      <w:r>
        <w:rPr>
          <w:rFonts w:hint="eastAsia" w:ascii="仿宋_GB2312" w:hAnsi="仿宋_GB2312" w:eastAsia="仿宋_GB2312" w:cs="仿宋_GB2312"/>
          <w:sz w:val="32"/>
          <w:szCs w:val="32"/>
          <w:lang w:val="en-US" w:eastAsia="zh-CN"/>
        </w:rPr>
        <w:t>信息技术应用创新改造要求</w:t>
      </w:r>
      <w:r>
        <w:rPr>
          <w:rFonts w:hint="eastAsia" w:ascii="仿宋_GB2312" w:hAnsi="仿宋_GB2312" w:eastAsia="仿宋_GB2312" w:cs="仿宋_GB2312"/>
          <w:sz w:val="32"/>
          <w:szCs w:val="32"/>
          <w:highlight w:val="none"/>
          <w:lang w:val="en-US" w:eastAsia="zh-CN"/>
        </w:rPr>
        <w:t>，启动本项目。</w:t>
      </w:r>
    </w:p>
    <w:p>
      <w:pPr>
        <w:pStyle w:val="20"/>
        <w:pageBreakBefore w:val="0"/>
        <w:widowControl w:val="0"/>
        <w:numPr>
          <w:ilvl w:val="0"/>
          <w:numId w:val="2"/>
        </w:numPr>
        <w:tabs>
          <w:tab w:val="left" w:pos="5272"/>
        </w:tabs>
        <w:kinsoku/>
        <w:wordWrap/>
        <w:overflowPunct/>
        <w:topLinePunct w:val="0"/>
        <w:autoSpaceDE/>
        <w:autoSpaceDN/>
        <w:bidi w:val="0"/>
        <w:adjustRightInd w:val="0"/>
        <w:snapToGrid/>
        <w:spacing w:before="0" w:beforeLines="0" w:after="0" w:afterLines="0" w:line="560" w:lineRule="exact"/>
        <w:ind w:firstLine="643" w:firstLineChars="200"/>
        <w:textAlignment w:val="baseline"/>
        <w:rPr>
          <w:rStyle w:val="41"/>
          <w:rFonts w:hint="eastAsia" w:ascii="楷体_GB2312" w:hAnsi="楷体_GB2312" w:eastAsia="楷体_GB2312" w:cs="楷体_GB2312"/>
          <w:b/>
          <w:bCs/>
          <w:sz w:val="32"/>
          <w:szCs w:val="32"/>
          <w:highlight w:val="none"/>
          <w:lang w:eastAsia="zh-CN"/>
        </w:rPr>
      </w:pPr>
      <w:r>
        <w:rPr>
          <w:rStyle w:val="41"/>
          <w:rFonts w:hint="eastAsia" w:ascii="楷体_GB2312" w:hAnsi="楷体_GB2312" w:eastAsia="楷体_GB2312" w:cs="楷体_GB2312"/>
          <w:b/>
          <w:bCs/>
          <w:sz w:val="32"/>
          <w:szCs w:val="32"/>
          <w:highlight w:val="none"/>
          <w:lang w:eastAsia="zh-CN"/>
        </w:rPr>
        <w:t>功能或目标。</w:t>
      </w:r>
      <w:r>
        <w:rPr>
          <w:rStyle w:val="41"/>
          <w:rFonts w:hint="eastAsia" w:ascii="楷体_GB2312" w:hAnsi="楷体_GB2312" w:eastAsia="楷体_GB2312" w:cs="楷体_GB2312"/>
          <w:b/>
          <w:bCs/>
          <w:sz w:val="32"/>
          <w:szCs w:val="32"/>
          <w:highlight w:val="none"/>
          <w:lang w:eastAsia="zh-CN"/>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建设</w:t>
      </w:r>
      <w:r>
        <w:rPr>
          <w:rFonts w:hint="eastAsia" w:eastAsia="仿宋_GB2312"/>
          <w:sz w:val="32"/>
          <w:szCs w:val="22"/>
          <w:highlight w:val="none"/>
          <w:lang w:val="en-US" w:eastAsia="zh-CN"/>
        </w:rPr>
        <w:t>满足</w:t>
      </w:r>
      <w:r>
        <w:rPr>
          <w:rFonts w:hint="eastAsia" w:ascii="Times New Roman" w:hAnsi="Times New Roman" w:eastAsia="仿宋_GB2312"/>
          <w:sz w:val="32"/>
          <w:szCs w:val="22"/>
          <w:highlight w:val="none"/>
          <w:lang w:val="en-US" w:eastAsia="zh-CN"/>
        </w:rPr>
        <w:t>我行</w:t>
      </w:r>
      <w:r>
        <w:rPr>
          <w:rFonts w:hint="eastAsia" w:eastAsia="仿宋_GB2312"/>
          <w:sz w:val="32"/>
          <w:szCs w:val="22"/>
          <w:highlight w:val="none"/>
          <w:lang w:val="en-US" w:eastAsia="zh-CN"/>
        </w:rPr>
        <w:t>业务需求、符合监管部门要求的</w:t>
      </w:r>
      <w:r>
        <w:rPr>
          <w:rFonts w:hint="eastAsia" w:ascii="仿宋_GB2312" w:hAnsi="仿宋_GB2312" w:eastAsia="仿宋_GB2312" w:cs="仿宋_GB2312"/>
          <w:sz w:val="32"/>
          <w:szCs w:val="32"/>
          <w:lang w:val="en-US" w:eastAsia="zh-CN"/>
        </w:rPr>
        <w:t>二代征信查询系统，并完成原有二代征信系统数据迁移</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代征信查询系统需与行内现有系统合理对接整合，符合行内系统架构原则和相关技术规范，应充分满足监管要求和我行要求，满足信创要求，满足安全性、及时性、准确性、操作性、兼容性、稳定性、冗余性及未来系统建设扩展性的相关要求。</w:t>
      </w:r>
    </w:p>
    <w:bookmarkEnd w:id="3"/>
    <w:bookmarkEnd w:id="4"/>
    <w:p>
      <w:pPr>
        <w:pStyle w:val="20"/>
        <w:pageBreakBefore w:val="0"/>
        <w:numPr>
          <w:ilvl w:val="0"/>
          <w:numId w:val="1"/>
        </w:numPr>
        <w:kinsoku/>
        <w:overflowPunct/>
        <w:topLinePunct w:val="0"/>
        <w:autoSpaceDE/>
        <w:autoSpaceDN/>
        <w:bidi w:val="0"/>
        <w:adjustRightInd w:val="0"/>
        <w:snapToGrid/>
        <w:spacing w:before="0" w:beforeLines="0" w:after="0" w:afterLines="0" w:line="560" w:lineRule="exact"/>
        <w:ind w:left="0" w:leftChars="0" w:firstLine="640" w:firstLineChars="200"/>
        <w:textAlignment w:val="baseline"/>
        <w:outlineLvl w:val="0"/>
      </w:pPr>
      <w:bookmarkStart w:id="5" w:name="_Toc14009"/>
      <w:bookmarkStart w:id="6" w:name="_Toc13329"/>
      <w:r>
        <w:rPr>
          <w:rFonts w:ascii="Times New Roman" w:hAnsi="黑体" w:eastAsia="黑体" w:cs="Times New Roman"/>
          <w:b w:val="0"/>
          <w:bCs w:val="0"/>
          <w:sz w:val="32"/>
          <w:highlight w:val="none"/>
        </w:rPr>
        <w:t>服务</w:t>
      </w:r>
      <w:r>
        <w:rPr>
          <w:rFonts w:hint="eastAsia" w:ascii="Times New Roman" w:hAnsi="黑体" w:eastAsia="黑体" w:cs="Times New Roman"/>
          <w:b w:val="0"/>
          <w:bCs w:val="0"/>
          <w:sz w:val="32"/>
          <w:highlight w:val="none"/>
          <w:lang w:val="en-US" w:eastAsia="zh-CN"/>
        </w:rPr>
        <w:t>及产品</w:t>
      </w:r>
      <w:r>
        <w:rPr>
          <w:rFonts w:ascii="Times New Roman" w:hAnsi="黑体" w:eastAsia="黑体" w:cs="Times New Roman"/>
          <w:b w:val="0"/>
          <w:bCs w:val="0"/>
          <w:sz w:val="32"/>
          <w:highlight w:val="none"/>
        </w:rPr>
        <w:t>一览表</w:t>
      </w:r>
      <w:bookmarkEnd w:id="5"/>
      <w:bookmarkEnd w:id="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（一）完成</w:t>
      </w:r>
      <w:r>
        <w:rPr>
          <w:rFonts w:hint="eastAsia" w:ascii="仿宋_GB2312" w:hAnsi="仿宋_GB2312" w:eastAsia="仿宋_GB2312" w:cs="仿宋_GB2312"/>
          <w:sz w:val="32"/>
          <w:szCs w:val="32"/>
          <w:lang w:val="en-US" w:eastAsia="zh-CN"/>
        </w:rPr>
        <w:t>二代征信查询系统建设</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val="en-US" w:eastAsia="zh-CN"/>
        </w:rPr>
        <w:t>（二）完成</w:t>
      </w:r>
      <w:r>
        <w:rPr>
          <w:rFonts w:hint="eastAsia" w:ascii="仿宋_GB2312" w:hAnsi="仿宋_GB2312" w:eastAsia="仿宋_GB2312" w:cs="仿宋_GB2312"/>
          <w:sz w:val="32"/>
          <w:szCs w:val="32"/>
          <w:lang w:val="en-US" w:eastAsia="zh-CN"/>
        </w:rPr>
        <w:t>二代征信查询系统同城灾备系统部署。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（三）完成原有系统数据迁移工作。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（四）提供12个月保修服务。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（五）产品一览表</w:t>
      </w:r>
    </w:p>
    <w:tbl>
      <w:tblPr>
        <w:tblStyle w:val="22"/>
        <w:tblW w:w="40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3"/>
        <w:gridCol w:w="2390"/>
        <w:gridCol w:w="2565"/>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890" w:type="pct"/>
            <w:tcBorders>
              <w:top w:val="single" w:color="auto" w:sz="4" w:space="0"/>
              <w:left w:val="single" w:color="auto" w:sz="4" w:space="0"/>
              <w:right w:val="single" w:color="auto" w:sz="4" w:space="0"/>
            </w:tcBorders>
            <w:shd w:val="clear" w:color="auto" w:fill="BFBFB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Times New Roman" w:hAnsi="Times New Roman" w:eastAsia="仿宋_GB2312"/>
                <w:b/>
                <w:bCs/>
                <w:sz w:val="24"/>
                <w:highlight w:val="none"/>
              </w:rPr>
            </w:pPr>
            <w:r>
              <w:rPr>
                <w:rFonts w:hint="eastAsia" w:ascii="Times New Roman" w:hAnsi="Times New Roman" w:eastAsia="仿宋_GB2312"/>
                <w:b/>
                <w:bCs/>
                <w:sz w:val="24"/>
                <w:highlight w:val="none"/>
                <w:lang w:val="en-US" w:eastAsia="zh-CN"/>
              </w:rPr>
              <w:t>采购内容</w:t>
            </w:r>
          </w:p>
        </w:tc>
        <w:tc>
          <w:tcPr>
            <w:tcW w:w="1711" w:type="pct"/>
            <w:tcBorders>
              <w:top w:val="single" w:color="auto" w:sz="4" w:space="0"/>
              <w:left w:val="single" w:color="auto" w:sz="4" w:space="0"/>
              <w:right w:val="single" w:color="auto" w:sz="4" w:space="0"/>
            </w:tcBorders>
            <w:shd w:val="clear" w:color="auto" w:fill="BFBFB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imes New Roman" w:hAnsi="Times New Roman" w:eastAsia="仿宋_GB2312"/>
                <w:b/>
                <w:bCs/>
                <w:sz w:val="24"/>
                <w:highlight w:val="none"/>
                <w:lang w:eastAsia="zh-CN"/>
              </w:rPr>
            </w:pPr>
            <w:r>
              <w:rPr>
                <w:rFonts w:hint="eastAsia" w:ascii="Times New Roman" w:hAnsi="Times New Roman" w:eastAsia="仿宋_GB2312"/>
                <w:b/>
                <w:bCs/>
                <w:sz w:val="24"/>
                <w:highlight w:val="none"/>
                <w:lang w:eastAsia="zh-CN"/>
              </w:rPr>
              <w:t>产品要求</w:t>
            </w:r>
          </w:p>
        </w:tc>
        <w:tc>
          <w:tcPr>
            <w:tcW w:w="1836" w:type="pct"/>
            <w:tcBorders>
              <w:top w:val="single" w:color="auto" w:sz="4" w:space="0"/>
              <w:left w:val="single" w:color="auto" w:sz="4" w:space="0"/>
              <w:right w:val="single" w:color="auto" w:sz="4" w:space="0"/>
            </w:tcBorders>
            <w:shd w:val="clear" w:color="auto" w:fill="BFBFB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Times New Roman" w:hAnsi="Times New Roman" w:eastAsia="仿宋_GB2312"/>
                <w:b/>
                <w:bCs/>
                <w:sz w:val="24"/>
                <w:highlight w:val="none"/>
              </w:rPr>
            </w:pPr>
            <w:r>
              <w:rPr>
                <w:rFonts w:hint="eastAsia" w:ascii="Times New Roman" w:hAnsi="Times New Roman" w:eastAsia="仿宋_GB2312"/>
                <w:b/>
                <w:bCs/>
                <w:sz w:val="24"/>
                <w:highlight w:val="none"/>
              </w:rPr>
              <w:t>许可要求</w:t>
            </w:r>
          </w:p>
        </w:tc>
        <w:tc>
          <w:tcPr>
            <w:tcW w:w="560" w:type="pct"/>
            <w:tcBorders>
              <w:top w:val="single" w:color="auto" w:sz="4" w:space="0"/>
              <w:left w:val="single" w:color="auto" w:sz="4" w:space="0"/>
              <w:right w:val="single" w:color="auto" w:sz="4" w:space="0"/>
            </w:tcBorders>
            <w:shd w:val="clear" w:color="auto" w:fill="BFBFB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Times New Roman" w:hAnsi="Times New Roman" w:eastAsia="仿宋_GB2312"/>
                <w:b/>
                <w:bCs/>
                <w:sz w:val="24"/>
                <w:highlight w:val="none"/>
              </w:rPr>
            </w:pPr>
            <w:r>
              <w:rPr>
                <w:rFonts w:ascii="Times New Roman" w:hAnsi="Times New Roman" w:eastAsia="仿宋_GB2312"/>
                <w:b/>
                <w:bCs/>
                <w:sz w:val="24"/>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90" w:type="pc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4"/>
                <w:szCs w:val="24"/>
                <w:lang w:val="en-US" w:eastAsia="zh-CN"/>
              </w:rPr>
            </w:pPr>
            <w:r>
              <w:rPr>
                <w:rFonts w:hint="eastAsia" w:ascii="仿宋_GB2312" w:hAnsi="仿宋_GB2312" w:eastAsia="仿宋_GB2312" w:cs="仿宋_GB2312"/>
                <w:sz w:val="24"/>
                <w:szCs w:val="24"/>
                <w:lang w:val="en-US" w:eastAsia="zh-CN"/>
              </w:rPr>
              <w:t>二代征信查询</w:t>
            </w:r>
            <w:r>
              <w:rPr>
                <w:rFonts w:hint="eastAsia" w:ascii="仿宋_GB2312" w:hAnsi="仿宋_GB2312" w:eastAsia="仿宋_GB2312" w:cs="仿宋_GB2312"/>
                <w:b w:val="0"/>
                <w:color w:val="000000"/>
                <w:sz w:val="24"/>
                <w:szCs w:val="24"/>
                <w:lang w:val="en-US" w:eastAsia="zh-CN"/>
              </w:rPr>
              <w:t>系统软件</w:t>
            </w:r>
          </w:p>
        </w:tc>
        <w:tc>
          <w:tcPr>
            <w:tcW w:w="1711" w:type="pc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4"/>
                <w:szCs w:val="24"/>
                <w:lang w:val="en-US" w:eastAsia="zh-CN"/>
              </w:rPr>
            </w:pPr>
            <w:r>
              <w:rPr>
                <w:rFonts w:hint="eastAsia" w:ascii="仿宋_GB2312" w:hAnsi="仿宋_GB2312" w:eastAsia="仿宋_GB2312" w:cs="仿宋_GB2312"/>
                <w:b w:val="0"/>
                <w:color w:val="000000"/>
                <w:sz w:val="24"/>
                <w:szCs w:val="24"/>
                <w:lang w:val="en-US" w:eastAsia="zh-CN"/>
              </w:rPr>
              <w:t>满足我行及监管部门技术要求，并能够根据我行业务需求进行客户化改造。</w:t>
            </w:r>
          </w:p>
        </w:tc>
        <w:tc>
          <w:tcPr>
            <w:tcW w:w="1836" w:type="pc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4"/>
                <w:szCs w:val="24"/>
                <w:lang w:val="en-US" w:eastAsia="zh-CN"/>
              </w:rPr>
            </w:pPr>
            <w:r>
              <w:rPr>
                <w:rFonts w:hint="eastAsia" w:ascii="仿宋_GB2312" w:hAnsi="仿宋_GB2312" w:eastAsia="仿宋_GB2312" w:cs="仿宋_GB2312"/>
                <w:b w:val="0"/>
                <w:color w:val="000000"/>
                <w:sz w:val="24"/>
                <w:szCs w:val="24"/>
                <w:lang w:val="en-US" w:eastAsia="zh-CN"/>
              </w:rPr>
              <w:t>永久授权。</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4"/>
                <w:szCs w:val="24"/>
                <w:lang w:val="en-US" w:eastAsia="zh-CN"/>
              </w:rPr>
            </w:pPr>
            <w:r>
              <w:rPr>
                <w:rFonts w:hint="eastAsia" w:ascii="仿宋_GB2312" w:hAnsi="仿宋_GB2312" w:eastAsia="仿宋_GB2312" w:cs="仿宋_GB2312"/>
                <w:b w:val="0"/>
                <w:color w:val="000000"/>
                <w:sz w:val="24"/>
                <w:szCs w:val="24"/>
                <w:lang w:val="en-US" w:eastAsia="zh-CN"/>
              </w:rPr>
              <w:t>无地域限制。</w:t>
            </w:r>
          </w:p>
        </w:tc>
        <w:tc>
          <w:tcPr>
            <w:tcW w:w="560" w:type="pc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4"/>
                <w:szCs w:val="24"/>
                <w:lang w:val="en-US" w:eastAsia="zh-CN"/>
              </w:rPr>
            </w:pPr>
            <w:r>
              <w:rPr>
                <w:rFonts w:hint="eastAsia" w:ascii="仿宋_GB2312" w:hAnsi="仿宋_GB2312" w:eastAsia="仿宋_GB2312" w:cs="仿宋_GB2312"/>
                <w:b w:val="0"/>
                <w:color w:val="000000"/>
                <w:sz w:val="24"/>
                <w:szCs w:val="24"/>
                <w:lang w:val="en-US" w:eastAsia="zh-CN"/>
              </w:rPr>
              <w:t>按需</w:t>
            </w:r>
          </w:p>
        </w:tc>
      </w:tr>
    </w:tbl>
    <w:p>
      <w:pPr>
        <w:pStyle w:val="10"/>
        <w:rPr>
          <w:rFonts w:hint="eastAsia"/>
          <w:lang w:val="en-US" w:eastAsia="zh-CN"/>
        </w:rPr>
      </w:pPr>
    </w:p>
    <w:p>
      <w:pPr>
        <w:pStyle w:val="20"/>
        <w:pageBreakBefore w:val="0"/>
        <w:numPr>
          <w:ilvl w:val="0"/>
          <w:numId w:val="1"/>
        </w:numPr>
        <w:kinsoku/>
        <w:overflowPunct/>
        <w:topLinePunct w:val="0"/>
        <w:autoSpaceDE/>
        <w:autoSpaceDN/>
        <w:bidi w:val="0"/>
        <w:adjustRightInd w:val="0"/>
        <w:snapToGrid/>
        <w:spacing w:before="0" w:beforeLines="0" w:after="0" w:afterLines="0" w:line="560" w:lineRule="exact"/>
        <w:ind w:left="0" w:leftChars="0" w:firstLine="640" w:firstLineChars="200"/>
        <w:textAlignment w:val="baseline"/>
        <w:outlineLvl w:val="0"/>
        <w:rPr>
          <w:rFonts w:ascii="Times New Roman" w:hAnsi="黑体" w:eastAsia="黑体" w:cs="Times New Roman"/>
          <w:b w:val="0"/>
          <w:bCs w:val="0"/>
          <w:sz w:val="32"/>
          <w:highlight w:val="none"/>
        </w:rPr>
      </w:pPr>
      <w:bookmarkStart w:id="7" w:name="_Toc20903"/>
      <w:bookmarkStart w:id="8" w:name="_Toc3473"/>
      <w:bookmarkStart w:id="9" w:name="_Toc32236"/>
      <w:r>
        <w:rPr>
          <w:rFonts w:ascii="Times New Roman" w:hAnsi="黑体" w:eastAsia="黑体" w:cs="Times New Roman"/>
          <w:b w:val="0"/>
          <w:bCs w:val="0"/>
          <w:sz w:val="32"/>
          <w:highlight w:val="none"/>
        </w:rPr>
        <w:t>业务要求</w:t>
      </w:r>
      <w:bookmarkEnd w:id="7"/>
      <w:bookmarkEnd w:id="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业务功能需覆盖原有系统所有功能，详细业务需求以正式业务需求书为准。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二代征信查询系统提供个人信用报告查询业务、企业信用报告查询业务，抵质押报告查询业务、</w:t>
      </w:r>
      <w:bookmarkStart w:id="10" w:name="_Toc29091"/>
      <w:r>
        <w:rPr>
          <w:rFonts w:hint="eastAsia" w:ascii="仿宋_GB2312" w:hAnsi="仿宋_GB2312" w:eastAsia="仿宋_GB2312" w:cs="仿宋_GB2312"/>
          <w:sz w:val="32"/>
          <w:szCs w:val="32"/>
          <w:highlight w:val="none"/>
          <w:lang w:val="en-US" w:eastAsia="zh-CN"/>
        </w:rPr>
        <w:t>非金融信息查询业务</w:t>
      </w:r>
      <w:bookmarkEnd w:id="10"/>
      <w:r>
        <w:rPr>
          <w:rFonts w:hint="eastAsia" w:ascii="仿宋_GB2312" w:hAnsi="仿宋_GB2312" w:eastAsia="仿宋_GB2312" w:cs="仿宋_GB2312"/>
          <w:sz w:val="32"/>
          <w:szCs w:val="32"/>
          <w:highlight w:val="none"/>
          <w:lang w:val="en-US" w:eastAsia="zh-CN"/>
        </w:rPr>
        <w:t>、</w:t>
      </w:r>
      <w:bookmarkStart w:id="11" w:name="_Toc11325"/>
      <w:r>
        <w:rPr>
          <w:rFonts w:hint="eastAsia" w:ascii="仿宋_GB2312" w:hAnsi="仿宋_GB2312" w:eastAsia="仿宋_GB2312" w:cs="仿宋_GB2312"/>
          <w:sz w:val="32"/>
          <w:szCs w:val="32"/>
          <w:highlight w:val="none"/>
          <w:lang w:val="en-US" w:eastAsia="zh-CN"/>
        </w:rPr>
        <w:t>个人重要信息提示业务</w:t>
      </w:r>
      <w:bookmarkEnd w:id="11"/>
      <w:r>
        <w:rPr>
          <w:rFonts w:hint="eastAsia" w:ascii="仿宋_GB2312" w:hAnsi="仿宋_GB2312" w:eastAsia="仿宋_GB2312" w:cs="仿宋_GB2312"/>
          <w:sz w:val="32"/>
          <w:szCs w:val="32"/>
          <w:highlight w:val="none"/>
          <w:lang w:val="en-US" w:eastAsia="zh-CN"/>
        </w:rPr>
        <w:t>、企业重要信息提示业务、关联查询业务、</w:t>
      </w:r>
      <w:bookmarkStart w:id="12" w:name="_Toc15905"/>
      <w:r>
        <w:rPr>
          <w:rFonts w:hint="eastAsia" w:ascii="仿宋_GB2312" w:hAnsi="仿宋_GB2312" w:eastAsia="仿宋_GB2312" w:cs="仿宋_GB2312"/>
          <w:sz w:val="32"/>
          <w:szCs w:val="32"/>
          <w:highlight w:val="none"/>
          <w:lang w:val="en-US" w:eastAsia="zh-CN"/>
        </w:rPr>
        <w:t>中征码管理业务</w:t>
      </w:r>
      <w:bookmarkEnd w:id="12"/>
      <w:r>
        <w:rPr>
          <w:rFonts w:hint="eastAsia" w:ascii="仿宋_GB2312" w:hAnsi="仿宋_GB2312" w:eastAsia="仿宋_GB2312" w:cs="仿宋_GB2312"/>
          <w:sz w:val="32"/>
          <w:szCs w:val="32"/>
          <w:highlight w:val="none"/>
          <w:lang w:val="en-US" w:eastAsia="zh-CN"/>
        </w:rPr>
        <w:t>、</w:t>
      </w:r>
      <w:bookmarkStart w:id="13" w:name="_Toc10526"/>
      <w:r>
        <w:rPr>
          <w:rFonts w:hint="eastAsia" w:ascii="仿宋_GB2312" w:hAnsi="仿宋_GB2312" w:eastAsia="仿宋_GB2312" w:cs="仿宋_GB2312"/>
          <w:sz w:val="32"/>
          <w:szCs w:val="32"/>
          <w:highlight w:val="none"/>
          <w:lang w:val="en-US" w:eastAsia="zh-CN"/>
        </w:rPr>
        <w:t>异常查询核实业务</w:t>
      </w:r>
      <w:bookmarkEnd w:id="13"/>
      <w:r>
        <w:rPr>
          <w:rFonts w:hint="eastAsia" w:ascii="仿宋_GB2312" w:hAnsi="仿宋_GB2312" w:eastAsia="仿宋_GB2312" w:cs="仿宋_GB2312"/>
          <w:sz w:val="32"/>
          <w:szCs w:val="32"/>
          <w:highlight w:val="none"/>
          <w:lang w:val="en-US" w:eastAsia="zh-CN"/>
        </w:rPr>
        <w:t>、用户报备业务、批量查询服务等。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二代征信查询系统每日按需向分支机构提供报送数据并完成报送任务。</w:t>
      </w:r>
    </w:p>
    <w:p>
      <w:pPr>
        <w:pStyle w:val="20"/>
        <w:pageBreakBefore w:val="0"/>
        <w:numPr>
          <w:ilvl w:val="0"/>
          <w:numId w:val="1"/>
        </w:numPr>
        <w:kinsoku/>
        <w:overflowPunct/>
        <w:topLinePunct w:val="0"/>
        <w:autoSpaceDE/>
        <w:autoSpaceDN/>
        <w:bidi w:val="0"/>
        <w:adjustRightInd w:val="0"/>
        <w:snapToGrid/>
        <w:spacing w:before="0" w:beforeLines="0" w:after="0" w:afterLines="0" w:line="560" w:lineRule="exact"/>
        <w:ind w:left="0" w:leftChars="0" w:firstLine="640" w:firstLineChars="200"/>
        <w:textAlignment w:val="baseline"/>
        <w:outlineLvl w:val="0"/>
        <w:rPr>
          <w:rFonts w:ascii="Times New Roman" w:hAnsi="黑体" w:eastAsia="黑体" w:cs="Times New Roman"/>
          <w:b w:val="0"/>
          <w:bCs w:val="0"/>
          <w:sz w:val="32"/>
          <w:highlight w:val="none"/>
        </w:rPr>
      </w:pPr>
      <w:bookmarkStart w:id="14" w:name="_Toc16949"/>
      <w:r>
        <w:rPr>
          <w:rFonts w:ascii="Times New Roman" w:hAnsi="黑体" w:eastAsia="黑体" w:cs="Times New Roman"/>
          <w:b w:val="0"/>
          <w:bCs w:val="0"/>
          <w:sz w:val="32"/>
          <w:highlight w:val="none"/>
        </w:rPr>
        <w:t>技术要求</w:t>
      </w:r>
      <w:bookmarkEnd w:id="9"/>
      <w:bookmarkEnd w:id="1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1.数据库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需为关系型数据库，不采用开源软件，要求适配GoldenDB、达梦、TDSql及GaussDB/openGauss等国内主流数据库软件。完成数据库适配改造，包括库表结构DDL改造、SQL语句调整、映射替换、重构SQL语句、重构、存储过程改造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2.中间件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要求适配东方通或宝兰德等国内主流中间件软件。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3.浏览器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要求兼容奇安信安全浏览器个人版和360安全浏览器个人版，同时需支持Windows操作系统终端的Chrome浏览器。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4.硬件及操作系统：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服务器：采用基于鲲鹏ARM、海光X86等架构的硬件产品；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桌面终端：采用飞腾和兆芯CPU架构终端。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服务器操作系统：采用麒麟KYLIN Linux Advanced Server V10或统信UOS V20。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桌面操作系统：采用银河麒麟桌面操作系统 V10 SP1 2203及以上版本和统信桌面操作系统 V20 专业版1050及以上版本。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5.信创软硬件版本以入场后甲方实际情况为准。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6.数据迁移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完成数据迁移方案制定、工具开发、数据迁移等工作。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7.乙方应对本项目的需求内容以及范围进行充分和正确的理解，并且保证在实施方案中体现的软件、硬件、设计方案与实施服务是完备和可行的。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乙方在实施过程中若发现有与其自身解决方案有关的遗漏或不可行，应首先向甲方提出解决方案，在甲方同意后及时解决。若乙方的解决方案与甲方的总体架构有冲突或影响其它关联项目，则甲方有最终的建议权与否决权，乙方须按照甲方决定的方案和计划予以完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9.乙方能够满足甲方在项目实施过程中对开发、测试的要求，并支持通过开发实现对未来业务和技术功能的扩展。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10.乙方在项目的需求阶段、设计阶段、开发阶段、系统集成测试阶段、用户验收测试阶段、投产准备阶段完成后，以及保修期内每次变更前，应按照甲方配置管理要求，正式向甲方提交各阶段交付物的最终版本。各阶段交付物的过程版本应由乙方自行妥善管理，并形成相应的需求基线、设计基线、开发基线、系统集成测试基线、用户验收测试基线、投产基线、运行维护基线（保修期内）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11.乙方提交的代码应满足甲方漏洞扫描及渗透性测试要求。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12.源代码要求：供应商应确保我行享有对核心产品软件系统拥有永久的、不可撤销的、不可转让的修改权、复制权及其他使用权，以及对客户化软件及核心产品软件系统中客户化部分的全部知识产权。为实现上述目的，供应商应向我行提供：1. 客户化软件及核心产品软件系统中客户化部分的的目标程序及全部源代码；2. 核心产品软件的目标程序</w:t>
      </w:r>
      <w:r>
        <w:rPr>
          <w:rFonts w:hint="default" w:ascii="仿宋_GB2312" w:hAnsi="仿宋_GB2312" w:eastAsia="仿宋_GB2312" w:cs="仿宋_GB2312"/>
          <w:sz w:val="32"/>
          <w:szCs w:val="32"/>
          <w:highlight w:val="none"/>
          <w:lang w:val="en-US" w:eastAsia="zh-CN"/>
        </w:rPr>
        <w:t>及全部源代码</w:t>
      </w:r>
      <w:r>
        <w:rPr>
          <w:rFonts w:hint="eastAsia" w:ascii="仿宋_GB2312" w:hAnsi="仿宋_GB2312" w:eastAsia="仿宋_GB2312" w:cs="仿宋_GB2312"/>
          <w:sz w:val="32"/>
          <w:szCs w:val="32"/>
          <w:highlight w:val="none"/>
          <w:lang w:val="en-US" w:eastAsia="zh-CN"/>
        </w:rPr>
        <w:t>、开发接口、操作文档等资料。</w:t>
      </w:r>
    </w:p>
    <w:p>
      <w:pPr>
        <w:pStyle w:val="20"/>
        <w:pageBreakBefore w:val="0"/>
        <w:numPr>
          <w:ilvl w:val="0"/>
          <w:numId w:val="1"/>
        </w:numPr>
        <w:kinsoku/>
        <w:overflowPunct/>
        <w:topLinePunct w:val="0"/>
        <w:autoSpaceDE/>
        <w:autoSpaceDN/>
        <w:bidi w:val="0"/>
        <w:adjustRightInd w:val="0"/>
        <w:snapToGrid/>
        <w:spacing w:before="0" w:beforeLines="0" w:after="0" w:afterLines="0" w:line="560" w:lineRule="exact"/>
        <w:ind w:left="0" w:leftChars="0" w:firstLine="640" w:firstLineChars="200"/>
        <w:textAlignment w:val="baseline"/>
        <w:outlineLvl w:val="0"/>
        <w:rPr>
          <w:rFonts w:hint="default" w:ascii="Times New Roman" w:hAnsi="黑体" w:eastAsia="黑体" w:cs="Times New Roman"/>
          <w:b w:val="0"/>
          <w:bCs w:val="0"/>
          <w:sz w:val="32"/>
          <w:highlight w:val="none"/>
          <w:lang w:val="en-US" w:eastAsia="zh-CN"/>
        </w:rPr>
      </w:pPr>
      <w:bookmarkStart w:id="15" w:name="_Toc22237"/>
      <w:bookmarkStart w:id="16" w:name="_Toc26192"/>
      <w:r>
        <w:rPr>
          <w:rFonts w:hint="default" w:ascii="Times New Roman" w:hAnsi="黑体" w:eastAsia="黑体" w:cs="Times New Roman"/>
          <w:b w:val="0"/>
          <w:bCs w:val="0"/>
          <w:sz w:val="32"/>
          <w:highlight w:val="none"/>
          <w:lang w:val="en-US"/>
        </w:rPr>
        <w:t>服务</w:t>
      </w:r>
      <w:r>
        <w:rPr>
          <w:rFonts w:ascii="Times New Roman" w:hAnsi="黑体" w:eastAsia="黑体" w:cs="Times New Roman"/>
          <w:b w:val="0"/>
          <w:bCs w:val="0"/>
          <w:sz w:val="32"/>
          <w:highlight w:val="none"/>
        </w:rPr>
        <w:t>要求</w:t>
      </w:r>
      <w:bookmarkEnd w:id="15"/>
      <w:bookmarkEnd w:id="1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服务要求是指采购标的需满足的服务标准、期限、效率等要求以及其他服务要求。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服务要求根据重要性分为“★”、“＃”和一般性指标。★代表实质性要求，不满足该指标项将导致投标被拒绝，＃代表重要性参数，无标识则表示一般指标项。</w:t>
      </w:r>
    </w:p>
    <w:tbl>
      <w:tblPr>
        <w:tblStyle w:val="22"/>
        <w:tblW w:w="85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1332"/>
        <w:gridCol w:w="849"/>
        <w:gridCol w:w="5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tcPr>
          <w:p>
            <w:pPr>
              <w:jc w:val="center"/>
              <w:rPr>
                <w:rFonts w:eastAsia="仿宋_GB2312"/>
                <w:b/>
                <w:bCs/>
                <w:sz w:val="24"/>
                <w:szCs w:val="22"/>
                <w:highlight w:val="none"/>
              </w:rPr>
            </w:pPr>
            <w:r>
              <w:rPr>
                <w:rFonts w:hAnsi="楷体" w:eastAsia="仿宋_GB2312"/>
                <w:b/>
                <w:bCs/>
                <w:sz w:val="24"/>
                <w:szCs w:val="22"/>
                <w:highlight w:val="none"/>
              </w:rPr>
              <w:t>序号</w:t>
            </w:r>
          </w:p>
        </w:tc>
        <w:tc>
          <w:tcPr>
            <w:tcW w:w="1332" w:type="dxa"/>
          </w:tcPr>
          <w:p>
            <w:pPr>
              <w:jc w:val="center"/>
              <w:rPr>
                <w:rFonts w:eastAsia="仿宋_GB2312"/>
                <w:b/>
                <w:bCs/>
                <w:sz w:val="24"/>
                <w:szCs w:val="22"/>
                <w:highlight w:val="none"/>
              </w:rPr>
            </w:pPr>
            <w:r>
              <w:rPr>
                <w:rFonts w:hAnsi="楷体" w:eastAsia="仿宋_GB2312"/>
                <w:b/>
                <w:bCs/>
                <w:sz w:val="24"/>
                <w:szCs w:val="22"/>
                <w:highlight w:val="none"/>
              </w:rPr>
              <w:t>服务要求项目</w:t>
            </w:r>
          </w:p>
        </w:tc>
        <w:tc>
          <w:tcPr>
            <w:tcW w:w="849" w:type="dxa"/>
          </w:tcPr>
          <w:p>
            <w:pPr>
              <w:jc w:val="center"/>
              <w:rPr>
                <w:rFonts w:eastAsia="仿宋_GB2312"/>
                <w:b/>
                <w:bCs/>
                <w:sz w:val="24"/>
                <w:szCs w:val="22"/>
                <w:highlight w:val="none"/>
              </w:rPr>
            </w:pPr>
            <w:r>
              <w:rPr>
                <w:rFonts w:hAnsi="楷体" w:eastAsia="仿宋_GB2312"/>
                <w:b/>
                <w:bCs/>
                <w:sz w:val="24"/>
                <w:szCs w:val="22"/>
                <w:highlight w:val="none"/>
              </w:rPr>
              <w:t>重要性</w:t>
            </w:r>
          </w:p>
        </w:tc>
        <w:tc>
          <w:tcPr>
            <w:tcW w:w="5730" w:type="dxa"/>
            <w:vAlign w:val="top"/>
          </w:tcPr>
          <w:p>
            <w:pPr>
              <w:jc w:val="center"/>
              <w:rPr>
                <w:rFonts w:eastAsia="仿宋_GB2312"/>
                <w:b/>
                <w:bCs/>
                <w:sz w:val="24"/>
                <w:szCs w:val="22"/>
                <w:highlight w:val="none"/>
              </w:rPr>
            </w:pPr>
            <w:r>
              <w:rPr>
                <w:rFonts w:hAnsi="楷体" w:eastAsia="仿宋_GB2312"/>
                <w:b/>
                <w:bCs/>
                <w:sz w:val="24"/>
                <w:szCs w:val="22"/>
                <w:highlight w:val="none"/>
              </w:rPr>
              <w:t>服务要求标准</w:t>
            </w:r>
          </w:p>
          <w:p>
            <w:pPr>
              <w:jc w:val="center"/>
              <w:rPr>
                <w:rFonts w:eastAsia="仿宋_GB2312"/>
                <w:b/>
                <w:bCs/>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619" w:type="dxa"/>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1</w:t>
            </w:r>
          </w:p>
        </w:tc>
        <w:tc>
          <w:tcPr>
            <w:tcW w:w="1332" w:type="dxa"/>
          </w:tcPr>
          <w:p>
            <w:pPr>
              <w:keepNext w:val="0"/>
              <w:keepLines w:val="0"/>
              <w:pageBreakBefore w:val="0"/>
              <w:kinsoku/>
              <w:wordWrap/>
              <w:overflowPunct/>
              <w:topLinePunct w:val="0"/>
              <w:autoSpaceDE/>
              <w:autoSpaceDN/>
              <w:bidi w:val="0"/>
              <w:adjustRightInd/>
              <w:snapToGrid/>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b w:val="0"/>
                <w:bCs w:val="0"/>
                <w:sz w:val="24"/>
                <w:szCs w:val="22"/>
                <w:highlight w:val="none"/>
                <w:lang w:eastAsia="zh-CN"/>
              </w:rPr>
              <w:t>产品要求</w:t>
            </w:r>
          </w:p>
        </w:tc>
        <w:tc>
          <w:tcPr>
            <w:tcW w:w="849" w:type="dxa"/>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4"/>
                <w:highlight w:val="none"/>
              </w:rPr>
            </w:pPr>
          </w:p>
        </w:tc>
        <w:tc>
          <w:tcPr>
            <w:tcW w:w="5730" w:type="dxa"/>
          </w:tcPr>
          <w:p>
            <w:pPr>
              <w:keepNext w:val="0"/>
              <w:keepLines w:val="0"/>
              <w:pageBreakBefore w:val="0"/>
              <w:kinsoku/>
              <w:wordWrap/>
              <w:overflowPunct/>
              <w:topLinePunct w:val="0"/>
              <w:autoSpaceDE/>
              <w:autoSpaceDN/>
              <w:bidi w:val="0"/>
              <w:adjustRightInd/>
              <w:snapToGrid/>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要求乙方必须对</w:t>
            </w:r>
            <w:r>
              <w:rPr>
                <w:rFonts w:hint="eastAsia" w:ascii="仿宋_GB2312" w:hAnsi="仿宋_GB2312" w:eastAsia="仿宋_GB2312" w:cs="仿宋_GB2312"/>
                <w:sz w:val="24"/>
                <w:szCs w:val="22"/>
                <w:highlight w:val="none"/>
                <w:lang w:val="en-US" w:eastAsia="zh-CN"/>
              </w:rPr>
              <w:t>本项目涉及的</w:t>
            </w:r>
            <w:r>
              <w:rPr>
                <w:rFonts w:hint="eastAsia" w:ascii="仿宋_GB2312" w:hAnsi="仿宋_GB2312" w:eastAsia="仿宋_GB2312" w:cs="仿宋_GB2312"/>
                <w:sz w:val="24"/>
                <w:szCs w:val="22"/>
                <w:highlight w:val="none"/>
              </w:rPr>
              <w:t>产品拥有完全的知识产权；使用非自身产品的，必须有原厂商对该产品的授权经销商或者有原厂商对本项目的书面授权。（第三方授权有关信息应明确告知甲方，包括被授权产品名称，授权方式，授权期限、授权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2</w:t>
            </w:r>
          </w:p>
        </w:tc>
        <w:tc>
          <w:tcPr>
            <w:tcW w:w="1332" w:type="dxa"/>
          </w:tcPr>
          <w:p>
            <w:pPr>
              <w:keepNext w:val="0"/>
              <w:keepLines w:val="0"/>
              <w:pageBreakBefore w:val="0"/>
              <w:kinsoku/>
              <w:wordWrap/>
              <w:overflowPunct/>
              <w:topLinePunct w:val="0"/>
              <w:autoSpaceDE/>
              <w:autoSpaceDN/>
              <w:bidi w:val="0"/>
              <w:adjustRightInd/>
              <w:snapToGrid/>
              <w:textAlignment w:val="auto"/>
              <w:rPr>
                <w:rFonts w:hint="eastAsia" w:ascii="仿宋_GB2312" w:hAnsi="仿宋_GB2312" w:eastAsia="仿宋_GB2312" w:cs="仿宋_GB2312"/>
                <w:kern w:val="2"/>
                <w:sz w:val="24"/>
                <w:szCs w:val="22"/>
                <w:highlight w:val="none"/>
              </w:rPr>
            </w:pPr>
            <w:r>
              <w:rPr>
                <w:rFonts w:hint="eastAsia" w:ascii="仿宋_GB2312" w:hAnsi="仿宋_GB2312" w:eastAsia="仿宋_GB2312" w:cs="仿宋_GB2312"/>
                <w:kern w:val="2"/>
                <w:sz w:val="24"/>
                <w:szCs w:val="22"/>
                <w:highlight w:val="none"/>
              </w:rPr>
              <w:t>故障处理</w:t>
            </w:r>
          </w:p>
        </w:tc>
        <w:tc>
          <w:tcPr>
            <w:tcW w:w="849" w:type="dxa"/>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4"/>
                <w:highlight w:val="none"/>
                <w:lang w:val="en-US" w:eastAsia="zh-CN"/>
              </w:rPr>
            </w:pPr>
          </w:p>
        </w:tc>
        <w:tc>
          <w:tcPr>
            <w:tcW w:w="5730" w:type="dxa"/>
          </w:tcPr>
          <w:p>
            <w:pPr>
              <w:pStyle w:val="6"/>
              <w:keepNext w:val="0"/>
              <w:keepLines w:val="0"/>
              <w:pageBreakBefore w:val="0"/>
              <w:widowControl/>
              <w:numPr>
                <w:ilvl w:val="-1"/>
                <w:numId w:val="0"/>
              </w:numPr>
              <w:kinsoku/>
              <w:wordWrap/>
              <w:overflowPunct/>
              <w:topLinePunct w:val="0"/>
              <w:autoSpaceDE/>
              <w:autoSpaceDN/>
              <w:bidi w:val="0"/>
              <w:adjustRightInd/>
              <w:snapToGrid/>
              <w:spacing w:after="0" w:line="240" w:lineRule="auto"/>
              <w:ind w:leftChars="0"/>
              <w:jc w:val="left"/>
              <w:textAlignment w:val="auto"/>
              <w:rPr>
                <w:rFonts w:hint="eastAsia"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rPr>
              <w:t>投标人通过标准化的操作流程进行软件的故障诊断和排除；配合其他条线进行故障处理。</w:t>
            </w:r>
          </w:p>
          <w:p>
            <w:pPr>
              <w:pStyle w:val="6"/>
              <w:keepNext w:val="0"/>
              <w:keepLines w:val="0"/>
              <w:pageBreakBefore w:val="0"/>
              <w:widowControl/>
              <w:numPr>
                <w:ilvl w:val="-1"/>
                <w:numId w:val="0"/>
              </w:numPr>
              <w:kinsoku/>
              <w:wordWrap/>
              <w:overflowPunct/>
              <w:topLinePunct w:val="0"/>
              <w:autoSpaceDE/>
              <w:autoSpaceDN/>
              <w:bidi w:val="0"/>
              <w:adjustRightInd/>
              <w:snapToGrid/>
              <w:spacing w:after="0" w:line="240" w:lineRule="auto"/>
              <w:ind w:leftChars="0"/>
              <w:jc w:val="left"/>
              <w:textAlignment w:val="auto"/>
              <w:rPr>
                <w:rFonts w:hint="eastAsia"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rPr>
              <w:t>响应时限：（小于1/4）小时</w:t>
            </w:r>
          </w:p>
          <w:p>
            <w:pPr>
              <w:pStyle w:val="6"/>
              <w:keepNext w:val="0"/>
              <w:keepLines w:val="0"/>
              <w:pageBreakBefore w:val="0"/>
              <w:widowControl/>
              <w:numPr>
                <w:ilvl w:val="-1"/>
                <w:numId w:val="0"/>
              </w:numPr>
              <w:kinsoku/>
              <w:wordWrap/>
              <w:overflowPunct/>
              <w:topLinePunct w:val="0"/>
              <w:autoSpaceDE/>
              <w:autoSpaceDN/>
              <w:bidi w:val="0"/>
              <w:adjustRightInd/>
              <w:snapToGrid/>
              <w:spacing w:after="0" w:line="240" w:lineRule="auto"/>
              <w:ind w:leftChars="0"/>
              <w:jc w:val="left"/>
              <w:textAlignment w:val="auto"/>
              <w:rPr>
                <w:rFonts w:hint="eastAsia"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rPr>
              <w:t>到达现场时限：（&lt;2）小时</w:t>
            </w:r>
          </w:p>
          <w:p>
            <w:pPr>
              <w:pStyle w:val="6"/>
              <w:keepNext w:val="0"/>
              <w:keepLines w:val="0"/>
              <w:pageBreakBefore w:val="0"/>
              <w:widowControl/>
              <w:numPr>
                <w:ilvl w:val="-1"/>
                <w:numId w:val="0"/>
              </w:numPr>
              <w:kinsoku/>
              <w:wordWrap/>
              <w:overflowPunct/>
              <w:topLinePunct w:val="0"/>
              <w:autoSpaceDE/>
              <w:autoSpaceDN/>
              <w:bidi w:val="0"/>
              <w:adjustRightInd/>
              <w:snapToGrid/>
              <w:spacing w:after="0" w:line="240" w:lineRule="auto"/>
              <w:ind w:leftChars="0"/>
              <w:jc w:val="left"/>
              <w:textAlignment w:val="auto"/>
              <w:rPr>
                <w:rFonts w:hint="eastAsia"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rPr>
              <w:t>解决问题时限：（&lt;4）小时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619" w:type="dxa"/>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3</w:t>
            </w:r>
          </w:p>
        </w:tc>
        <w:tc>
          <w:tcPr>
            <w:tcW w:w="1332" w:type="dxa"/>
          </w:tcPr>
          <w:p>
            <w:pPr>
              <w:keepNext w:val="0"/>
              <w:keepLines w:val="0"/>
              <w:pageBreakBefore w:val="0"/>
              <w:kinsoku/>
              <w:wordWrap/>
              <w:overflowPunct/>
              <w:topLinePunct w:val="0"/>
              <w:autoSpaceDE/>
              <w:autoSpaceDN/>
              <w:bidi w:val="0"/>
              <w:adjustRightInd/>
              <w:snapToGrid/>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lang w:eastAsia="zh-CN"/>
              </w:rPr>
              <w:t>总体要求</w:t>
            </w:r>
          </w:p>
        </w:tc>
        <w:tc>
          <w:tcPr>
            <w:tcW w:w="849" w:type="dxa"/>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lang w:val="en-US" w:eastAsia="zh-CN"/>
              </w:rPr>
            </w:pPr>
          </w:p>
        </w:tc>
        <w:tc>
          <w:tcPr>
            <w:tcW w:w="5730" w:type="dxa"/>
          </w:tcPr>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针对进出口银行业务特点阐述系统实施方法论，并结合方法论，描述完整、可行的系统整体技术方案</w:t>
            </w:r>
            <w:r>
              <w:rPr>
                <w:rFonts w:hint="eastAsia" w:ascii="仿宋_GB2312" w:hAnsi="仿宋_GB2312" w:eastAsia="仿宋_GB2312" w:cs="仿宋_GB2312"/>
                <w:sz w:val="24"/>
                <w:szCs w:val="22"/>
                <w:highlight w:val="none"/>
                <w:lang w:eastAsia="zh-CN"/>
              </w:rPr>
              <w:t>、</w:t>
            </w:r>
            <w:r>
              <w:rPr>
                <w:rFonts w:hint="eastAsia" w:ascii="仿宋_GB2312" w:hAnsi="仿宋_GB2312" w:eastAsia="仿宋_GB2312" w:cs="仿宋_GB2312"/>
                <w:sz w:val="24"/>
                <w:szCs w:val="22"/>
                <w:highlight w:val="none"/>
              </w:rPr>
              <w:t>实施方案，包括但不限于项目管理、需求确认、系统设计、系统开发、系统测试、系统切换、系统推广等方案，以及试运行策略。</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要求完成项目实施、测试及系统投产工作，并阐述系统的项目整体技术方案、实施方案、测试方案、系统投产方案，根据需要附相应模板。对于其中进出口银行有模板要求的交付件，应使用要求的模版进行编写。</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阐述项目实施的组织架构（其中应包含进出口银行人员），并描述实施预期的时间进度表，提供具有明确里程碑的项目实施计划。</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要求提供初步的验收测试计划以及充分的验收标准，并提供系统集成测试和投产测试的测试方案、测试案例和测试工具。</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厂商在本项目实施过程中，须服从进出口银行项目管理机构的管理。</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要求厂商提供本项目中所有交付物清单（包括但不限于项目文档、产品技术文档</w:t>
            </w:r>
            <w:r>
              <w:rPr>
                <w:rFonts w:hint="eastAsia" w:ascii="仿宋_GB2312" w:hAnsi="仿宋_GB2312" w:eastAsia="仿宋_GB2312" w:cs="仿宋_GB2312"/>
                <w:sz w:val="24"/>
                <w:szCs w:val="22"/>
                <w:highlight w:val="none"/>
                <w:lang w:eastAsia="zh-CN"/>
              </w:rPr>
              <w:t>（包括</w:t>
            </w:r>
            <w:r>
              <w:rPr>
                <w:rFonts w:hint="eastAsia" w:ascii="仿宋_GB2312" w:hAnsi="仿宋_GB2312" w:eastAsia="仿宋_GB2312" w:cs="仿宋_GB2312"/>
                <w:sz w:val="24"/>
                <w:szCs w:val="22"/>
                <w:highlight w:val="none"/>
                <w:lang w:val="en-US" w:eastAsia="zh-CN"/>
              </w:rPr>
              <w:t>平台/系统相关的接口和集成技术规范、UI设计规范等规范类文件，与整体技术方案一并纳入评审范围。如需外部专家参加评审的，乙方负责外部专家评审费用）</w:t>
            </w:r>
            <w:r>
              <w:rPr>
                <w:rFonts w:hint="eastAsia" w:ascii="仿宋_GB2312" w:hAnsi="仿宋_GB2312" w:eastAsia="仿宋_GB2312" w:cs="仿宋_GB2312"/>
                <w:sz w:val="24"/>
                <w:szCs w:val="22"/>
                <w:highlight w:val="none"/>
              </w:rPr>
              <w:t>、用户手册和系统管理手册）。</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阐述系统故障应急预案，确保系统在突发状况后能够及时发现，补救，恢复。</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如有涉及第三方产品及服务，阐述相关产品及服务内容，报价及后期维护方式和费用。</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在技术方案评审阶段，提供软件物料清单（SBOM），如涉及开源软件引入和使用的，应按照甲方要求开展引入评审和使用备案后方可使用。提供后续对开源软件的维护及升级支持，纳入维保范围。</w:t>
            </w:r>
          </w:p>
          <w:p>
            <w:pPr>
              <w:pStyle w:val="6"/>
              <w:keepNext w:val="0"/>
              <w:keepLines w:val="0"/>
              <w:pageBreakBefore w:val="0"/>
              <w:kinsoku/>
              <w:wordWrap/>
              <w:overflowPunct/>
              <w:topLinePunct w:val="0"/>
              <w:autoSpaceDE/>
              <w:autoSpaceDN/>
              <w:bidi w:val="0"/>
              <w:adjustRightInd/>
              <w:snapToGrid/>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项目所涉及系统的新建及升级改造应遵循甲方企业级架构原则进行系统设计，制定系统架构方案。包括但不限于按照我行联机、批量、消息等接口标准与行内系统进行交互；可对接我行统一的用户认证系统，平台内部应用实现单点登录功能；Web页面应基于chrome内核浏览器进行开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0" w:hRule="atLeast"/>
        </w:trPr>
        <w:tc>
          <w:tcPr>
            <w:tcW w:w="619" w:type="dxa"/>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4</w:t>
            </w:r>
          </w:p>
        </w:tc>
        <w:tc>
          <w:tcPr>
            <w:tcW w:w="1332" w:type="dxa"/>
          </w:tcPr>
          <w:p>
            <w:pPr>
              <w:keepNext w:val="0"/>
              <w:keepLines w:val="0"/>
              <w:pageBreakBefore w:val="0"/>
              <w:kinsoku/>
              <w:wordWrap/>
              <w:overflowPunct/>
              <w:topLinePunct w:val="0"/>
              <w:autoSpaceDE/>
              <w:autoSpaceDN/>
              <w:bidi w:val="0"/>
              <w:adjustRightInd/>
              <w:snapToGrid/>
              <w:jc w:val="left"/>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sz w:val="24"/>
                <w:szCs w:val="22"/>
                <w:highlight w:val="none"/>
                <w:lang w:eastAsia="zh-CN"/>
              </w:rPr>
              <w:t>项目实施要求</w:t>
            </w:r>
          </w:p>
        </w:tc>
        <w:tc>
          <w:tcPr>
            <w:tcW w:w="849" w:type="dxa"/>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rPr>
            </w:pPr>
          </w:p>
        </w:tc>
        <w:tc>
          <w:tcPr>
            <w:tcW w:w="5730" w:type="dxa"/>
          </w:tcPr>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以下列出了本项目实施过程中重要的实施任务，</w:t>
            </w:r>
            <w:r>
              <w:rPr>
                <w:rFonts w:hint="eastAsia" w:ascii="仿宋_GB2312" w:hAnsi="仿宋_GB2312" w:eastAsia="仿宋_GB2312" w:cs="仿宋_GB2312"/>
                <w:sz w:val="24"/>
                <w:szCs w:val="22"/>
                <w:highlight w:val="none"/>
                <w:lang w:val="en-US" w:eastAsia="zh-CN"/>
              </w:rPr>
              <w:t>乙方</w:t>
            </w:r>
            <w:r>
              <w:rPr>
                <w:rFonts w:hint="eastAsia" w:ascii="仿宋_GB2312" w:hAnsi="仿宋_GB2312" w:eastAsia="仿宋_GB2312" w:cs="仿宋_GB2312"/>
                <w:sz w:val="24"/>
                <w:szCs w:val="22"/>
                <w:highlight w:val="none"/>
              </w:rPr>
              <w:t>应承诺完成所有实施任务，并遵守其中相关约定。相关要求参照项目工作说明书。</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（一）项目管理</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负责制定项目计划，并按照进出口银行的要求进行必要的调整。监督和控制项目进度。</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lang w:eastAsia="zh-CN"/>
              </w:rPr>
              <w:t>负责</w:t>
            </w:r>
            <w:r>
              <w:rPr>
                <w:rFonts w:hint="eastAsia" w:ascii="仿宋_GB2312" w:hAnsi="仿宋_GB2312" w:eastAsia="仿宋_GB2312" w:cs="仿宋_GB2312"/>
                <w:sz w:val="24"/>
                <w:szCs w:val="22"/>
                <w:highlight w:val="none"/>
              </w:rPr>
              <w:t>管理安排项目资源。</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负责管理分包商/供应商（如适用）在项目的各项任务执行、人力资源、相互工作配合与交付承诺。</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负责管理项目范围和需求变更，并协调变更要求的签署。</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负责实施项目配置和交付管理以及项目质量管理。</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负责项目问题管理和项目风险管理。</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负责与进出口银行进行沟通并按照要求进行工作报告。</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（二）业务功能分析和设计</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负责对本项目需求梳理细化。</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负责业务需求差异分析和评估。</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负责业务功能分析和制定。</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负责编写需求规格说明书。</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负责提出与周边系统的集成解决方案。</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负责系统配置设计、界面设计、扩展功能开发设计、数据转换设计等。</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（三）技术架构分析和设计</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负责制定项目软硬件、网络等技术架构方案，负责设计网络结构、设计硬件和主机系统结构、设计数据库结构、设计存储结构、设计备份和灾难恢复结构、以及必要的分支机构设备规格与分支机构环境。</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负责制定运维管理方案。</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负责分析接口定义并提出技术实现方案。</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负责评估与进出口银行总体技术架构的差异，并编写技术规格说明书。</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负责提出开发与测试环境的构建方案。</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负责提出生产环境的构建方案。</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负责编写技术设计说明书。</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（四）业务功能构建</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负责提出参数配置模版及配置方案。</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负责进行客户化部分的详细设计，并编写详细设计说明书。</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负责接口开发、扩展功能开发、数据转换开发。</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负责计划、准备与执行单元测试。</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负责确认单元测试结果并提交单元测试报告。</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（五）技术架构构建</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负责指派环境管理负责人，并负责开发环境的管理。</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负责测试环境的构建与确认。</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负责就测试环境管理流程和制度与进出口银行达成一致。</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负责进行测试环境下的应用系统的安装和配置。</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（六）产品测试和性能测试</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负责产品测试的计划、准备和执行。</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负责系统修补，并完成产品测试报告。</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负责性能测试的计划、准备和执行。</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负责系统调优和进一步的性能测试，并负责完成性能测试报告。</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（七）系统集成测试</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负责提出系统集成测试计划和方案。</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负责完成系统集成测试案例、测试脚本以及相关的测试数据。</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负责在进出口银行统一管理下执行系统集成测试，进行系统修补和必要的回归测试。</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负责完成相应的系统集成测试报告。</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（八）用户验收测试</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协助提出用户验收测试计划和方案。</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协助准备用户验收测试案例、测试脚本和测试数据。</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协助执行用户验收测试。</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负责系统修补。</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协助进行回归测试、协助完成用户验收测试报告。</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（九）投产和推广（包括投产、试运行、正式运行、最终验收）</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根据需要负责制定上线演练计划和方案。</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负责制定投产演练方案、运维测试方案，负责运维培训，配合行方完成投产演练和运维测试工作。</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在进出口银行统一管理下执行上线演练。</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负责制定投产上线范围、制定系统（数据、业务）投产上线计划。</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负责制定投产上线操作方案、流程和策略，并制定应急和恢复方案。</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负责制定试运行方案、流程和策略，并制定应急和恢复方案。</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协助进出口银行进行推广文档编制。</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协助进出口银行完成投产上线。</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支持系统试运行工作。</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协助进出口银行完成系统最终验收。</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（十）第三方测试（如进出口银行安排第三方测试）</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负责准备测试对象的搭建及调试。</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负责按第三方测试要求准备测试数据。</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为第三方测试提供技术支持。</w:t>
            </w:r>
          </w:p>
          <w:p>
            <w:pPr>
              <w:pStyle w:val="6"/>
              <w:keepNext w:val="0"/>
              <w:keepLines w:val="0"/>
              <w:pageBreakBefore w:val="0"/>
              <w:kinsoku/>
              <w:wordWrap/>
              <w:overflowPunct/>
              <w:topLinePunct w:val="0"/>
              <w:autoSpaceDE/>
              <w:autoSpaceDN/>
              <w:bidi w:val="0"/>
              <w:adjustRightInd/>
              <w:snapToGrid/>
              <w:textAlignment w:val="auto"/>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负责缺陷修复。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2" w:hRule="atLeast"/>
        </w:trPr>
        <w:tc>
          <w:tcPr>
            <w:tcW w:w="619" w:type="dxa"/>
            <w:vAlign w:val="top"/>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2"/>
                <w:highlight w:val="none"/>
                <w:lang w:val="en-US" w:eastAsia="zh-CN" w:bidi="ar-SA"/>
              </w:rPr>
            </w:pPr>
            <w:r>
              <w:rPr>
                <w:rFonts w:hint="eastAsia" w:ascii="仿宋_GB2312" w:hAnsi="仿宋_GB2312" w:eastAsia="仿宋_GB2312" w:cs="仿宋_GB2312"/>
                <w:sz w:val="24"/>
                <w:szCs w:val="22"/>
                <w:highlight w:val="none"/>
                <w:lang w:val="en-US" w:eastAsia="zh-CN"/>
              </w:rPr>
              <w:t>5</w:t>
            </w:r>
          </w:p>
        </w:tc>
        <w:tc>
          <w:tcPr>
            <w:tcW w:w="1332" w:type="dxa"/>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kern w:val="2"/>
                <w:sz w:val="24"/>
                <w:szCs w:val="22"/>
                <w:highlight w:val="none"/>
                <w:lang w:val="en-US" w:eastAsia="zh-CN" w:bidi="ar-SA"/>
              </w:rPr>
            </w:pPr>
            <w:r>
              <w:rPr>
                <w:rFonts w:hint="eastAsia" w:ascii="仿宋_GB2312" w:hAnsi="仿宋_GB2312" w:eastAsia="仿宋_GB2312" w:cs="仿宋_GB2312"/>
                <w:sz w:val="24"/>
                <w:szCs w:val="22"/>
                <w:highlight w:val="none"/>
              </w:rPr>
              <w:t>源代码安全要求</w:t>
            </w:r>
          </w:p>
        </w:tc>
        <w:tc>
          <w:tcPr>
            <w:tcW w:w="849" w:type="dxa"/>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sz w:val="24"/>
                <w:szCs w:val="24"/>
                <w:highlight w:val="none"/>
              </w:rPr>
              <w:t>★</w:t>
            </w:r>
          </w:p>
        </w:tc>
        <w:tc>
          <w:tcPr>
            <w:tcW w:w="5730" w:type="dxa"/>
            <w:vAlign w:val="top"/>
          </w:tcPr>
          <w:p>
            <w:pPr>
              <w:pStyle w:val="6"/>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仿宋_GB2312" w:hAnsi="仿宋_GB2312" w:eastAsia="仿宋_GB2312" w:cs="仿宋_GB2312"/>
                <w:kern w:val="2"/>
                <w:sz w:val="24"/>
                <w:szCs w:val="22"/>
                <w:highlight w:val="none"/>
                <w:lang w:val="en-US" w:eastAsia="zh-CN" w:bidi="ar-SA"/>
              </w:rPr>
            </w:pPr>
            <w:r>
              <w:rPr>
                <w:rFonts w:hint="eastAsia" w:ascii="仿宋_GB2312" w:hAnsi="仿宋_GB2312" w:eastAsia="仿宋_GB2312" w:cs="仿宋_GB2312"/>
                <w:sz w:val="24"/>
                <w:szCs w:val="22"/>
                <w:highlight w:val="none"/>
              </w:rPr>
              <w:t>供应商应确保我行享有对核心产品软件系统拥有永久的、不可撤销的、不可转让的修改权、复制权及其他使用权，以及对客户化软件及核心产品软件系统中客户化部分的全部知识产权。为实现上述目的，供应商应向我行提供：1. 客户化软件及核心产品软件系统中客户化部分的的目标程序及全部源代码；2. 核心产品软件的目标程序</w:t>
            </w:r>
            <w:r>
              <w:rPr>
                <w:rFonts w:hint="default" w:ascii="Times New Roman" w:hAnsi="Times New Roman" w:eastAsia="仿宋_GB2312"/>
                <w:sz w:val="24"/>
                <w:szCs w:val="22"/>
                <w:highlight w:val="none"/>
              </w:rPr>
              <w:t>及全部源代码</w:t>
            </w:r>
            <w:r>
              <w:rPr>
                <w:rFonts w:hint="eastAsia" w:ascii="Times New Roman" w:hAnsi="Times New Roman" w:eastAsia="仿宋_GB2312"/>
                <w:sz w:val="24"/>
                <w:szCs w:val="22"/>
                <w:highlight w:val="none"/>
                <w:lang w:eastAsia="zh-CN"/>
              </w:rPr>
              <w:t>、</w:t>
            </w:r>
            <w:r>
              <w:rPr>
                <w:rFonts w:hint="eastAsia" w:ascii="仿宋_GB2312" w:hAnsi="仿宋_GB2312" w:eastAsia="仿宋_GB2312" w:cs="仿宋_GB2312"/>
                <w:sz w:val="24"/>
                <w:szCs w:val="22"/>
                <w:highlight w:val="none"/>
              </w:rPr>
              <w:t>开发接口</w:t>
            </w:r>
            <w:r>
              <w:rPr>
                <w:rFonts w:hint="eastAsia" w:ascii="仿宋_GB2312" w:hAnsi="仿宋_GB2312" w:eastAsia="仿宋_GB2312" w:cs="仿宋_GB2312"/>
                <w:sz w:val="24"/>
                <w:szCs w:val="22"/>
                <w:highlight w:val="none"/>
                <w:lang w:eastAsia="zh-CN"/>
              </w:rPr>
              <w:t>、</w:t>
            </w:r>
            <w:r>
              <w:rPr>
                <w:rFonts w:hint="eastAsia" w:ascii="仿宋_GB2312" w:hAnsi="仿宋_GB2312" w:eastAsia="仿宋_GB2312" w:cs="仿宋_GB2312"/>
                <w:sz w:val="24"/>
                <w:szCs w:val="22"/>
                <w:highlight w:val="none"/>
              </w:rPr>
              <w:t>操作文档等资料。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tcPr>
          <w:p>
            <w:pPr>
              <w:keepNext w:val="0"/>
              <w:keepLines w:val="0"/>
              <w:pageBreakBefore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6</w:t>
            </w:r>
          </w:p>
        </w:tc>
        <w:tc>
          <w:tcPr>
            <w:tcW w:w="1332" w:type="dxa"/>
          </w:tcPr>
          <w:p>
            <w:pPr>
              <w:keepNext w:val="0"/>
              <w:keepLines w:val="0"/>
              <w:pageBreakBefore w:val="0"/>
              <w:kinsoku/>
              <w:wordWrap/>
              <w:overflowPunct/>
              <w:topLinePunct w:val="0"/>
              <w:autoSpaceDE/>
              <w:autoSpaceDN/>
              <w:bidi w:val="0"/>
              <w:adjustRightInd/>
              <w:snapToGrid/>
              <w:textAlignment w:val="auto"/>
              <w:rPr>
                <w:rFonts w:hint="eastAsia" w:ascii="仿宋_GB2312" w:hAnsi="仿宋_GB2312" w:eastAsia="仿宋_GB2312" w:cs="仿宋_GB2312"/>
                <w:sz w:val="24"/>
                <w:szCs w:val="22"/>
                <w:highlight w:val="none"/>
                <w:lang w:eastAsia="zh-CN"/>
              </w:rPr>
            </w:pPr>
            <w:r>
              <w:rPr>
                <w:rFonts w:hint="eastAsia" w:ascii="仿宋_GB2312" w:hAnsi="仿宋_GB2312" w:eastAsia="仿宋_GB2312" w:cs="仿宋_GB2312"/>
                <w:kern w:val="2"/>
                <w:sz w:val="24"/>
                <w:szCs w:val="22"/>
                <w:highlight w:val="none"/>
              </w:rPr>
              <w:t>培训及知识转移要求</w:t>
            </w:r>
          </w:p>
        </w:tc>
        <w:tc>
          <w:tcPr>
            <w:tcW w:w="849" w:type="dxa"/>
          </w:tcPr>
          <w:p>
            <w:pPr>
              <w:keepNext w:val="0"/>
              <w:keepLines w:val="0"/>
              <w:pageBreakBefore w:val="0"/>
              <w:kinsoku/>
              <w:wordWrap/>
              <w:overflowPunct/>
              <w:topLinePunct w:val="0"/>
              <w:autoSpaceDE/>
              <w:autoSpaceDN/>
              <w:bidi w:val="0"/>
              <w:adjustRightInd/>
              <w:snapToGrid/>
              <w:textAlignment w:val="auto"/>
              <w:rPr>
                <w:rFonts w:hint="eastAsia" w:ascii="仿宋_GB2312" w:hAnsi="仿宋_GB2312" w:eastAsia="仿宋_GB2312" w:cs="仿宋_GB2312"/>
                <w:sz w:val="24"/>
                <w:szCs w:val="22"/>
                <w:highlight w:val="none"/>
                <w:lang w:val="en-US" w:eastAsia="zh-CN"/>
              </w:rPr>
            </w:pPr>
          </w:p>
        </w:tc>
        <w:tc>
          <w:tcPr>
            <w:tcW w:w="5730" w:type="dxa"/>
          </w:tcPr>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rPr>
              <w:t>（一）培训对象：培训对象包括进出口银行的开发人员、系统运行维护管理人员，以及其他相关人员。</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rPr>
              <w:t>（二）培训目标：通过培训，应使上述人员掌握系统提供的内容和功能，以及使用权限划分与操作方式。</w:t>
            </w:r>
          </w:p>
          <w:p>
            <w:pPr>
              <w:pStyle w:val="6"/>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rPr>
              <w:t>（三）培训内容：</w:t>
            </w:r>
            <w:r>
              <w:rPr>
                <w:rFonts w:hint="eastAsia" w:ascii="仿宋_GB2312" w:hAnsi="仿宋_GB2312" w:eastAsia="仿宋_GB2312" w:cs="仿宋_GB2312"/>
                <w:sz w:val="24"/>
                <w:szCs w:val="22"/>
                <w:highlight w:val="none"/>
                <w:lang w:val="en-US" w:eastAsia="zh-CN"/>
              </w:rPr>
              <w:t>乙方</w:t>
            </w:r>
            <w:r>
              <w:rPr>
                <w:rFonts w:hint="eastAsia" w:ascii="仿宋_GB2312" w:hAnsi="仿宋_GB2312" w:eastAsia="仿宋_GB2312" w:cs="仿宋_GB2312"/>
                <w:sz w:val="24"/>
                <w:szCs w:val="22"/>
                <w:highlight w:val="none"/>
                <w:lang w:val="en-US"/>
              </w:rPr>
              <w:t>应具有知识和技术转移的意愿，并阐述详细的实际措施，以对项目实施阶段的参与者及项目最终的使用和运维团队进行全面、有效的知识转移。</w:t>
            </w:r>
            <w:r>
              <w:rPr>
                <w:rFonts w:hint="eastAsia" w:ascii="仿宋_GB2312" w:hAnsi="仿宋_GB2312" w:eastAsia="仿宋_GB2312" w:cs="仿宋_GB2312"/>
                <w:sz w:val="24"/>
                <w:szCs w:val="22"/>
                <w:highlight w:val="none"/>
                <w:lang w:val="en-US" w:eastAsia="zh-CN"/>
              </w:rPr>
              <w:t>乙方</w:t>
            </w:r>
            <w:r>
              <w:rPr>
                <w:rFonts w:hint="eastAsia" w:ascii="仿宋_GB2312" w:hAnsi="仿宋_GB2312" w:eastAsia="仿宋_GB2312" w:cs="仿宋_GB2312"/>
                <w:sz w:val="24"/>
                <w:szCs w:val="22"/>
                <w:highlight w:val="none"/>
                <w:lang w:val="en-US"/>
              </w:rPr>
              <w:t>需向进出口银行提供系统在配置、开发、安装、使用、监控和维护等方面的培训。</w:t>
            </w:r>
            <w:r>
              <w:rPr>
                <w:rFonts w:hint="eastAsia" w:ascii="仿宋_GB2312" w:hAnsi="仿宋_GB2312" w:eastAsia="仿宋_GB2312" w:cs="仿宋_GB2312"/>
                <w:sz w:val="24"/>
                <w:szCs w:val="22"/>
                <w:highlight w:val="none"/>
                <w:lang w:val="en-US" w:eastAsia="zh-CN"/>
              </w:rPr>
              <w:t>乙方</w:t>
            </w:r>
            <w:r>
              <w:rPr>
                <w:rFonts w:hint="eastAsia" w:ascii="仿宋_GB2312" w:hAnsi="仿宋_GB2312" w:eastAsia="仿宋_GB2312" w:cs="仿宋_GB2312"/>
                <w:sz w:val="24"/>
                <w:szCs w:val="22"/>
                <w:highlight w:val="none"/>
                <w:lang w:val="en-US"/>
              </w:rPr>
              <w:t>须详细列出各阶段培训的服务清单和培训费用，服务清单包括培训内容、授课方式、培训对象、时间计划安排和培训反馈处理等，对项目实施阶段的参与者及项目最终的使用和运维团队进行全面、有效的知识转移，确保进出口银行形成一支熟悉系统运用和维护的专家队伍。</w:t>
            </w:r>
          </w:p>
          <w:p>
            <w:pPr>
              <w:pStyle w:val="6"/>
              <w:keepNext w:val="0"/>
              <w:keepLines w:val="0"/>
              <w:pageBreakBefore w:val="0"/>
              <w:widowControl/>
              <w:numPr>
                <w:ilvl w:val="-1"/>
                <w:numId w:val="0"/>
              </w:numPr>
              <w:kinsoku/>
              <w:wordWrap/>
              <w:overflowPunct/>
              <w:topLinePunct w:val="0"/>
              <w:autoSpaceDE/>
              <w:autoSpaceDN/>
              <w:bidi w:val="0"/>
              <w:adjustRightInd/>
              <w:snapToGrid/>
              <w:spacing w:after="0" w:line="240" w:lineRule="auto"/>
              <w:ind w:leftChars="0"/>
              <w:jc w:val="left"/>
              <w:textAlignment w:val="auto"/>
              <w:rPr>
                <w:rFonts w:hint="eastAsia"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rPr>
              <w:t>（四）培训材料：</w:t>
            </w:r>
            <w:r>
              <w:rPr>
                <w:rFonts w:hint="eastAsia" w:ascii="仿宋_GB2312" w:hAnsi="仿宋_GB2312" w:eastAsia="仿宋_GB2312" w:cs="仿宋_GB2312"/>
                <w:sz w:val="24"/>
                <w:szCs w:val="22"/>
                <w:highlight w:val="none"/>
                <w:lang w:val="en-US" w:eastAsia="zh-CN"/>
              </w:rPr>
              <w:t>乙方</w:t>
            </w:r>
            <w:r>
              <w:rPr>
                <w:rFonts w:hint="eastAsia" w:ascii="仿宋_GB2312" w:hAnsi="仿宋_GB2312" w:eastAsia="仿宋_GB2312" w:cs="仿宋_GB2312"/>
                <w:sz w:val="24"/>
                <w:szCs w:val="22"/>
                <w:highlight w:val="none"/>
                <w:lang w:val="en-US"/>
              </w:rPr>
              <w:t>为所有被培训人员提供完备的文字资料（书面及电子版）和讲义（书面及电子版）等相关用品。</w:t>
            </w:r>
          </w:p>
        </w:tc>
      </w:tr>
    </w:tbl>
    <w:p>
      <w:pPr>
        <w:pStyle w:val="20"/>
        <w:pageBreakBefore w:val="0"/>
        <w:numPr>
          <w:ilvl w:val="0"/>
          <w:numId w:val="1"/>
        </w:numPr>
        <w:kinsoku/>
        <w:overflowPunct/>
        <w:topLinePunct w:val="0"/>
        <w:autoSpaceDE/>
        <w:autoSpaceDN/>
        <w:bidi w:val="0"/>
        <w:adjustRightInd w:val="0"/>
        <w:snapToGrid/>
        <w:spacing w:before="0" w:beforeLines="0" w:after="0" w:afterLines="0" w:line="560" w:lineRule="exact"/>
        <w:ind w:left="0" w:leftChars="0" w:firstLine="640" w:firstLineChars="200"/>
        <w:textAlignment w:val="baseline"/>
        <w:outlineLvl w:val="0"/>
        <w:rPr>
          <w:rFonts w:ascii="Times New Roman" w:hAnsi="黑体" w:eastAsia="黑体" w:cs="Times New Roman"/>
          <w:b w:val="0"/>
          <w:bCs w:val="0"/>
          <w:color w:val="auto"/>
          <w:sz w:val="32"/>
          <w:highlight w:val="none"/>
        </w:rPr>
      </w:pPr>
      <w:bookmarkStart w:id="17" w:name="_Toc26244"/>
      <w:bookmarkStart w:id="18" w:name="_Toc29694"/>
      <w:bookmarkStart w:id="19" w:name="_Toc25497"/>
      <w:r>
        <w:rPr>
          <w:rFonts w:ascii="Times New Roman" w:hAnsi="黑体" w:eastAsia="黑体" w:cs="Times New Roman"/>
          <w:b w:val="0"/>
          <w:bCs w:val="0"/>
          <w:color w:val="auto"/>
          <w:sz w:val="32"/>
          <w:highlight w:val="none"/>
        </w:rPr>
        <w:t>项目团队要求</w:t>
      </w:r>
      <w:bookmarkEnd w:id="17"/>
      <w:bookmarkEnd w:id="18"/>
      <w:bookmarkEnd w:id="1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bookmarkStart w:id="20" w:name="_Toc8495"/>
      <w:r>
        <w:rPr>
          <w:rFonts w:hint="eastAsia" w:ascii="仿宋_GB2312" w:hAnsi="仿宋_GB2312" w:eastAsia="仿宋_GB2312" w:cs="仿宋_GB2312"/>
          <w:sz w:val="32"/>
          <w:szCs w:val="32"/>
          <w:highlight w:val="none"/>
          <w:lang w:val="en-US" w:eastAsia="zh-CN"/>
        </w:rPr>
        <w:t>派驻具有相关资质、技能和经验的技术服务人员，提供所需的信息技术服务。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（一）在人员供给方面，应高效及时提供满足甲方要求的高质量人力资源，并且公司应该具备此类人力资源的储备，保证满足甲方的服务人员更换和增加需求。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（二）在人员稳定性方面，应有效保障现场服务队伍的稳定性，实现较低的员工流失率，无特殊原因，不得无故更换服务人员，以确保服务质量，如更换服务人员应提前1个月通知，并完成工作交接。</w:t>
      </w:r>
    </w:p>
    <w:p>
      <w:pPr>
        <w:pStyle w:val="10"/>
        <w:rPr>
          <w:rFonts w:hint="eastAsia"/>
        </w:rPr>
      </w:pPr>
    </w:p>
    <w:tbl>
      <w:tblPr>
        <w:tblStyle w:val="22"/>
        <w:tblW w:w="8533" w:type="dxa"/>
        <w:tblInd w:w="-107" w:type="dxa"/>
        <w:tblLayout w:type="fixed"/>
        <w:tblCellMar>
          <w:top w:w="0" w:type="dxa"/>
          <w:left w:w="108" w:type="dxa"/>
          <w:bottom w:w="0" w:type="dxa"/>
          <w:right w:w="108" w:type="dxa"/>
        </w:tblCellMar>
      </w:tblPr>
      <w:tblGrid>
        <w:gridCol w:w="1280"/>
        <w:gridCol w:w="807"/>
        <w:gridCol w:w="3043"/>
        <w:gridCol w:w="3403"/>
      </w:tblGrid>
      <w:tr>
        <w:tblPrEx>
          <w:tblCellMar>
            <w:top w:w="0" w:type="dxa"/>
            <w:left w:w="108" w:type="dxa"/>
            <w:bottom w:w="0" w:type="dxa"/>
            <w:right w:w="108" w:type="dxa"/>
          </w:tblCellMar>
        </w:tblPrEx>
        <w:trPr>
          <w:trHeight w:val="404" w:hRule="atLeast"/>
        </w:trPr>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autoSpaceDE/>
              <w:autoSpaceDN/>
              <w:bidi w:val="0"/>
              <w:snapToGrid/>
              <w:spacing w:line="240" w:lineRule="auto"/>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岗位名称</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autoSpaceDE/>
              <w:autoSpaceDN/>
              <w:bidi w:val="0"/>
              <w:snapToGrid/>
              <w:spacing w:line="240" w:lineRule="auto"/>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人数</w:t>
            </w:r>
          </w:p>
        </w:tc>
        <w:tc>
          <w:tcPr>
            <w:tcW w:w="3043"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autoSpaceDE/>
              <w:autoSpaceDN/>
              <w:bidi w:val="0"/>
              <w:snapToGrid/>
              <w:spacing w:line="240" w:lineRule="auto"/>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工作内容</w:t>
            </w:r>
          </w:p>
        </w:tc>
        <w:tc>
          <w:tcPr>
            <w:tcW w:w="3403" w:type="dxa"/>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kinsoku/>
              <w:overflowPunct/>
              <w:topLinePunct w:val="0"/>
              <w:autoSpaceDE/>
              <w:autoSpaceDN/>
              <w:bidi w:val="0"/>
              <w:snapToGrid/>
              <w:spacing w:line="240" w:lineRule="auto"/>
              <w:jc w:val="center"/>
              <w:rPr>
                <w:rFonts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资质和经验要求</w:t>
            </w:r>
          </w:p>
        </w:tc>
      </w:tr>
      <w:tr>
        <w:tblPrEx>
          <w:tblCellMar>
            <w:top w:w="0" w:type="dxa"/>
            <w:left w:w="108" w:type="dxa"/>
            <w:bottom w:w="0" w:type="dxa"/>
            <w:right w:w="108" w:type="dxa"/>
          </w:tblCellMar>
        </w:tblPrEx>
        <w:trPr>
          <w:trHeight w:val="50" w:hRule="atLeast"/>
        </w:trPr>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项目经理</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lang w:val="en-US" w:eastAsia="zh-CN"/>
              </w:rPr>
              <w:t>资深或高级</w:t>
            </w:r>
            <w:r>
              <w:rPr>
                <w:rFonts w:hint="eastAsia" w:ascii="仿宋_GB2312" w:hAnsi="仿宋_GB2312" w:eastAsia="仿宋_GB2312" w:cs="仿宋_GB2312"/>
                <w:sz w:val="24"/>
                <w:szCs w:val="24"/>
                <w:highlight w:val="none"/>
                <w:lang w:eastAsia="zh-CN"/>
              </w:rPr>
              <w:t>）</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1人</w:t>
            </w:r>
          </w:p>
        </w:tc>
        <w:tc>
          <w:tcPr>
            <w:tcW w:w="30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Ansi="楷体" w:eastAsia="仿宋_GB2312"/>
                <w:sz w:val="24"/>
                <w:szCs w:val="24"/>
                <w:highlight w:val="none"/>
              </w:rPr>
            </w:pPr>
            <w:r>
              <w:rPr>
                <w:rFonts w:hAnsi="楷体" w:eastAsia="仿宋_GB2312"/>
                <w:sz w:val="24"/>
                <w:szCs w:val="24"/>
                <w:highlight w:val="none"/>
              </w:rPr>
              <w:t>负责项目的整体控制和协调，保证工程的进度、质量、保密。负责项目合作协议的签订、合同签订以及工程总体验收；</w:t>
            </w:r>
          </w:p>
          <w:p>
            <w:pPr>
              <w:rPr>
                <w:rFonts w:hint="eastAsia" w:ascii="仿宋_GB2312" w:hAnsi="仿宋_GB2312" w:eastAsia="仿宋_GB2312" w:cs="仿宋_GB2312"/>
                <w:sz w:val="24"/>
                <w:szCs w:val="24"/>
                <w:highlight w:val="none"/>
              </w:rPr>
            </w:pPr>
            <w:r>
              <w:rPr>
                <w:rFonts w:hAnsi="楷体" w:eastAsia="仿宋_GB2312"/>
                <w:sz w:val="24"/>
                <w:szCs w:val="24"/>
                <w:highlight w:val="none"/>
              </w:rPr>
              <w:t>负责制定项目详细进度计划，并监督执行定期核查项目基线，保障项目保质保量按期执行任务的顺利完成。</w:t>
            </w:r>
          </w:p>
        </w:tc>
        <w:tc>
          <w:tcPr>
            <w:tcW w:w="340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具备</w:t>
            </w:r>
            <w:r>
              <w:rPr>
                <w:rFonts w:hint="eastAsia" w:ascii="仿宋_GB2312" w:hAnsi="仿宋_GB2312" w:eastAsia="仿宋_GB2312" w:cs="仿宋_GB2312"/>
                <w:sz w:val="24"/>
                <w:szCs w:val="24"/>
                <w:highlight w:val="none"/>
                <w:lang w:val="en-US" w:eastAsia="zh-CN"/>
              </w:rPr>
              <w:t>本科</w:t>
            </w:r>
            <w:r>
              <w:rPr>
                <w:rFonts w:hint="eastAsia" w:ascii="仿宋_GB2312" w:hAnsi="仿宋_GB2312" w:eastAsia="仿宋_GB2312" w:cs="仿宋_GB2312"/>
                <w:sz w:val="24"/>
                <w:szCs w:val="24"/>
                <w:highlight w:val="none"/>
              </w:rPr>
              <w:t>及以上学历；</w:t>
            </w:r>
          </w:p>
          <w:p>
            <w:pP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r>
              <w:rPr>
                <w:rFonts w:hint="eastAsia" w:ascii="仿宋_GB2312" w:hAnsi="仿宋_GB2312" w:eastAsia="仿宋_GB2312" w:cs="仿宋_GB2312"/>
                <w:sz w:val="24"/>
                <w:szCs w:val="24"/>
                <w:highlight w:val="none"/>
                <w:lang w:val="en-US" w:eastAsia="zh-CN"/>
              </w:rPr>
              <w:t>熟悉二代征信查询系统架构、业务处理逻辑、上下游系统数据的关联关系</w:t>
            </w:r>
            <w:r>
              <w:rPr>
                <w:rFonts w:hint="eastAsia" w:ascii="仿宋_GB2312" w:hAnsi="仿宋_GB2312" w:eastAsia="仿宋_GB2312" w:cs="仿宋_GB2312"/>
                <w:sz w:val="24"/>
                <w:szCs w:val="24"/>
                <w:highlight w:val="none"/>
              </w:rPr>
              <w:t>；</w:t>
            </w:r>
          </w:p>
          <w:p>
            <w:pP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rPr>
              <w:t>3</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rPr>
              <w:t>具备</w:t>
            </w:r>
            <w:r>
              <w:rPr>
                <w:rFonts w:hint="eastAsia" w:ascii="仿宋_GB2312" w:hAnsi="仿宋_GB2312" w:eastAsia="仿宋_GB2312" w:cs="仿宋_GB2312"/>
                <w:sz w:val="24"/>
                <w:szCs w:val="24"/>
                <w:highlight w:val="none"/>
                <w:lang w:val="en-US" w:eastAsia="zh-CN"/>
              </w:rPr>
              <w:t>二代征信查询系统项目建设经验。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2"/>
                <w:highlight w:val="none"/>
                <w:lang w:val="en-US" w:eastAsia="zh-CN"/>
              </w:rPr>
              <w:t>4</w:t>
            </w:r>
            <w:r>
              <w:rPr>
                <w:rFonts w:hint="eastAsia" w:ascii="仿宋_GB2312" w:hAnsi="仿宋_GB2312" w:eastAsia="仿宋_GB2312" w:cs="仿宋_GB2312"/>
                <w:sz w:val="24"/>
                <w:szCs w:val="22"/>
                <w:highlight w:val="none"/>
              </w:rPr>
              <w:t>.项目经理必须驻场服务，驻场期间需按</w:t>
            </w:r>
            <w:r>
              <w:rPr>
                <w:rFonts w:hint="eastAsia" w:ascii="仿宋_GB2312" w:hAnsi="仿宋_GB2312" w:eastAsia="仿宋_GB2312" w:cs="仿宋_GB2312"/>
                <w:sz w:val="24"/>
                <w:szCs w:val="22"/>
                <w:highlight w:val="none"/>
                <w:lang w:eastAsia="zh-CN"/>
              </w:rPr>
              <w:t>采购人</w:t>
            </w:r>
            <w:r>
              <w:rPr>
                <w:rFonts w:hint="eastAsia" w:ascii="仿宋_GB2312" w:hAnsi="仿宋_GB2312" w:eastAsia="仿宋_GB2312" w:cs="仿宋_GB2312"/>
                <w:sz w:val="24"/>
                <w:szCs w:val="22"/>
                <w:highlight w:val="none"/>
              </w:rPr>
              <w:t>要求的工作时间按时打卡上班，在工作期间遵守</w:t>
            </w:r>
            <w:r>
              <w:rPr>
                <w:rFonts w:hint="eastAsia" w:ascii="仿宋_GB2312" w:hAnsi="仿宋_GB2312" w:eastAsia="仿宋_GB2312" w:cs="仿宋_GB2312"/>
                <w:sz w:val="24"/>
                <w:szCs w:val="22"/>
                <w:highlight w:val="none"/>
                <w:lang w:eastAsia="zh-CN"/>
              </w:rPr>
              <w:t>采购人</w:t>
            </w:r>
            <w:r>
              <w:rPr>
                <w:rFonts w:hint="eastAsia" w:ascii="仿宋_GB2312" w:hAnsi="仿宋_GB2312" w:eastAsia="仿宋_GB2312" w:cs="仿宋_GB2312"/>
                <w:sz w:val="24"/>
                <w:szCs w:val="22"/>
                <w:highlight w:val="none"/>
              </w:rPr>
              <w:t>外包管理规范。</w:t>
            </w:r>
          </w:p>
        </w:tc>
      </w:tr>
      <w:tr>
        <w:tblPrEx>
          <w:tblCellMar>
            <w:top w:w="0" w:type="dxa"/>
            <w:left w:w="108" w:type="dxa"/>
            <w:bottom w:w="0" w:type="dxa"/>
            <w:right w:w="108" w:type="dxa"/>
          </w:tblCellMar>
        </w:tblPrEx>
        <w:trPr>
          <w:trHeight w:val="947" w:hRule="atLeast"/>
        </w:trPr>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技术负责人</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lang w:val="en-US" w:eastAsia="zh-CN"/>
              </w:rPr>
              <w:t>资深或高级</w:t>
            </w:r>
            <w:r>
              <w:rPr>
                <w:rFonts w:hint="eastAsia" w:ascii="仿宋_GB2312" w:hAnsi="仿宋_GB2312" w:eastAsia="仿宋_GB2312" w:cs="仿宋_GB2312"/>
                <w:sz w:val="24"/>
                <w:szCs w:val="24"/>
                <w:highlight w:val="none"/>
                <w:lang w:eastAsia="zh-CN"/>
              </w:rPr>
              <w:t>）</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eastAsia="zh-CN"/>
              </w:rPr>
              <w:t>至少1人</w:t>
            </w:r>
          </w:p>
        </w:tc>
        <w:tc>
          <w:tcPr>
            <w:tcW w:w="3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负责</w:t>
            </w:r>
            <w:r>
              <w:rPr>
                <w:rFonts w:hint="eastAsia" w:ascii="仿宋_GB2312" w:hAnsi="仿宋_GB2312" w:eastAsia="仿宋_GB2312" w:cs="仿宋_GB2312"/>
                <w:sz w:val="24"/>
                <w:szCs w:val="24"/>
                <w:highlight w:val="none"/>
                <w:lang w:val="en-US" w:eastAsia="zh-CN"/>
              </w:rPr>
              <w:t>整体方案、</w:t>
            </w:r>
            <w:r>
              <w:rPr>
                <w:rFonts w:hint="eastAsia" w:ascii="仿宋_GB2312" w:hAnsi="仿宋_GB2312" w:eastAsia="仿宋_GB2312" w:cs="仿宋_GB2312"/>
                <w:sz w:val="24"/>
                <w:szCs w:val="24"/>
                <w:highlight w:val="none"/>
              </w:rPr>
              <w:t>需求分析、设计开发、</w:t>
            </w:r>
            <w:r>
              <w:rPr>
                <w:rFonts w:hint="eastAsia" w:ascii="仿宋_GB2312" w:hAnsi="仿宋_GB2312" w:eastAsia="仿宋_GB2312" w:cs="仿宋_GB2312"/>
                <w:sz w:val="24"/>
                <w:szCs w:val="24"/>
                <w:highlight w:val="none"/>
                <w:lang w:val="en-US" w:eastAsia="zh-CN"/>
              </w:rPr>
              <w:t>技术攻关等工作</w:t>
            </w:r>
            <w:r>
              <w:rPr>
                <w:rFonts w:hint="eastAsia" w:ascii="仿宋_GB2312" w:hAnsi="仿宋_GB2312" w:eastAsia="仿宋_GB2312" w:cs="仿宋_GB2312"/>
                <w:sz w:val="24"/>
                <w:szCs w:val="24"/>
                <w:highlight w:val="none"/>
              </w:rPr>
              <w:t>，能及时</w:t>
            </w:r>
            <w:r>
              <w:rPr>
                <w:rFonts w:hint="eastAsia" w:ascii="仿宋_GB2312" w:hAnsi="仿宋_GB2312" w:eastAsia="仿宋_GB2312" w:cs="仿宋_GB2312"/>
                <w:sz w:val="24"/>
                <w:szCs w:val="24"/>
                <w:highlight w:val="none"/>
                <w:lang w:val="en-US" w:eastAsia="zh-CN"/>
              </w:rPr>
              <w:t>响应</w:t>
            </w:r>
            <w:r>
              <w:rPr>
                <w:rFonts w:hint="eastAsia" w:ascii="仿宋_GB2312" w:hAnsi="仿宋_GB2312" w:eastAsia="仿宋_GB2312" w:cs="仿宋_GB2312"/>
                <w:sz w:val="24"/>
                <w:szCs w:val="24"/>
                <w:highlight w:val="none"/>
              </w:rPr>
              <w:t>解决</w:t>
            </w:r>
            <w:r>
              <w:rPr>
                <w:rFonts w:hint="eastAsia" w:ascii="仿宋_GB2312" w:hAnsi="仿宋_GB2312" w:eastAsia="仿宋_GB2312" w:cs="仿宋_GB2312"/>
                <w:sz w:val="24"/>
                <w:szCs w:val="24"/>
                <w:highlight w:val="none"/>
                <w:lang w:val="en-US" w:eastAsia="zh-CN"/>
              </w:rPr>
              <w:t>项目实施过程中遇到的</w:t>
            </w:r>
            <w:r>
              <w:rPr>
                <w:rFonts w:hint="eastAsia" w:ascii="仿宋_GB2312" w:hAnsi="仿宋_GB2312" w:eastAsia="仿宋_GB2312" w:cs="仿宋_GB2312"/>
                <w:sz w:val="24"/>
                <w:szCs w:val="24"/>
                <w:highlight w:val="none"/>
              </w:rPr>
              <w:t>问题</w:t>
            </w:r>
            <w:r>
              <w:rPr>
                <w:rFonts w:hint="eastAsia" w:ascii="仿宋_GB2312" w:hAnsi="仿宋_GB2312" w:eastAsia="仿宋_GB2312" w:cs="仿宋_GB2312"/>
                <w:sz w:val="24"/>
                <w:szCs w:val="24"/>
                <w:highlight w:val="none"/>
                <w:lang w:eastAsia="zh-CN"/>
              </w:rPr>
              <w:t>，</w:t>
            </w:r>
            <w:r>
              <w:rPr>
                <w:rFonts w:hint="eastAsia" w:ascii="Times New Roman" w:hAnsi="Times New Roman" w:eastAsia="仿宋_GB2312" w:cs="仿宋_GB2312"/>
                <w:sz w:val="24"/>
                <w:szCs w:val="22"/>
                <w:highlight w:val="none"/>
              </w:rPr>
              <w:t>保障项目保质保量按期执行任务的顺利完成</w:t>
            </w:r>
            <w:r>
              <w:rPr>
                <w:rFonts w:hint="eastAsia" w:ascii="仿宋_GB2312" w:hAnsi="仿宋_GB2312" w:eastAsia="仿宋_GB2312" w:cs="仿宋_GB2312"/>
                <w:sz w:val="24"/>
                <w:szCs w:val="24"/>
                <w:highlight w:val="none"/>
              </w:rPr>
              <w:t>。</w:t>
            </w:r>
          </w:p>
        </w:tc>
        <w:tc>
          <w:tcPr>
            <w:tcW w:w="340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具备</w:t>
            </w:r>
            <w:r>
              <w:rPr>
                <w:rFonts w:hint="eastAsia" w:ascii="仿宋_GB2312" w:hAnsi="仿宋_GB2312" w:eastAsia="仿宋_GB2312" w:cs="仿宋_GB2312"/>
                <w:sz w:val="24"/>
                <w:szCs w:val="24"/>
                <w:highlight w:val="none"/>
                <w:lang w:val="en-US" w:eastAsia="zh-CN"/>
              </w:rPr>
              <w:t>本科</w:t>
            </w:r>
            <w:r>
              <w:rPr>
                <w:rFonts w:hint="eastAsia" w:ascii="仿宋_GB2312" w:hAnsi="仿宋_GB2312" w:eastAsia="仿宋_GB2312" w:cs="仿宋_GB2312"/>
                <w:sz w:val="24"/>
                <w:szCs w:val="24"/>
                <w:highlight w:val="none"/>
              </w:rPr>
              <w:t>及以上学历；</w:t>
            </w:r>
          </w:p>
          <w:p>
            <w:pP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r>
              <w:rPr>
                <w:rFonts w:hint="eastAsia" w:ascii="仿宋_GB2312" w:hAnsi="仿宋_GB2312" w:eastAsia="仿宋_GB2312" w:cs="仿宋_GB2312"/>
                <w:sz w:val="24"/>
                <w:szCs w:val="24"/>
                <w:highlight w:val="none"/>
                <w:lang w:val="en-US" w:eastAsia="zh-CN"/>
              </w:rPr>
              <w:t>熟悉二代征信查询系统架构、业务处理逻辑、上下游系统数据的关联关系</w:t>
            </w:r>
            <w:r>
              <w:rPr>
                <w:rFonts w:hint="eastAsia" w:ascii="仿宋_GB2312" w:hAnsi="仿宋_GB2312" w:eastAsia="仿宋_GB2312" w:cs="仿宋_GB2312"/>
                <w:sz w:val="24"/>
                <w:szCs w:val="24"/>
                <w:highlight w:val="none"/>
              </w:rPr>
              <w:t>；</w:t>
            </w:r>
          </w:p>
          <w:p>
            <w:pP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rPr>
              <w:t>3</w:t>
            </w:r>
            <w:r>
              <w:rPr>
                <w:rFonts w:hint="eastAsia" w:ascii="仿宋_GB2312" w:hAnsi="仿宋_GB2312" w:eastAsia="仿宋_GB2312" w:cs="仿宋_GB2312"/>
                <w:sz w:val="24"/>
                <w:szCs w:val="24"/>
                <w:highlight w:val="none"/>
                <w:lang w:val="en-US" w:eastAsia="zh-CN"/>
              </w:rPr>
              <w:t>.作为技术负责人，</w:t>
            </w:r>
            <w:r>
              <w:rPr>
                <w:rFonts w:hint="eastAsia" w:ascii="仿宋_GB2312" w:hAnsi="仿宋_GB2312" w:eastAsia="仿宋_GB2312" w:cs="仿宋_GB2312"/>
                <w:sz w:val="24"/>
                <w:szCs w:val="24"/>
                <w:highlight w:val="none"/>
              </w:rPr>
              <w:t>具备</w:t>
            </w:r>
            <w:r>
              <w:rPr>
                <w:rFonts w:hint="eastAsia" w:ascii="仿宋_GB2312" w:hAnsi="仿宋_GB2312" w:eastAsia="仿宋_GB2312" w:cs="仿宋_GB2312"/>
                <w:sz w:val="24"/>
                <w:szCs w:val="24"/>
                <w:highlight w:val="none"/>
                <w:lang w:val="en-US" w:eastAsia="zh-CN"/>
              </w:rPr>
              <w:t>不少于2个二代征信查询系统项目建设经验。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kern w:val="2"/>
                <w:sz w:val="24"/>
                <w:szCs w:val="24"/>
                <w:highlight w:val="none"/>
                <w:lang w:val="en-US" w:eastAsia="zh-CN" w:bidi="ar-SA"/>
              </w:rPr>
            </w:pPr>
            <w:r>
              <w:rPr>
                <w:rFonts w:hint="eastAsia" w:ascii="仿宋_GB2312" w:hAnsi="仿宋_GB2312" w:eastAsia="仿宋_GB2312" w:cs="仿宋_GB2312"/>
                <w:sz w:val="24"/>
                <w:szCs w:val="22"/>
                <w:highlight w:val="none"/>
                <w:lang w:val="en-US" w:eastAsia="zh-CN"/>
              </w:rPr>
              <w:t>4</w:t>
            </w:r>
            <w:r>
              <w:rPr>
                <w:rFonts w:hint="eastAsia" w:ascii="仿宋_GB2312" w:hAnsi="仿宋_GB2312" w:eastAsia="仿宋_GB2312" w:cs="仿宋_GB2312"/>
                <w:sz w:val="24"/>
                <w:szCs w:val="22"/>
                <w:highlight w:val="none"/>
              </w:rPr>
              <w:t>.</w:t>
            </w:r>
            <w:r>
              <w:rPr>
                <w:rFonts w:hint="eastAsia" w:ascii="Times New Roman" w:hAnsi="Times New Roman" w:eastAsia="仿宋_GB2312" w:cs="仿宋_GB2312"/>
                <w:sz w:val="24"/>
                <w:szCs w:val="22"/>
                <w:highlight w:val="none"/>
              </w:rPr>
              <w:t>具有较强的沟通和协调工作能力。</w:t>
            </w:r>
          </w:p>
        </w:tc>
      </w:tr>
      <w:tr>
        <w:tblPrEx>
          <w:tblCellMar>
            <w:top w:w="0" w:type="dxa"/>
            <w:left w:w="108" w:type="dxa"/>
            <w:bottom w:w="0" w:type="dxa"/>
            <w:right w:w="108" w:type="dxa"/>
          </w:tblCellMar>
        </w:tblPrEx>
        <w:trPr>
          <w:trHeight w:val="382" w:hRule="atLeast"/>
        </w:trPr>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_GB2312" w:hAnsi="仿宋_GB2312" w:eastAsia="仿宋_GB2312" w:cs="仿宋_GB2312"/>
                <w:sz w:val="24"/>
                <w:szCs w:val="24"/>
                <w:highlight w:val="none"/>
                <w:lang w:val="en-US"/>
              </w:rPr>
            </w:pPr>
            <w:r>
              <w:rPr>
                <w:rFonts w:hint="eastAsia" w:ascii="仿宋_GB2312" w:hAnsi="仿宋_GB2312" w:eastAsia="仿宋_GB2312" w:cs="仿宋_GB2312"/>
                <w:sz w:val="24"/>
                <w:szCs w:val="24"/>
                <w:highlight w:val="none"/>
                <w:lang w:val="en-US" w:eastAsia="zh-CN"/>
              </w:rPr>
              <w:t>开发人员</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满足本项目建设的人员数量</w:t>
            </w:r>
          </w:p>
        </w:tc>
        <w:tc>
          <w:tcPr>
            <w:tcW w:w="3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负责整个项目</w:t>
            </w:r>
            <w:r>
              <w:rPr>
                <w:rFonts w:hint="eastAsia" w:ascii="仿宋_GB2312" w:hAnsi="仿宋_GB2312" w:eastAsia="仿宋_GB2312" w:cs="仿宋_GB2312"/>
                <w:sz w:val="24"/>
                <w:szCs w:val="24"/>
                <w:highlight w:val="none"/>
                <w:lang w:eastAsia="zh-CN"/>
              </w:rPr>
              <w:t>开发</w:t>
            </w:r>
            <w:r>
              <w:rPr>
                <w:rFonts w:hint="eastAsia" w:ascii="仿宋_GB2312" w:hAnsi="仿宋_GB2312" w:eastAsia="仿宋_GB2312" w:cs="仿宋_GB2312"/>
                <w:sz w:val="24"/>
                <w:szCs w:val="24"/>
                <w:highlight w:val="none"/>
              </w:rPr>
              <w:t>、测试、软件部署、安装、调试、联调，产品试运行及项目验收</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lang w:val="en-US" w:eastAsia="zh-CN"/>
              </w:rPr>
              <w:t>业务分析支持</w:t>
            </w:r>
            <w:r>
              <w:rPr>
                <w:rFonts w:hint="eastAsia" w:ascii="仿宋_GB2312" w:hAnsi="仿宋_GB2312" w:eastAsia="仿宋_GB2312" w:cs="仿宋_GB2312"/>
                <w:sz w:val="24"/>
                <w:szCs w:val="24"/>
                <w:highlight w:val="none"/>
              </w:rPr>
              <w:t>等工作，在保证安全实施的过程中及时处理项目实施过程中所遇到的各种问题。</w:t>
            </w:r>
          </w:p>
        </w:tc>
        <w:tc>
          <w:tcPr>
            <w:tcW w:w="340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1.具备</w:t>
            </w:r>
            <w:r>
              <w:rPr>
                <w:rFonts w:hint="eastAsia" w:ascii="仿宋_GB2312" w:hAnsi="仿宋_GB2312" w:eastAsia="仿宋_GB2312" w:cs="仿宋_GB2312"/>
                <w:sz w:val="24"/>
                <w:szCs w:val="24"/>
                <w:highlight w:val="none"/>
                <w:lang w:val="en-US" w:eastAsia="zh-CN"/>
              </w:rPr>
              <w:t>本科</w:t>
            </w:r>
            <w:r>
              <w:rPr>
                <w:rFonts w:hint="eastAsia" w:ascii="仿宋_GB2312" w:hAnsi="仿宋_GB2312" w:eastAsia="仿宋_GB2312" w:cs="仿宋_GB2312"/>
                <w:sz w:val="24"/>
                <w:szCs w:val="24"/>
                <w:highlight w:val="none"/>
              </w:rPr>
              <w:t>及以上学历</w:t>
            </w:r>
            <w:r>
              <w:rPr>
                <w:rFonts w:hint="eastAsia" w:ascii="仿宋_GB2312" w:hAnsi="仿宋_GB2312" w:eastAsia="仿宋_GB2312" w:cs="仿宋_GB2312"/>
                <w:sz w:val="24"/>
                <w:szCs w:val="24"/>
                <w:highlight w:val="none"/>
                <w:lang w:eastAsia="zh-CN"/>
              </w:rPr>
              <w:t>；</w:t>
            </w:r>
          </w:p>
          <w:p>
            <w:pP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2.熟悉二代征信查询系统</w:t>
            </w:r>
            <w:r>
              <w:rPr>
                <w:rFonts w:hint="eastAsia" w:ascii="仿宋_GB2312" w:hAnsi="仿宋_GB2312" w:eastAsia="仿宋_GB2312" w:cs="仿宋_GB2312"/>
                <w:sz w:val="24"/>
                <w:szCs w:val="24"/>
                <w:highlight w:val="none"/>
              </w:rPr>
              <w:t>架构、业务处理逻辑，可以较好理解业务需求；</w:t>
            </w:r>
          </w:p>
          <w:p>
            <w:pP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3</w:t>
            </w:r>
            <w:r>
              <w:rPr>
                <w:rFonts w:hint="eastAsia" w:ascii="仿宋_GB2312" w:hAnsi="仿宋_GB2312" w:eastAsia="仿宋_GB2312" w:cs="仿宋_GB2312"/>
                <w:sz w:val="24"/>
                <w:szCs w:val="24"/>
                <w:highlight w:val="none"/>
              </w:rPr>
              <w:t>.</w:t>
            </w:r>
            <w:r>
              <w:rPr>
                <w:rFonts w:hint="eastAsia" w:ascii="仿宋_GB2312" w:hAnsi="仿宋_GB2312" w:eastAsia="仿宋_GB2312" w:cs="仿宋_GB2312"/>
                <w:sz w:val="24"/>
                <w:szCs w:val="24"/>
                <w:highlight w:val="none"/>
                <w:lang w:val="en-US" w:eastAsia="zh-CN"/>
              </w:rPr>
              <w:t>具备项目所需技术能力，熟悉常见开发语言、数据库、操作系统；熟悉常见网络协议，能够独立完成开发、测试、部署任务</w:t>
            </w:r>
            <w:r>
              <w:rPr>
                <w:rFonts w:hint="eastAsia" w:ascii="仿宋_GB2312" w:hAnsi="仿宋_GB2312" w:eastAsia="仿宋_GB2312" w:cs="仿宋_GB2312"/>
                <w:sz w:val="24"/>
                <w:szCs w:val="24"/>
                <w:highlight w:val="none"/>
              </w:rPr>
              <w:t>；</w:t>
            </w:r>
          </w:p>
          <w:p>
            <w:pP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4</w:t>
            </w:r>
            <w:r>
              <w:rPr>
                <w:rFonts w:hint="eastAsia" w:ascii="仿宋_GB2312" w:hAnsi="仿宋_GB2312" w:eastAsia="仿宋_GB2312" w:cs="仿宋_GB2312"/>
                <w:sz w:val="24"/>
                <w:szCs w:val="24"/>
                <w:highlight w:val="none"/>
              </w:rPr>
              <w:t>.具有3年以上</w:t>
            </w:r>
            <w:r>
              <w:rPr>
                <w:rFonts w:hint="eastAsia" w:ascii="仿宋_GB2312" w:hAnsi="仿宋_GB2312" w:eastAsia="仿宋_GB2312" w:cs="仿宋_GB2312"/>
                <w:sz w:val="24"/>
                <w:szCs w:val="24"/>
                <w:highlight w:val="none"/>
                <w:lang w:val="en-US" w:eastAsia="zh-CN"/>
              </w:rPr>
              <w:t>二代征信查询系统相关项目</w:t>
            </w:r>
            <w:r>
              <w:rPr>
                <w:rFonts w:hint="eastAsia" w:ascii="仿宋_GB2312" w:hAnsi="仿宋_GB2312" w:eastAsia="仿宋_GB2312" w:cs="仿宋_GB2312"/>
                <w:sz w:val="24"/>
                <w:szCs w:val="24"/>
                <w:highlight w:val="none"/>
              </w:rPr>
              <w:t>工作经验；</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（三）投标人需提供的服务承诺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1.同意甲方根据项目计划对项目组人员分批面试并引入。对于面试不合格的人员，投标人承诺在10个自然日内提供补充人员直至符合标准。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2.承诺可按照实际项目要求提供充足的高、中、初级人员，至少能提供2倍（含）以上候选人供甲方进行选择。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3.承诺面试候选人应为投标文件中人员列表上的人员或优于人员列表的人员。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4.承诺已进入项目组的任何人员不得随意更换。如确实需要更换人员须经过甲方审核通过后方可换人。同时要求新换人员必须通过甲方的审核，且由投标人保证人员更换期间工作的连续性。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5.承诺已进入项目组的驻场服务人员，要提供人员简历、学历证明复印件及人员相关认证资质复印件，签署安全保密承诺书，并满足甲方管理要求：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（1）所有驻场服务人员必须遵守甲方作息制度和相关工作制度规定，提供5*8小时驻场服务。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（2）驻场服务期间，所有驻场服务人员必须严格按照甲方各项规章制度合规开展工作；驻场服务地点为甲方指定地点。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（3）任何驻场服务人员不得随意更换。如果更换人员则投标人应提前1个月通知甲方，并经过甲方审核通过后方可换人。同时要求新换人员必须通过甲方的审核，且由投标人保证人员更换期间支持工作的连续性；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（4）如果支持人员因违反甲方工作纪律或相关运行制度，并给甲方造成了损失，则投标人有责任进行赔偿，具体赔偿标准见合同。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（5）根据支持效果，对于不能够胜任支持工作的人员，甲方有权利要求投标人重新进行调换。同时由投标人保证人员更换期间支持工作的连续性。</w:t>
      </w:r>
    </w:p>
    <w:p>
      <w:pPr>
        <w:pStyle w:val="20"/>
        <w:pageBreakBefore w:val="0"/>
        <w:numPr>
          <w:ilvl w:val="0"/>
          <w:numId w:val="1"/>
        </w:numPr>
        <w:kinsoku/>
        <w:overflowPunct/>
        <w:topLinePunct w:val="0"/>
        <w:autoSpaceDE/>
        <w:autoSpaceDN/>
        <w:bidi w:val="0"/>
        <w:adjustRightInd w:val="0"/>
        <w:snapToGrid/>
        <w:spacing w:before="0" w:beforeLines="0" w:after="0" w:afterLines="0" w:line="560" w:lineRule="exact"/>
        <w:ind w:left="0" w:leftChars="0" w:firstLine="640" w:firstLineChars="200"/>
        <w:textAlignment w:val="baseline"/>
        <w:outlineLvl w:val="0"/>
        <w:rPr>
          <w:rFonts w:ascii="Times New Roman" w:hAnsi="黑体" w:eastAsia="黑体" w:cs="Times New Roman"/>
          <w:b w:val="0"/>
          <w:bCs w:val="0"/>
          <w:sz w:val="32"/>
          <w:highlight w:val="none"/>
        </w:rPr>
      </w:pPr>
      <w:bookmarkStart w:id="21" w:name="_Toc24551"/>
      <w:r>
        <w:rPr>
          <w:rFonts w:ascii="Times New Roman" w:hAnsi="黑体" w:eastAsia="黑体" w:cs="Times New Roman"/>
          <w:b w:val="0"/>
          <w:bCs w:val="0"/>
          <w:sz w:val="32"/>
          <w:highlight w:val="none"/>
        </w:rPr>
        <w:t>安全要求</w:t>
      </w:r>
      <w:bookmarkEnd w:id="20"/>
      <w:bookmarkEnd w:id="2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1、在法律合规方面，应有效规避服务过程中给我行带来的法律风险。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2、在信息保密方面，公司应有效规避因服务人员导致的银行信息（如业务数据和商务信息等）泄漏风险。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3、在生产安全方面，公司应严格规避因人员操作不当，导致的银行系统出现安全性和稳定性风险事件。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4、在安全审计方面，公司应确保针对银行设备的相关操作留有纸质或视频记录。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保密/知识产权要求（如有）供应商对项目实施中涉及到的相关数据、资料、文档等具有保密的义务，并应按照相应保密规定执行。本项目所形成的数据成果归采购人所有。未经采购人同意，供应商不得以商业目的使用该资料或者开发和生产其他产品。</w:t>
      </w:r>
    </w:p>
    <w:p>
      <w:pPr>
        <w:pStyle w:val="20"/>
        <w:pageBreakBefore w:val="0"/>
        <w:numPr>
          <w:ilvl w:val="0"/>
          <w:numId w:val="1"/>
        </w:numPr>
        <w:kinsoku/>
        <w:overflowPunct/>
        <w:topLinePunct w:val="0"/>
        <w:autoSpaceDE/>
        <w:autoSpaceDN/>
        <w:bidi w:val="0"/>
        <w:adjustRightInd w:val="0"/>
        <w:snapToGrid/>
        <w:spacing w:before="0" w:beforeLines="0" w:after="0" w:afterLines="0" w:line="560" w:lineRule="exact"/>
        <w:ind w:left="0" w:leftChars="0" w:firstLine="640" w:firstLineChars="200"/>
        <w:textAlignment w:val="baseline"/>
        <w:outlineLvl w:val="0"/>
        <w:rPr>
          <w:rFonts w:ascii="Times New Roman" w:hAnsi="黑体" w:eastAsia="黑体" w:cs="Times New Roman"/>
          <w:b w:val="0"/>
          <w:bCs w:val="0"/>
          <w:sz w:val="32"/>
          <w:highlight w:val="none"/>
        </w:rPr>
      </w:pPr>
      <w:bookmarkStart w:id="22" w:name="_Toc22161"/>
      <w:bookmarkStart w:id="23" w:name="_Toc15279"/>
      <w:r>
        <w:rPr>
          <w:rFonts w:ascii="Times New Roman" w:hAnsi="黑体" w:eastAsia="黑体" w:cs="Times New Roman"/>
          <w:b w:val="0"/>
          <w:bCs w:val="0"/>
          <w:sz w:val="32"/>
          <w:highlight w:val="none"/>
        </w:rPr>
        <w:t>交付或实施时间、地点</w:t>
      </w:r>
      <w:bookmarkEnd w:id="22"/>
      <w:bookmarkEnd w:id="23"/>
    </w:p>
    <w:p>
      <w:pPr>
        <w:adjustRightInd w:val="0"/>
        <w:spacing w:line="560" w:lineRule="exact"/>
        <w:ind w:firstLine="640" w:firstLineChars="200"/>
        <w:textAlignment w:val="baseline"/>
        <w:rPr>
          <w:rFonts w:eastAsia="仿宋_GB2312"/>
          <w:sz w:val="32"/>
          <w:szCs w:val="22"/>
          <w:highlight w:val="none"/>
        </w:rPr>
      </w:pPr>
      <w:r>
        <w:rPr>
          <w:rFonts w:hint="eastAsia" w:hAnsi="仿宋_GB2312" w:eastAsia="仿宋_GB2312"/>
          <w:sz w:val="32"/>
          <w:szCs w:val="32"/>
          <w:highlight w:val="none"/>
          <w:lang w:eastAsia="zh-CN"/>
        </w:rPr>
        <w:t>（</w:t>
      </w:r>
      <w:r>
        <w:rPr>
          <w:rFonts w:hint="eastAsia" w:hAnsi="仿宋_GB2312" w:eastAsia="仿宋_GB2312"/>
          <w:sz w:val="32"/>
          <w:szCs w:val="32"/>
          <w:highlight w:val="none"/>
          <w:lang w:val="en-US" w:eastAsia="zh-CN"/>
        </w:rPr>
        <w:t>一</w:t>
      </w:r>
      <w:r>
        <w:rPr>
          <w:rFonts w:hint="eastAsia" w:hAnsi="仿宋_GB2312" w:eastAsia="仿宋_GB2312"/>
          <w:sz w:val="32"/>
          <w:szCs w:val="32"/>
          <w:highlight w:val="none"/>
          <w:lang w:eastAsia="zh-CN"/>
        </w:rPr>
        <w:t>）</w:t>
      </w:r>
      <w:r>
        <w:rPr>
          <w:rFonts w:eastAsia="仿宋_GB2312"/>
          <w:sz w:val="32"/>
          <w:szCs w:val="22"/>
          <w:highlight w:val="none"/>
        </w:rPr>
        <w:t>项目</w:t>
      </w:r>
      <w:r>
        <w:rPr>
          <w:rFonts w:hint="default" w:ascii="Times New Roman" w:hAnsi="Times New Roman" w:eastAsia="仿宋_GB2312" w:cs="Times New Roman"/>
          <w:sz w:val="32"/>
          <w:szCs w:val="22"/>
          <w:highlight w:val="none"/>
          <w:lang w:eastAsia="zh-CN"/>
        </w:rPr>
        <w:t>实施进度</w:t>
      </w:r>
      <w:r>
        <w:rPr>
          <w:rFonts w:eastAsia="仿宋_GB2312"/>
          <w:sz w:val="32"/>
          <w:szCs w:val="22"/>
          <w:highlight w:val="none"/>
        </w:rPr>
        <w:t>：</w:t>
      </w:r>
    </w:p>
    <w:tbl>
      <w:tblPr>
        <w:tblStyle w:val="23"/>
        <w:tblW w:w="7563" w:type="dxa"/>
        <w:tblInd w:w="68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935"/>
        <w:gridCol w:w="4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tcPr>
          <w:p>
            <w:pPr>
              <w:jc w:val="center"/>
              <w:rPr>
                <w:rFonts w:eastAsia="仿宋_GB2312"/>
                <w:b/>
                <w:bCs/>
                <w:sz w:val="24"/>
                <w:szCs w:val="22"/>
                <w:highlight w:val="none"/>
              </w:rPr>
            </w:pPr>
            <w:r>
              <w:rPr>
                <w:rFonts w:hAnsi="楷体" w:eastAsia="仿宋_GB2312"/>
                <w:b/>
                <w:bCs/>
                <w:sz w:val="24"/>
                <w:szCs w:val="22"/>
                <w:highlight w:val="none"/>
              </w:rPr>
              <w:t>序号</w:t>
            </w:r>
          </w:p>
        </w:tc>
        <w:tc>
          <w:tcPr>
            <w:tcW w:w="1935" w:type="dxa"/>
          </w:tcPr>
          <w:p>
            <w:pPr>
              <w:jc w:val="center"/>
              <w:rPr>
                <w:rFonts w:eastAsia="仿宋_GB2312"/>
                <w:b/>
                <w:bCs/>
                <w:sz w:val="24"/>
                <w:szCs w:val="22"/>
                <w:highlight w:val="none"/>
              </w:rPr>
            </w:pPr>
            <w:r>
              <w:rPr>
                <w:rFonts w:hAnsi="楷体" w:eastAsia="仿宋_GB2312"/>
                <w:b/>
                <w:bCs/>
                <w:sz w:val="24"/>
                <w:szCs w:val="22"/>
                <w:highlight w:val="none"/>
              </w:rPr>
              <w:t>实施阶段</w:t>
            </w:r>
          </w:p>
        </w:tc>
        <w:tc>
          <w:tcPr>
            <w:tcW w:w="4851" w:type="dxa"/>
          </w:tcPr>
          <w:p>
            <w:pPr>
              <w:jc w:val="center"/>
              <w:rPr>
                <w:rFonts w:eastAsia="仿宋_GB2312"/>
                <w:b/>
                <w:bCs/>
                <w:sz w:val="24"/>
                <w:szCs w:val="22"/>
                <w:highlight w:val="none"/>
              </w:rPr>
            </w:pPr>
            <w:r>
              <w:rPr>
                <w:rFonts w:hAnsi="楷体" w:eastAsia="仿宋_GB2312"/>
                <w:b/>
                <w:bCs/>
                <w:sz w:val="24"/>
                <w:szCs w:val="22"/>
                <w:highlight w:val="none"/>
              </w:rPr>
              <w:t>项目周期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7" w:type="dxa"/>
          </w:tcPr>
          <w:p>
            <w:pPr>
              <w:spacing w:line="240" w:lineRule="auto"/>
              <w:jc w:val="center"/>
              <w:rPr>
                <w:rFonts w:hint="eastAsia" w:ascii="仿宋_GB2312" w:hAnsi="仿宋_GB2312" w:eastAsia="仿宋_GB2312" w:cs="仿宋_GB2312"/>
                <w:sz w:val="24"/>
                <w:szCs w:val="22"/>
                <w:highlight w:val="none"/>
              </w:rPr>
            </w:pPr>
            <w:r>
              <w:rPr>
                <w:rFonts w:hint="eastAsia" w:ascii="仿宋_GB2312" w:hAnsi="仿宋_GB2312" w:eastAsia="仿宋_GB2312" w:cs="仿宋_GB2312"/>
                <w:sz w:val="24"/>
                <w:szCs w:val="22"/>
                <w:highlight w:val="none"/>
              </w:rPr>
              <w:t>1</w:t>
            </w:r>
          </w:p>
        </w:tc>
        <w:tc>
          <w:tcPr>
            <w:tcW w:w="1935" w:type="dxa"/>
          </w:tcPr>
          <w:p>
            <w:pPr>
              <w:spacing w:line="240" w:lineRule="auto"/>
              <w:jc w:val="left"/>
              <w:rPr>
                <w:rFonts w:hint="default"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二代征信查询系统建设</w:t>
            </w:r>
          </w:p>
        </w:tc>
        <w:tc>
          <w:tcPr>
            <w:tcW w:w="4851" w:type="dxa"/>
          </w:tcPr>
          <w:p>
            <w:pPr>
              <w:spacing w:line="240" w:lineRule="auto"/>
              <w:jc w:val="both"/>
              <w:rPr>
                <w:rFonts w:hint="default" w:ascii="仿宋_GB2312" w:hAnsi="仿宋_GB2312" w:eastAsia="仿宋_GB2312" w:cs="仿宋_GB2312"/>
                <w:sz w:val="24"/>
                <w:szCs w:val="22"/>
                <w:highlight w:val="none"/>
                <w:lang w:val="en-US"/>
              </w:rPr>
            </w:pPr>
            <w:r>
              <w:rPr>
                <w:rFonts w:hint="eastAsia" w:ascii="仿宋_GB2312" w:hAnsi="仿宋_GB2312" w:eastAsia="仿宋_GB2312" w:cs="仿宋_GB2312"/>
                <w:sz w:val="24"/>
                <w:szCs w:val="22"/>
                <w:highlight w:val="none"/>
                <w:lang w:val="en-US" w:eastAsia="zh-CN"/>
              </w:rPr>
              <w:t>合同签订后6个</w:t>
            </w:r>
            <w:r>
              <w:rPr>
                <w:rFonts w:hint="eastAsia" w:ascii="仿宋_GB2312" w:hAnsi="仿宋_GB2312" w:eastAsia="仿宋_GB2312" w:cs="仿宋_GB2312"/>
                <w:sz w:val="24"/>
                <w:szCs w:val="22"/>
                <w:highlight w:val="none"/>
              </w:rPr>
              <w:t>月内</w:t>
            </w:r>
            <w:r>
              <w:rPr>
                <w:rFonts w:hint="eastAsia" w:ascii="仿宋_GB2312" w:hAnsi="仿宋_GB2312" w:eastAsia="仿宋_GB2312" w:cs="仿宋_GB2312"/>
                <w:sz w:val="24"/>
                <w:szCs w:val="22"/>
                <w:highlight w:val="none"/>
                <w:lang w:val="en-US" w:eastAsia="zh-CN"/>
              </w:rPr>
              <w:t>完成二代征信查询系统建设并投产上线。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7" w:type="dxa"/>
          </w:tcPr>
          <w:p>
            <w:pPr>
              <w:spacing w:line="240" w:lineRule="auto"/>
              <w:jc w:val="center"/>
              <w:rPr>
                <w:rFonts w:hint="eastAsia"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2</w:t>
            </w:r>
          </w:p>
        </w:tc>
        <w:tc>
          <w:tcPr>
            <w:tcW w:w="1935" w:type="dxa"/>
          </w:tcPr>
          <w:p>
            <w:pPr>
              <w:spacing w:line="240" w:lineRule="auto"/>
              <w:jc w:val="left"/>
              <w:rPr>
                <w:rFonts w:hint="default"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保修期</w:t>
            </w:r>
          </w:p>
        </w:tc>
        <w:tc>
          <w:tcPr>
            <w:tcW w:w="4851" w:type="dxa"/>
          </w:tcPr>
          <w:p>
            <w:pPr>
              <w:spacing w:line="240" w:lineRule="auto"/>
              <w:jc w:val="both"/>
              <w:rPr>
                <w:rFonts w:hint="default" w:ascii="仿宋_GB2312" w:hAnsi="仿宋_GB2312" w:eastAsia="仿宋_GB2312" w:cs="仿宋_GB2312"/>
                <w:sz w:val="24"/>
                <w:szCs w:val="22"/>
                <w:highlight w:val="none"/>
                <w:lang w:val="en-US" w:eastAsia="zh-CN"/>
              </w:rPr>
            </w:pPr>
            <w:r>
              <w:rPr>
                <w:rFonts w:hint="eastAsia" w:ascii="仿宋_GB2312" w:hAnsi="仿宋_GB2312" w:eastAsia="仿宋_GB2312" w:cs="仿宋_GB2312"/>
                <w:sz w:val="24"/>
                <w:szCs w:val="22"/>
                <w:highlight w:val="none"/>
                <w:lang w:val="en-US" w:eastAsia="zh-CN"/>
              </w:rPr>
              <w:t>12个月</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（二）服务地点：北京，中国进出口银行总行。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（三）服务期限：自合同签订起至保修期结束。</w:t>
      </w:r>
    </w:p>
    <w:p>
      <w:pPr>
        <w:pStyle w:val="20"/>
        <w:pageBreakBefore w:val="0"/>
        <w:numPr>
          <w:ilvl w:val="0"/>
          <w:numId w:val="1"/>
        </w:numPr>
        <w:kinsoku/>
        <w:overflowPunct/>
        <w:topLinePunct w:val="0"/>
        <w:autoSpaceDE/>
        <w:autoSpaceDN/>
        <w:bidi w:val="0"/>
        <w:adjustRightInd w:val="0"/>
        <w:snapToGrid/>
        <w:spacing w:before="0" w:beforeLines="0" w:after="0" w:afterLines="0" w:line="560" w:lineRule="exact"/>
        <w:ind w:left="0" w:leftChars="0" w:firstLine="640" w:firstLineChars="200"/>
        <w:textAlignment w:val="baseline"/>
        <w:outlineLvl w:val="0"/>
        <w:rPr>
          <w:rFonts w:ascii="Times New Roman" w:hAnsi="黑体" w:eastAsia="黑体" w:cs="Times New Roman"/>
          <w:b w:val="0"/>
          <w:bCs w:val="0"/>
          <w:sz w:val="32"/>
          <w:highlight w:val="none"/>
        </w:rPr>
      </w:pPr>
      <w:bookmarkStart w:id="24" w:name="_Toc28333"/>
      <w:bookmarkStart w:id="25" w:name="_Toc24439"/>
      <w:r>
        <w:rPr>
          <w:rFonts w:ascii="Times New Roman" w:hAnsi="黑体" w:eastAsia="黑体" w:cs="Times New Roman"/>
          <w:b w:val="0"/>
          <w:bCs w:val="0"/>
          <w:sz w:val="32"/>
          <w:highlight w:val="none"/>
        </w:rPr>
        <w:t>财务支付要求</w:t>
      </w:r>
      <w:bookmarkEnd w:id="24"/>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517"/>
        <w:gridCol w:w="4629"/>
        <w:gridCol w:w="1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 w:type="pct"/>
            <w:shd w:val="clear" w:color="auto" w:fill="A4A4A4" w:themeFill="background1" w:themeFillShade="A5"/>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Times New Roman" w:hAnsi="Times New Roman" w:eastAsia="仿宋_GB2312"/>
                <w:b/>
                <w:bCs/>
                <w:sz w:val="24"/>
                <w:szCs w:val="22"/>
              </w:rPr>
            </w:pPr>
            <w:r>
              <w:rPr>
                <w:rFonts w:ascii="Times New Roman" w:hAnsi="Times New Roman" w:eastAsia="仿宋_GB2312"/>
                <w:b/>
                <w:bCs/>
                <w:sz w:val="24"/>
                <w:szCs w:val="22"/>
              </w:rPr>
              <w:t>序号</w:t>
            </w:r>
          </w:p>
        </w:tc>
        <w:tc>
          <w:tcPr>
            <w:tcW w:w="890" w:type="pct"/>
            <w:shd w:val="clear" w:color="auto" w:fill="A4A4A4" w:themeFill="background1" w:themeFillShade="A5"/>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Times New Roman" w:hAnsi="Times New Roman" w:eastAsia="仿宋_GB2312"/>
                <w:b/>
                <w:bCs/>
                <w:sz w:val="24"/>
                <w:szCs w:val="22"/>
              </w:rPr>
            </w:pPr>
            <w:r>
              <w:rPr>
                <w:rFonts w:ascii="Times New Roman" w:hAnsi="Times New Roman" w:eastAsia="仿宋_GB2312"/>
                <w:b/>
                <w:bCs/>
                <w:sz w:val="24"/>
                <w:szCs w:val="22"/>
              </w:rPr>
              <w:t>付款节点</w:t>
            </w:r>
          </w:p>
        </w:tc>
        <w:tc>
          <w:tcPr>
            <w:tcW w:w="2716" w:type="pct"/>
            <w:shd w:val="clear" w:color="auto" w:fill="A4A4A4" w:themeFill="background1" w:themeFillShade="A5"/>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Times New Roman" w:hAnsi="Times New Roman" w:eastAsia="仿宋_GB2312"/>
                <w:b/>
                <w:bCs/>
                <w:sz w:val="24"/>
                <w:szCs w:val="22"/>
              </w:rPr>
            </w:pPr>
            <w:r>
              <w:rPr>
                <w:rFonts w:ascii="Times New Roman" w:hAnsi="Times New Roman" w:eastAsia="仿宋_GB2312"/>
                <w:b/>
                <w:bCs/>
                <w:sz w:val="24"/>
                <w:szCs w:val="22"/>
              </w:rPr>
              <w:t>付款条件</w:t>
            </w:r>
          </w:p>
        </w:tc>
        <w:tc>
          <w:tcPr>
            <w:tcW w:w="980" w:type="pct"/>
            <w:shd w:val="clear" w:color="auto" w:fill="A4A4A4" w:themeFill="background1" w:themeFillShade="A5"/>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Times New Roman" w:hAnsi="Times New Roman" w:eastAsia="仿宋_GB2312"/>
                <w:b/>
                <w:bCs/>
                <w:sz w:val="24"/>
                <w:szCs w:val="22"/>
              </w:rPr>
            </w:pPr>
            <w:r>
              <w:rPr>
                <w:rFonts w:ascii="Times New Roman" w:hAnsi="Times New Roman" w:eastAsia="仿宋_GB2312"/>
                <w:b/>
                <w:bCs/>
                <w:sz w:val="24"/>
                <w:szCs w:val="22"/>
              </w:rPr>
              <w:t>付款比例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 w:type="pct"/>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１</w:t>
            </w:r>
          </w:p>
        </w:tc>
        <w:tc>
          <w:tcPr>
            <w:tcW w:w="890" w:type="pct"/>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首付款</w:t>
            </w:r>
          </w:p>
        </w:tc>
        <w:tc>
          <w:tcPr>
            <w:tcW w:w="2716" w:type="pct"/>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签订合同后，</w:t>
            </w:r>
            <w:r>
              <w:rPr>
                <w:rFonts w:hint="eastAsia" w:ascii="仿宋_GB2312" w:hAnsi="仿宋_GB2312" w:eastAsia="仿宋_GB2312" w:cs="仿宋_GB2312"/>
                <w:sz w:val="24"/>
                <w:szCs w:val="22"/>
                <w:lang w:eastAsia="zh-CN"/>
              </w:rPr>
              <w:t>甲方收到乙方开具的相应具体金额的增值税专用发票三十（</w:t>
            </w:r>
            <w:r>
              <w:rPr>
                <w:rFonts w:hint="eastAsia" w:ascii="仿宋_GB2312" w:hAnsi="仿宋_GB2312" w:eastAsia="仿宋_GB2312" w:cs="仿宋_GB2312"/>
                <w:sz w:val="24"/>
                <w:szCs w:val="22"/>
                <w:lang w:val="en-US" w:eastAsia="zh-CN"/>
              </w:rPr>
              <w:t>30</w:t>
            </w:r>
            <w:r>
              <w:rPr>
                <w:rFonts w:hint="eastAsia" w:ascii="仿宋_GB2312" w:hAnsi="仿宋_GB2312" w:eastAsia="仿宋_GB2312" w:cs="仿宋_GB2312"/>
                <w:sz w:val="24"/>
                <w:szCs w:val="22"/>
                <w:lang w:eastAsia="zh-CN"/>
              </w:rPr>
              <w:t>）个工作日内</w:t>
            </w:r>
          </w:p>
        </w:tc>
        <w:tc>
          <w:tcPr>
            <w:tcW w:w="980" w:type="pct"/>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付款至</w:t>
            </w:r>
            <w:r>
              <w:rPr>
                <w:rFonts w:hint="eastAsia" w:ascii="仿宋_GB2312" w:hAnsi="仿宋_GB2312" w:eastAsia="仿宋_GB2312" w:cs="仿宋_GB2312"/>
                <w:sz w:val="24"/>
                <w:szCs w:val="22"/>
                <w:lang w:val="en-US" w:eastAsia="zh-CN"/>
              </w:rPr>
              <w:t>总</w:t>
            </w:r>
            <w:r>
              <w:rPr>
                <w:rFonts w:hint="eastAsia" w:ascii="仿宋_GB2312" w:hAnsi="仿宋_GB2312" w:eastAsia="仿宋_GB2312" w:cs="仿宋_GB2312"/>
                <w:sz w:val="24"/>
                <w:szCs w:val="22"/>
              </w:rPr>
              <w:t>金额</w:t>
            </w:r>
            <w:r>
              <w:rPr>
                <w:rFonts w:hint="eastAsia" w:ascii="仿宋_GB2312" w:hAnsi="仿宋_GB2312" w:eastAsia="仿宋_GB2312" w:cs="仿宋_GB2312"/>
                <w:sz w:val="24"/>
                <w:szCs w:val="22"/>
                <w:lang w:val="en-US" w:eastAsia="zh-CN"/>
              </w:rPr>
              <w:t>3</w:t>
            </w:r>
            <w:r>
              <w:rPr>
                <w:rFonts w:hint="eastAsia" w:ascii="仿宋_GB2312" w:hAnsi="仿宋_GB2312" w:eastAsia="仿宋_GB2312" w:cs="仿宋_GB2312"/>
                <w:sz w:val="24"/>
                <w:szCs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 w:type="pct"/>
            <w:shd w:val="clear" w:color="auto" w:fill="auto"/>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kern w:val="2"/>
                <w:sz w:val="24"/>
                <w:szCs w:val="22"/>
                <w:highlight w:val="none"/>
                <w:lang w:val="en-US" w:eastAsia="zh-CN" w:bidi="ar-SA"/>
              </w:rPr>
            </w:pPr>
            <w:r>
              <w:rPr>
                <w:rFonts w:hint="eastAsia" w:ascii="仿宋_GB2312" w:hAnsi="仿宋_GB2312" w:eastAsia="仿宋_GB2312" w:cs="仿宋_GB2312"/>
                <w:kern w:val="2"/>
                <w:sz w:val="24"/>
                <w:szCs w:val="22"/>
                <w:highlight w:val="none"/>
                <w:lang w:val="en-US" w:eastAsia="zh-CN" w:bidi="ar-SA"/>
              </w:rPr>
              <w:t>2</w:t>
            </w:r>
          </w:p>
        </w:tc>
        <w:tc>
          <w:tcPr>
            <w:tcW w:w="890" w:type="pct"/>
            <w:shd w:val="clear" w:color="auto" w:fill="auto"/>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24"/>
                <w:szCs w:val="22"/>
                <w:lang w:val="en-US" w:eastAsia="zh-CN"/>
              </w:rPr>
            </w:pPr>
            <w:r>
              <w:rPr>
                <w:rFonts w:hint="eastAsia" w:ascii="仿宋_GB2312" w:hAnsi="仿宋_GB2312" w:eastAsia="仿宋_GB2312" w:cs="仿宋_GB2312"/>
                <w:sz w:val="24"/>
                <w:szCs w:val="22"/>
                <w:lang w:val="en-US" w:eastAsia="zh-CN"/>
              </w:rPr>
              <w:t>第二期付</w:t>
            </w:r>
            <w:r>
              <w:rPr>
                <w:rFonts w:hint="eastAsia" w:ascii="仿宋_GB2312" w:hAnsi="仿宋_GB2312" w:eastAsia="仿宋_GB2312" w:cs="仿宋_GB2312"/>
                <w:sz w:val="24"/>
                <w:szCs w:val="22"/>
              </w:rPr>
              <w:t>款</w:t>
            </w:r>
          </w:p>
        </w:tc>
        <w:tc>
          <w:tcPr>
            <w:tcW w:w="2716" w:type="pct"/>
            <w:shd w:val="clear" w:color="auto" w:fill="auto"/>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kern w:val="2"/>
                <w:sz w:val="24"/>
                <w:szCs w:val="22"/>
                <w:highlight w:val="none"/>
                <w:lang w:val="en-US" w:eastAsia="zh-CN" w:bidi="ar-SA"/>
              </w:rPr>
            </w:pPr>
            <w:r>
              <w:rPr>
                <w:rFonts w:hint="eastAsia" w:ascii="仿宋_GB2312" w:hAnsi="仿宋_GB2312" w:eastAsia="仿宋_GB2312" w:cs="仿宋_GB2312"/>
                <w:sz w:val="24"/>
                <w:szCs w:val="22"/>
                <w:highlight w:val="none"/>
                <w:lang w:val="en-US" w:eastAsia="zh-CN"/>
              </w:rPr>
              <w:t>系统投产上线并稳定运行满3个月，且通过验收，</w:t>
            </w:r>
            <w:r>
              <w:rPr>
                <w:rFonts w:hint="eastAsia" w:ascii="仿宋_GB2312" w:hAnsi="仿宋_GB2312" w:eastAsia="仿宋_GB2312" w:cs="仿宋_GB2312"/>
                <w:sz w:val="24"/>
                <w:szCs w:val="22"/>
                <w:highlight w:val="none"/>
                <w:lang w:eastAsia="zh-CN"/>
              </w:rPr>
              <w:t>甲方收到乙方开具的相应具体金额的增值税专用发票三十（</w:t>
            </w:r>
            <w:r>
              <w:rPr>
                <w:rFonts w:hint="eastAsia" w:ascii="仿宋_GB2312" w:hAnsi="仿宋_GB2312" w:eastAsia="仿宋_GB2312" w:cs="仿宋_GB2312"/>
                <w:sz w:val="24"/>
                <w:szCs w:val="22"/>
                <w:highlight w:val="none"/>
                <w:lang w:val="en-US" w:eastAsia="zh-CN"/>
              </w:rPr>
              <w:t>30</w:t>
            </w:r>
            <w:r>
              <w:rPr>
                <w:rFonts w:hint="eastAsia" w:ascii="仿宋_GB2312" w:hAnsi="仿宋_GB2312" w:eastAsia="仿宋_GB2312" w:cs="仿宋_GB2312"/>
                <w:sz w:val="24"/>
                <w:szCs w:val="22"/>
                <w:highlight w:val="none"/>
                <w:lang w:eastAsia="zh-CN"/>
              </w:rPr>
              <w:t>）个工作日内</w:t>
            </w:r>
          </w:p>
        </w:tc>
        <w:tc>
          <w:tcPr>
            <w:tcW w:w="980" w:type="pct"/>
            <w:shd w:val="clear" w:color="auto" w:fill="auto"/>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kern w:val="2"/>
                <w:sz w:val="24"/>
                <w:szCs w:val="22"/>
                <w:highlight w:val="none"/>
                <w:lang w:val="en-US" w:eastAsia="zh-CN" w:bidi="ar-SA"/>
              </w:rPr>
            </w:pPr>
            <w:r>
              <w:rPr>
                <w:rFonts w:hint="eastAsia" w:ascii="仿宋_GB2312" w:hAnsi="仿宋_GB2312" w:eastAsia="仿宋_GB2312" w:cs="仿宋_GB2312"/>
                <w:sz w:val="24"/>
                <w:szCs w:val="22"/>
                <w:highlight w:val="none"/>
              </w:rPr>
              <w:t>付款至</w:t>
            </w:r>
            <w:r>
              <w:rPr>
                <w:rFonts w:hint="eastAsia" w:ascii="仿宋_GB2312" w:hAnsi="仿宋_GB2312" w:eastAsia="仿宋_GB2312" w:cs="仿宋_GB2312"/>
                <w:sz w:val="24"/>
                <w:szCs w:val="22"/>
                <w:lang w:val="en-US" w:eastAsia="zh-CN"/>
              </w:rPr>
              <w:t>总</w:t>
            </w:r>
            <w:r>
              <w:rPr>
                <w:rFonts w:hint="eastAsia" w:ascii="仿宋_GB2312" w:hAnsi="仿宋_GB2312" w:eastAsia="仿宋_GB2312" w:cs="仿宋_GB2312"/>
                <w:sz w:val="24"/>
                <w:szCs w:val="22"/>
                <w:highlight w:val="none"/>
              </w:rPr>
              <w:t>金额</w:t>
            </w:r>
            <w:r>
              <w:rPr>
                <w:rFonts w:hint="eastAsia" w:ascii="仿宋_GB2312" w:hAnsi="仿宋_GB2312" w:eastAsia="仿宋_GB2312" w:cs="仿宋_GB2312"/>
                <w:sz w:val="24"/>
                <w:szCs w:val="22"/>
                <w:highlight w:val="none"/>
                <w:lang w:val="en-US" w:eastAsia="zh-CN"/>
              </w:rPr>
              <w:t>70</w:t>
            </w:r>
            <w:r>
              <w:rPr>
                <w:rFonts w:hint="eastAsia" w:ascii="仿宋_GB2312" w:hAnsi="仿宋_GB2312" w:eastAsia="仿宋_GB2312" w:cs="仿宋_GB2312"/>
                <w:sz w:val="24"/>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 w:type="pct"/>
            <w:shd w:val="clear" w:color="auto" w:fill="auto"/>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kern w:val="2"/>
                <w:sz w:val="24"/>
                <w:szCs w:val="22"/>
                <w:highlight w:val="none"/>
                <w:lang w:val="en-US" w:eastAsia="zh-CN" w:bidi="ar-SA"/>
              </w:rPr>
            </w:pPr>
            <w:r>
              <w:rPr>
                <w:rFonts w:hint="eastAsia" w:ascii="仿宋_GB2312" w:hAnsi="仿宋_GB2312" w:eastAsia="仿宋_GB2312" w:cs="仿宋_GB2312"/>
                <w:sz w:val="24"/>
                <w:szCs w:val="22"/>
                <w:highlight w:val="none"/>
                <w:lang w:val="en-US" w:eastAsia="zh-CN"/>
              </w:rPr>
              <w:t>3</w:t>
            </w:r>
          </w:p>
        </w:tc>
        <w:tc>
          <w:tcPr>
            <w:tcW w:w="890" w:type="pct"/>
            <w:shd w:val="clear" w:color="auto" w:fill="auto"/>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24"/>
                <w:szCs w:val="22"/>
                <w:lang w:val="en-US" w:eastAsia="zh-CN"/>
              </w:rPr>
            </w:pPr>
            <w:r>
              <w:rPr>
                <w:rFonts w:hint="eastAsia" w:ascii="仿宋_GB2312" w:hAnsi="仿宋_GB2312" w:eastAsia="仿宋_GB2312" w:cs="仿宋_GB2312"/>
                <w:sz w:val="24"/>
                <w:szCs w:val="22"/>
                <w:lang w:val="en-US" w:eastAsia="zh-CN"/>
              </w:rPr>
              <w:t>第三期付</w:t>
            </w:r>
            <w:r>
              <w:rPr>
                <w:rFonts w:hint="eastAsia" w:ascii="仿宋_GB2312" w:hAnsi="仿宋_GB2312" w:eastAsia="仿宋_GB2312" w:cs="仿宋_GB2312"/>
                <w:sz w:val="24"/>
                <w:szCs w:val="22"/>
              </w:rPr>
              <w:t>款</w:t>
            </w:r>
          </w:p>
        </w:tc>
        <w:tc>
          <w:tcPr>
            <w:tcW w:w="2716" w:type="pct"/>
            <w:shd w:val="clear" w:color="auto" w:fill="auto"/>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_GB2312" w:eastAsia="仿宋_GB2312" w:cs="仿宋_GB2312"/>
                <w:kern w:val="2"/>
                <w:sz w:val="24"/>
                <w:szCs w:val="22"/>
                <w:highlight w:val="none"/>
                <w:lang w:val="en-US" w:eastAsia="zh-CN" w:bidi="ar-SA"/>
              </w:rPr>
            </w:pPr>
            <w:r>
              <w:rPr>
                <w:rFonts w:hint="eastAsia" w:ascii="仿宋_GB2312" w:hAnsi="仿宋_GB2312" w:eastAsia="仿宋_GB2312" w:cs="仿宋_GB2312"/>
                <w:sz w:val="24"/>
                <w:szCs w:val="22"/>
                <w:highlight w:val="none"/>
                <w:lang w:val="en-US" w:eastAsia="zh-CN"/>
              </w:rPr>
              <w:t>保修期满</w:t>
            </w:r>
            <w:r>
              <w:rPr>
                <w:rFonts w:hint="eastAsia" w:ascii="仿宋_GB2312" w:hAnsi="仿宋_GB2312" w:eastAsia="仿宋_GB2312" w:cs="仿宋_GB2312"/>
                <w:sz w:val="24"/>
                <w:szCs w:val="22"/>
                <w:highlight w:val="none"/>
                <w:lang w:eastAsia="zh-CN"/>
              </w:rPr>
              <w:t>，乙方</w:t>
            </w:r>
            <w:r>
              <w:rPr>
                <w:rFonts w:hint="eastAsia" w:ascii="仿宋_GB2312" w:hAnsi="仿宋_GB2312" w:eastAsia="仿宋_GB2312" w:cs="仿宋_GB2312"/>
                <w:sz w:val="24"/>
                <w:szCs w:val="22"/>
                <w:highlight w:val="none"/>
                <w:lang w:val="en-US" w:eastAsia="zh-CN"/>
              </w:rPr>
              <w:t>出具保修期工作总结报告，</w:t>
            </w:r>
            <w:r>
              <w:rPr>
                <w:rFonts w:hint="eastAsia" w:ascii="仿宋_GB2312" w:hAnsi="仿宋_GB2312" w:eastAsia="仿宋_GB2312" w:cs="仿宋_GB2312"/>
                <w:sz w:val="24"/>
                <w:szCs w:val="22"/>
                <w:highlight w:val="none"/>
                <w:lang w:eastAsia="zh-CN"/>
              </w:rPr>
              <w:t>甲方收到乙方开具的相应具体金额的增值税专用发票三十（</w:t>
            </w:r>
            <w:r>
              <w:rPr>
                <w:rFonts w:hint="eastAsia" w:ascii="仿宋_GB2312" w:hAnsi="仿宋_GB2312" w:eastAsia="仿宋_GB2312" w:cs="仿宋_GB2312"/>
                <w:sz w:val="24"/>
                <w:szCs w:val="22"/>
                <w:highlight w:val="none"/>
                <w:lang w:val="en-US" w:eastAsia="zh-CN"/>
              </w:rPr>
              <w:t>30</w:t>
            </w:r>
            <w:r>
              <w:rPr>
                <w:rFonts w:hint="eastAsia" w:ascii="仿宋_GB2312" w:hAnsi="仿宋_GB2312" w:eastAsia="仿宋_GB2312" w:cs="仿宋_GB2312"/>
                <w:sz w:val="24"/>
                <w:szCs w:val="22"/>
                <w:highlight w:val="none"/>
                <w:lang w:eastAsia="zh-CN"/>
              </w:rPr>
              <w:t>）个工作日内</w:t>
            </w:r>
          </w:p>
        </w:tc>
        <w:tc>
          <w:tcPr>
            <w:tcW w:w="980" w:type="pct"/>
            <w:shd w:val="clear" w:color="auto" w:fill="auto"/>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仿宋_GB2312" w:hAnsi="仿宋_GB2312" w:eastAsia="仿宋_GB2312" w:cs="仿宋_GB2312"/>
                <w:kern w:val="2"/>
                <w:sz w:val="24"/>
                <w:szCs w:val="22"/>
                <w:highlight w:val="none"/>
                <w:lang w:val="en-US" w:eastAsia="zh-CN" w:bidi="ar-SA"/>
              </w:rPr>
            </w:pPr>
            <w:r>
              <w:rPr>
                <w:rFonts w:hint="eastAsia" w:ascii="仿宋_GB2312" w:hAnsi="仿宋_GB2312" w:eastAsia="仿宋_GB2312" w:cs="仿宋_GB2312"/>
                <w:sz w:val="24"/>
                <w:szCs w:val="22"/>
                <w:highlight w:val="none"/>
              </w:rPr>
              <w:t>付款至</w:t>
            </w:r>
            <w:r>
              <w:rPr>
                <w:rFonts w:hint="eastAsia" w:ascii="仿宋_GB2312" w:hAnsi="仿宋_GB2312" w:eastAsia="仿宋_GB2312" w:cs="仿宋_GB2312"/>
                <w:sz w:val="24"/>
                <w:szCs w:val="22"/>
                <w:lang w:val="en-US" w:eastAsia="zh-CN"/>
              </w:rPr>
              <w:t>总</w:t>
            </w:r>
            <w:r>
              <w:rPr>
                <w:rFonts w:hint="eastAsia" w:ascii="仿宋_GB2312" w:hAnsi="仿宋_GB2312" w:eastAsia="仿宋_GB2312" w:cs="仿宋_GB2312"/>
                <w:sz w:val="24"/>
                <w:szCs w:val="22"/>
                <w:highlight w:val="none"/>
              </w:rPr>
              <w:t>金额100%</w:t>
            </w:r>
          </w:p>
        </w:tc>
      </w:tr>
      <w:bookmarkEnd w:id="25"/>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仿宋_GB2312"/>
          <w:sz w:val="24"/>
          <w:szCs w:val="21"/>
        </w:rPr>
      </w:pPr>
      <w:bookmarkStart w:id="26" w:name="_Toc27093"/>
      <w:bookmarkStart w:id="27" w:name="_Toc8242"/>
      <w:r>
        <w:rPr>
          <w:rFonts w:hint="default" w:ascii="Times New Roman" w:hAnsi="Times New Roman" w:eastAsia="仿宋_GB2312"/>
          <w:sz w:val="24"/>
          <w:szCs w:val="21"/>
        </w:rPr>
        <w:t>注：</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仿宋_GB2312"/>
          <w:sz w:val="24"/>
          <w:szCs w:val="21"/>
          <w:lang w:val="en-US" w:eastAsia="zh-CN"/>
        </w:rPr>
      </w:pPr>
      <w:r>
        <w:rPr>
          <w:rFonts w:hint="eastAsia" w:ascii="Times New Roman" w:hAnsi="Times New Roman" w:eastAsia="仿宋_GB2312"/>
          <w:sz w:val="24"/>
          <w:szCs w:val="21"/>
          <w:lang w:val="en-US" w:eastAsia="zh-CN"/>
        </w:rPr>
        <w:t>具体付款节点和比例应根据项目实施进度而定。</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仿宋_GB2312"/>
          <w:sz w:val="24"/>
          <w:szCs w:val="21"/>
        </w:rPr>
      </w:pPr>
      <w:r>
        <w:rPr>
          <w:rFonts w:hint="default" w:ascii="Times New Roman" w:hAnsi="Times New Roman" w:eastAsia="仿宋_GB2312"/>
          <w:sz w:val="24"/>
          <w:szCs w:val="21"/>
        </w:rPr>
        <w:t>以上尾款的付款金额为根据合同约定扣除违约金后（如有）的金额。</w:t>
      </w:r>
    </w:p>
    <w:p>
      <w:pPr>
        <w:pStyle w:val="20"/>
        <w:pageBreakBefore w:val="0"/>
        <w:numPr>
          <w:ilvl w:val="0"/>
          <w:numId w:val="1"/>
        </w:numPr>
        <w:kinsoku/>
        <w:overflowPunct/>
        <w:topLinePunct w:val="0"/>
        <w:autoSpaceDE/>
        <w:autoSpaceDN/>
        <w:bidi w:val="0"/>
        <w:adjustRightInd w:val="0"/>
        <w:snapToGrid/>
        <w:spacing w:before="0" w:beforeLines="0" w:after="0" w:afterLines="0" w:line="560" w:lineRule="exact"/>
        <w:ind w:left="0" w:leftChars="0" w:firstLine="640" w:firstLineChars="200"/>
        <w:textAlignment w:val="baseline"/>
        <w:outlineLvl w:val="0"/>
        <w:rPr>
          <w:rFonts w:ascii="Times New Roman" w:hAnsi="黑体" w:eastAsia="黑体" w:cs="Times New Roman"/>
          <w:b w:val="0"/>
          <w:bCs w:val="0"/>
          <w:sz w:val="32"/>
          <w:highlight w:val="none"/>
        </w:rPr>
      </w:pPr>
      <w:bookmarkStart w:id="28" w:name="_Toc6497"/>
      <w:r>
        <w:rPr>
          <w:rFonts w:ascii="Times New Roman" w:hAnsi="黑体" w:eastAsia="黑体" w:cs="Times New Roman"/>
          <w:b w:val="0"/>
          <w:bCs w:val="0"/>
          <w:sz w:val="32"/>
          <w:highlight w:val="none"/>
        </w:rPr>
        <w:t>履约验收方案</w:t>
      </w:r>
      <w:bookmarkEnd w:id="26"/>
      <w:bookmarkEnd w:id="27"/>
      <w:bookmarkEnd w:id="28"/>
    </w:p>
    <w:p>
      <w:pPr>
        <w:pStyle w:val="20"/>
        <w:adjustRightInd w:val="0"/>
        <w:spacing w:before="0" w:beforeLines="0" w:after="0" w:afterLines="0" w:line="560" w:lineRule="exact"/>
        <w:ind w:firstLine="643" w:firstLineChars="200"/>
        <w:textAlignment w:val="baseline"/>
        <w:rPr>
          <w:rFonts w:hint="eastAsia" w:ascii="楷体_GB2312" w:hAnsi="楷体_GB2312" w:eastAsia="楷体_GB2312" w:cs="楷体_GB2312"/>
          <w:b/>
          <w:bCs/>
          <w:sz w:val="32"/>
          <w:highlight w:val="none"/>
        </w:rPr>
      </w:pPr>
      <w:bookmarkStart w:id="29" w:name="_Toc339888460"/>
      <w:bookmarkStart w:id="30" w:name="_Toc199219954"/>
      <w:bookmarkStart w:id="31" w:name="_Toc427324160"/>
      <w:bookmarkStart w:id="32" w:name="_Toc241634330"/>
      <w:r>
        <w:rPr>
          <w:rFonts w:hint="eastAsia" w:ascii="楷体_GB2312" w:hAnsi="楷体_GB2312" w:eastAsia="楷体_GB2312" w:cs="楷体_GB2312"/>
          <w:b/>
          <w:bCs/>
          <w:sz w:val="32"/>
          <w:highlight w:val="none"/>
        </w:rPr>
        <w:t>（一）履约验收的主体、时间、程序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1.项目验收标准。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本项目成功投产上线并稳定运行3个月后，可以开始项目验收。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2.项目验收流程。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在乙方提交了相应阶段的文档交付物或软件交付物后，由中国进出口银行在收到交付物的【10】个工作日内，按验收标准对文档交付物或软件交付物进行验收，或书面提出与验收标准不符之处及改进建议，由投标人在收到中国进出口银行书面反馈后的【10】个工作日内按改进建议进行修改后，再次提交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对各交付物的整个验收流程应该在自首次提交之日起的【20】个工作日内完成。</w:t>
      </w:r>
    </w:p>
    <w:p>
      <w:pPr>
        <w:pStyle w:val="20"/>
        <w:pageBreakBefore w:val="0"/>
        <w:kinsoku/>
        <w:wordWrap/>
        <w:overflowPunct/>
        <w:topLinePunct w:val="0"/>
        <w:autoSpaceDE/>
        <w:autoSpaceDN/>
        <w:bidi w:val="0"/>
        <w:adjustRightInd w:val="0"/>
        <w:snapToGrid/>
        <w:spacing w:before="0" w:beforeLines="0" w:after="0" w:afterLines="0" w:line="560" w:lineRule="exact"/>
        <w:ind w:firstLine="643" w:firstLineChars="200"/>
        <w:textAlignment w:val="baseline"/>
        <w:rPr>
          <w:rFonts w:hint="eastAsia" w:ascii="楷体_GB2312" w:hAnsi="楷体_GB2312" w:eastAsia="楷体_GB2312" w:cs="楷体_GB2312"/>
          <w:b/>
          <w:bCs/>
          <w:sz w:val="32"/>
          <w:highlight w:val="none"/>
        </w:rPr>
      </w:pPr>
      <w:r>
        <w:rPr>
          <w:rFonts w:hint="eastAsia" w:ascii="楷体_GB2312" w:hAnsi="楷体_GB2312" w:eastAsia="楷体_GB2312" w:cs="楷体_GB2312"/>
          <w:b/>
          <w:bCs/>
          <w:sz w:val="32"/>
          <w:highlight w:val="none"/>
        </w:rPr>
        <w:t>（二）履约验收内容和标准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1.验收内容。</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baseline"/>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验收交付物包括但不限于文档资料、代码、上线版本</w:t>
      </w:r>
      <w:r>
        <w:rPr>
          <w:rFonts w:hint="eastAsia" w:ascii="仿宋_GB2312" w:hAnsi="仿宋_GB2312" w:eastAsia="仿宋_GB2312" w:cs="仿宋_GB2312"/>
          <w:sz w:val="32"/>
          <w:szCs w:val="32"/>
          <w:highlight w:val="none"/>
          <w:lang w:val="en-US" w:eastAsia="zh-CN"/>
        </w:rPr>
        <w:t>等</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2.验收条件。</w:t>
      </w:r>
    </w:p>
    <w:p>
      <w:pPr>
        <w:pStyle w:val="31"/>
        <w:keepNext w:val="0"/>
        <w:keepLines w:val="0"/>
        <w:pageBreakBefore w:val="0"/>
        <w:widowControl w:val="0"/>
        <w:kinsoku/>
        <w:wordWrap/>
        <w:overflowPunct/>
        <w:topLinePunct w:val="0"/>
        <w:autoSpaceDE/>
        <w:autoSpaceDN/>
        <w:bidi w:val="0"/>
        <w:adjustRightInd/>
        <w:snapToGrid/>
        <w:spacing w:afterLines="0"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本项目成功投产上线，各阶段工作任务完成，满足甲方的使用要求</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并且提交本项目的所有正式交付件。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3.文档验收标准。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（1）文档内容应包含对应工作阶段的所有工作任务的最终成果；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（2）文档内容无重大分歧，甲方能够接受文档中的主要观点、认可文档中所体现的工作成果；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（3）描述某一独立完整的系统功能的章节不存在颠覆性的错误（包括不真实、遗漏、误差、以及对使用者可能产生误导的信息）；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（4）文字无重大或误导性错误，一般性错误的总字数不超过文档总字数的0.5％。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4.系统验收标准。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（1）系统投产上线后，系统运行正常；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（2）系统符合本工作说明书、业务需求及运维的要求；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（3）系统设计符合系统集成规划和标准；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（4）系统的安全等级保护基本要求满足国家标准中对本系统的相应要求；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（5）系统设计质量符合国家及行业标准。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5.SLA 考核指标。</w:t>
      </w:r>
    </w:p>
    <w:bookmarkEnd w:id="29"/>
    <w:bookmarkEnd w:id="30"/>
    <w:bookmarkEnd w:id="31"/>
    <w:bookmarkEnd w:id="32"/>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bookmarkStart w:id="33" w:name="_Toc15097"/>
      <w:bookmarkStart w:id="34" w:name="_Toc20402"/>
      <w:r>
        <w:rPr>
          <w:rFonts w:hint="eastAsia" w:ascii="仿宋_GB2312" w:hAnsi="仿宋_GB2312" w:eastAsia="仿宋_GB2312" w:cs="仿宋_GB2312"/>
          <w:sz w:val="32"/>
          <w:szCs w:val="32"/>
          <w:highlight w:val="none"/>
          <w:lang w:val="en-US" w:eastAsia="zh-CN"/>
        </w:rPr>
        <w:t>（1）指标。</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5"/>
        <w:gridCol w:w="1163"/>
        <w:gridCol w:w="1100"/>
        <w:gridCol w:w="1413"/>
        <w:gridCol w:w="3892"/>
        <w:gridCol w:w="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 w:type="pct"/>
            <w:vAlign w:val="center"/>
          </w:tcPr>
          <w:p>
            <w:pPr>
              <w:widowControl/>
              <w:spacing w:line="240" w:lineRule="auto"/>
              <w:jc w:val="center"/>
              <w:rPr>
                <w:rFonts w:hint="eastAsia" w:ascii="仿宋_GB2312" w:hAnsi="仿宋_GB2312" w:eastAsia="仿宋_GB2312" w:cs="仿宋_GB2312"/>
                <w:b/>
                <w:bCs/>
                <w:kern w:val="0"/>
                <w:sz w:val="24"/>
                <w:szCs w:val="24"/>
                <w:lang w:val="en-GB"/>
              </w:rPr>
            </w:pPr>
            <w:r>
              <w:rPr>
                <w:rFonts w:hint="eastAsia" w:ascii="仿宋_GB2312" w:hAnsi="仿宋_GB2312" w:eastAsia="仿宋_GB2312" w:cs="仿宋_GB2312"/>
                <w:b/>
                <w:bCs/>
                <w:kern w:val="0"/>
                <w:sz w:val="24"/>
                <w:lang w:val="en-GB"/>
              </w:rPr>
              <w:t>序号</w:t>
            </w:r>
          </w:p>
        </w:tc>
        <w:tc>
          <w:tcPr>
            <w:tcW w:w="682" w:type="pct"/>
            <w:vAlign w:val="center"/>
          </w:tcPr>
          <w:p>
            <w:pPr>
              <w:widowControl/>
              <w:spacing w:line="240" w:lineRule="auto"/>
              <w:jc w:val="center"/>
              <w:rPr>
                <w:rFonts w:hint="eastAsia" w:ascii="仿宋_GB2312" w:hAnsi="仿宋_GB2312" w:eastAsia="仿宋_GB2312" w:cs="仿宋_GB2312"/>
                <w:b/>
                <w:bCs/>
                <w:kern w:val="0"/>
                <w:sz w:val="24"/>
                <w:szCs w:val="24"/>
                <w:lang w:val="en-GB"/>
              </w:rPr>
            </w:pPr>
            <w:r>
              <w:rPr>
                <w:rFonts w:hint="eastAsia" w:ascii="仿宋_GB2312" w:hAnsi="仿宋_GB2312" w:eastAsia="仿宋_GB2312" w:cs="仿宋_GB2312"/>
                <w:b/>
                <w:bCs/>
                <w:kern w:val="0"/>
                <w:sz w:val="24"/>
                <w:lang w:val="en-GB"/>
              </w:rPr>
              <w:t>指标名称</w:t>
            </w:r>
          </w:p>
        </w:tc>
        <w:tc>
          <w:tcPr>
            <w:tcW w:w="645" w:type="pct"/>
            <w:vAlign w:val="center"/>
          </w:tcPr>
          <w:p>
            <w:pPr>
              <w:widowControl/>
              <w:spacing w:line="240" w:lineRule="auto"/>
              <w:jc w:val="center"/>
              <w:rPr>
                <w:rFonts w:hint="eastAsia" w:ascii="仿宋_GB2312" w:hAnsi="仿宋_GB2312" w:eastAsia="仿宋_GB2312" w:cs="仿宋_GB2312"/>
                <w:b/>
                <w:bCs/>
                <w:kern w:val="0"/>
                <w:sz w:val="24"/>
                <w:szCs w:val="24"/>
                <w:lang w:val="en-GB"/>
              </w:rPr>
            </w:pPr>
            <w:r>
              <w:rPr>
                <w:rFonts w:hint="eastAsia" w:ascii="仿宋_GB2312" w:hAnsi="仿宋_GB2312" w:eastAsia="仿宋_GB2312" w:cs="仿宋_GB2312"/>
                <w:b/>
                <w:bCs/>
                <w:kern w:val="0"/>
                <w:sz w:val="24"/>
                <w:lang w:val="en-GB"/>
              </w:rPr>
              <w:t>量化标准</w:t>
            </w:r>
          </w:p>
        </w:tc>
        <w:tc>
          <w:tcPr>
            <w:tcW w:w="829" w:type="pct"/>
            <w:vAlign w:val="center"/>
          </w:tcPr>
          <w:p>
            <w:pPr>
              <w:widowControl/>
              <w:spacing w:line="240" w:lineRule="auto"/>
              <w:jc w:val="center"/>
              <w:rPr>
                <w:rFonts w:hint="eastAsia" w:ascii="仿宋_GB2312" w:hAnsi="仿宋_GB2312" w:eastAsia="仿宋_GB2312" w:cs="仿宋_GB2312"/>
                <w:b/>
                <w:bCs/>
                <w:kern w:val="0"/>
                <w:sz w:val="24"/>
                <w:szCs w:val="24"/>
                <w:lang w:val="en-GB"/>
              </w:rPr>
            </w:pPr>
            <w:r>
              <w:rPr>
                <w:rFonts w:hint="eastAsia" w:ascii="仿宋_GB2312" w:hAnsi="仿宋_GB2312" w:eastAsia="仿宋_GB2312" w:cs="仿宋_GB2312"/>
                <w:b/>
                <w:bCs/>
                <w:kern w:val="0"/>
                <w:sz w:val="24"/>
                <w:lang w:val="en-GB"/>
              </w:rPr>
              <w:t>说明</w:t>
            </w:r>
          </w:p>
        </w:tc>
        <w:tc>
          <w:tcPr>
            <w:tcW w:w="2284" w:type="pct"/>
            <w:vAlign w:val="center"/>
          </w:tcPr>
          <w:p>
            <w:pPr>
              <w:widowControl/>
              <w:spacing w:line="240" w:lineRule="auto"/>
              <w:jc w:val="center"/>
              <w:rPr>
                <w:rFonts w:hint="eastAsia" w:ascii="仿宋_GB2312" w:hAnsi="仿宋_GB2312" w:eastAsia="仿宋_GB2312" w:cs="仿宋_GB2312"/>
                <w:b/>
                <w:bCs/>
                <w:kern w:val="0"/>
                <w:sz w:val="24"/>
                <w:lang w:val="en-GB"/>
              </w:rPr>
            </w:pPr>
            <w:r>
              <w:rPr>
                <w:rFonts w:hint="eastAsia" w:ascii="仿宋_GB2312" w:hAnsi="仿宋_GB2312" w:eastAsia="仿宋_GB2312" w:cs="仿宋_GB2312"/>
                <w:b/>
                <w:bCs/>
                <w:kern w:val="0"/>
                <w:sz w:val="24"/>
                <w:lang w:val="en-GB"/>
              </w:rPr>
              <w:t>评估方式</w:t>
            </w:r>
          </w:p>
          <w:p>
            <w:pPr>
              <w:widowControl/>
              <w:spacing w:line="240" w:lineRule="auto"/>
              <w:jc w:val="center"/>
              <w:rPr>
                <w:rFonts w:hint="eastAsia" w:ascii="仿宋_GB2312" w:hAnsi="仿宋_GB2312" w:eastAsia="仿宋_GB2312" w:cs="仿宋_GB2312"/>
                <w:b/>
                <w:bCs/>
                <w:kern w:val="0"/>
                <w:sz w:val="24"/>
                <w:szCs w:val="24"/>
                <w:lang w:val="en-GB"/>
              </w:rPr>
            </w:pPr>
            <w:r>
              <w:rPr>
                <w:rFonts w:hint="eastAsia" w:ascii="仿宋_GB2312" w:hAnsi="仿宋_GB2312" w:eastAsia="仿宋_GB2312" w:cs="仿宋_GB2312"/>
                <w:b/>
                <w:bCs/>
                <w:kern w:val="0"/>
                <w:sz w:val="24"/>
                <w:lang w:val="en-GB"/>
              </w:rPr>
              <w:t>（优100-良80-中60-差0）</w:t>
            </w:r>
          </w:p>
        </w:tc>
        <w:tc>
          <w:tcPr>
            <w:tcW w:w="338" w:type="pct"/>
            <w:vAlign w:val="center"/>
          </w:tcPr>
          <w:p>
            <w:pPr>
              <w:widowControl/>
              <w:spacing w:line="240" w:lineRule="auto"/>
              <w:jc w:val="center"/>
              <w:rPr>
                <w:rFonts w:hint="eastAsia" w:ascii="仿宋_GB2312" w:hAnsi="仿宋_GB2312" w:eastAsia="仿宋_GB2312" w:cs="仿宋_GB2312"/>
                <w:b/>
                <w:bCs/>
                <w:kern w:val="0"/>
                <w:sz w:val="24"/>
                <w:szCs w:val="24"/>
                <w:lang w:val="en-GB"/>
              </w:rPr>
            </w:pPr>
            <w:r>
              <w:rPr>
                <w:rFonts w:hint="eastAsia" w:ascii="仿宋_GB2312" w:hAnsi="仿宋_GB2312" w:eastAsia="仿宋_GB2312" w:cs="仿宋_GB2312"/>
                <w:b/>
                <w:bCs/>
                <w:kern w:val="0"/>
                <w:sz w:val="24"/>
                <w:lang w:val="en-GB"/>
              </w:rPr>
              <w:t>指标占比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 w:type="pct"/>
            <w:vAlign w:val="center"/>
          </w:tcPr>
          <w:p>
            <w:pPr>
              <w:pStyle w:val="42"/>
              <w:widowControl/>
              <w:spacing w:line="240" w:lineRule="auto"/>
              <w:ind w:firstLine="0" w:firstLineChars="0"/>
              <w:jc w:val="center"/>
              <w:rPr>
                <w:rFonts w:hint="eastAsia" w:ascii="仿宋_GB2312" w:hAnsi="仿宋_GB2312" w:eastAsia="仿宋_GB2312" w:cs="仿宋_GB2312"/>
                <w:kern w:val="0"/>
                <w:sz w:val="24"/>
                <w:szCs w:val="24"/>
                <w:lang w:val="de-DE"/>
              </w:rPr>
            </w:pPr>
            <w:r>
              <w:rPr>
                <w:rFonts w:hint="eastAsia" w:ascii="仿宋_GB2312" w:hAnsi="仿宋_GB2312" w:eastAsia="仿宋_GB2312" w:cs="仿宋_GB2312"/>
                <w:kern w:val="0"/>
                <w:sz w:val="24"/>
                <w:szCs w:val="24"/>
                <w:lang w:val="de-DE"/>
              </w:rPr>
              <w:t>1</w:t>
            </w:r>
          </w:p>
        </w:tc>
        <w:tc>
          <w:tcPr>
            <w:tcW w:w="682" w:type="pct"/>
            <w:vAlign w:val="center"/>
          </w:tcPr>
          <w:p>
            <w:pPr>
              <w:pStyle w:val="42"/>
              <w:widowControl/>
              <w:spacing w:line="240" w:lineRule="auto"/>
              <w:ind w:firstLine="0" w:firstLineChars="0"/>
              <w:jc w:val="center"/>
              <w:rPr>
                <w:rFonts w:hint="eastAsia" w:ascii="仿宋_GB2312" w:hAnsi="仿宋_GB2312" w:eastAsia="仿宋_GB2312" w:cs="仿宋_GB2312"/>
                <w:kern w:val="0"/>
                <w:sz w:val="24"/>
                <w:szCs w:val="24"/>
                <w:lang w:val="de-DE"/>
              </w:rPr>
            </w:pPr>
            <w:r>
              <w:rPr>
                <w:rFonts w:hint="eastAsia" w:ascii="仿宋_GB2312" w:hAnsi="仿宋_GB2312" w:eastAsia="仿宋_GB2312" w:cs="仿宋_GB2312"/>
                <w:kern w:val="0"/>
                <w:sz w:val="24"/>
                <w:szCs w:val="24"/>
                <w:lang w:val="de-DE"/>
              </w:rPr>
              <w:t>本项目进度及计划执行率</w:t>
            </w:r>
          </w:p>
        </w:tc>
        <w:tc>
          <w:tcPr>
            <w:tcW w:w="645" w:type="pct"/>
            <w:vAlign w:val="center"/>
          </w:tcPr>
          <w:p>
            <w:pPr>
              <w:pStyle w:val="42"/>
              <w:widowControl/>
              <w:spacing w:line="240" w:lineRule="auto"/>
              <w:ind w:firstLine="0" w:firstLineChars="0"/>
              <w:jc w:val="center"/>
              <w:rPr>
                <w:rFonts w:hint="eastAsia" w:ascii="仿宋_GB2312" w:hAnsi="仿宋_GB2312" w:eastAsia="仿宋_GB2312" w:cs="仿宋_GB2312"/>
                <w:kern w:val="0"/>
                <w:sz w:val="24"/>
                <w:szCs w:val="24"/>
                <w:lang w:val="de-DE"/>
              </w:rPr>
            </w:pPr>
            <w:r>
              <w:rPr>
                <w:rFonts w:hint="eastAsia" w:ascii="仿宋_GB2312" w:hAnsi="仿宋_GB2312" w:eastAsia="仿宋_GB2312" w:cs="仿宋_GB2312"/>
                <w:kern w:val="0"/>
                <w:sz w:val="24"/>
                <w:szCs w:val="24"/>
                <w:lang w:val="de-DE"/>
              </w:rPr>
              <w:t>各阶段累计工作延后完成天数/各阶段累计计划天数</w:t>
            </w:r>
          </w:p>
        </w:tc>
        <w:tc>
          <w:tcPr>
            <w:tcW w:w="829" w:type="pct"/>
            <w:vAlign w:val="center"/>
          </w:tcPr>
          <w:p>
            <w:pPr>
              <w:pStyle w:val="42"/>
              <w:widowControl/>
              <w:spacing w:line="240" w:lineRule="auto"/>
              <w:ind w:firstLine="0" w:firstLineChars="0"/>
              <w:jc w:val="center"/>
              <w:rPr>
                <w:rFonts w:hint="eastAsia" w:ascii="仿宋_GB2312" w:hAnsi="仿宋_GB2312" w:eastAsia="仿宋_GB2312" w:cs="仿宋_GB2312"/>
                <w:kern w:val="0"/>
                <w:sz w:val="24"/>
                <w:szCs w:val="24"/>
                <w:lang w:val="de-DE"/>
              </w:rPr>
            </w:pPr>
            <w:r>
              <w:rPr>
                <w:rFonts w:hint="eastAsia" w:ascii="仿宋_GB2312" w:hAnsi="仿宋_GB2312" w:eastAsia="仿宋_GB2312" w:cs="仿宋_GB2312"/>
                <w:kern w:val="0"/>
                <w:sz w:val="24"/>
                <w:szCs w:val="24"/>
                <w:lang w:val="de-DE"/>
              </w:rPr>
              <w:t>每一阶段完成后，</w:t>
            </w:r>
            <w:r>
              <w:rPr>
                <w:rFonts w:hint="eastAsia" w:ascii="仿宋_GB2312" w:hAnsi="仿宋_GB2312" w:eastAsia="仿宋_GB2312" w:cs="仿宋_GB2312"/>
                <w:kern w:val="0"/>
                <w:sz w:val="24"/>
                <w:szCs w:val="24"/>
                <w:lang w:val="en-US" w:eastAsia="zh-CN"/>
              </w:rPr>
              <w:t>根据需要</w:t>
            </w:r>
            <w:r>
              <w:rPr>
                <w:rFonts w:hint="eastAsia" w:ascii="仿宋_GB2312" w:hAnsi="仿宋_GB2312" w:eastAsia="仿宋_GB2312" w:cs="仿宋_GB2312"/>
                <w:kern w:val="0"/>
                <w:sz w:val="24"/>
                <w:szCs w:val="24"/>
                <w:lang w:val="de-DE"/>
              </w:rPr>
              <w:t>进行项目计划的调整，考核每一阶段由于</w:t>
            </w:r>
            <w:r>
              <w:rPr>
                <w:rFonts w:hint="eastAsia" w:ascii="仿宋_GB2312" w:hAnsi="仿宋_GB2312" w:eastAsia="仿宋_GB2312" w:cs="仿宋_GB2312"/>
                <w:kern w:val="0"/>
                <w:sz w:val="24"/>
                <w:szCs w:val="24"/>
                <w:lang w:val="en-US" w:eastAsia="zh-CN"/>
              </w:rPr>
              <w:t>乙方</w:t>
            </w:r>
            <w:r>
              <w:rPr>
                <w:rFonts w:hint="eastAsia" w:ascii="仿宋_GB2312" w:hAnsi="仿宋_GB2312" w:eastAsia="仿宋_GB2312" w:cs="仿宋_GB2312"/>
                <w:kern w:val="0"/>
                <w:sz w:val="24"/>
                <w:szCs w:val="24"/>
                <w:lang w:val="de-DE"/>
              </w:rPr>
              <w:t>原因造成比计划延误的比率。</w:t>
            </w:r>
          </w:p>
        </w:tc>
        <w:tc>
          <w:tcPr>
            <w:tcW w:w="2284" w:type="pct"/>
            <w:vAlign w:val="center"/>
          </w:tcPr>
          <w:p>
            <w:pPr>
              <w:pStyle w:val="42"/>
              <w:widowControl/>
              <w:spacing w:line="240" w:lineRule="auto"/>
              <w:ind w:firstLine="0" w:firstLineChars="0"/>
              <w:jc w:val="left"/>
              <w:rPr>
                <w:rFonts w:hint="eastAsia" w:ascii="仿宋_GB2312" w:hAnsi="仿宋_GB2312" w:eastAsia="仿宋_GB2312" w:cs="仿宋_GB2312"/>
                <w:kern w:val="0"/>
                <w:sz w:val="24"/>
                <w:szCs w:val="24"/>
                <w:lang w:val="en-GB"/>
              </w:rPr>
            </w:pPr>
            <w:r>
              <w:rPr>
                <w:rFonts w:hint="eastAsia" w:ascii="仿宋_GB2312" w:hAnsi="仿宋_GB2312" w:eastAsia="仿宋_GB2312" w:cs="仿宋_GB2312"/>
                <w:kern w:val="0"/>
                <w:sz w:val="24"/>
                <w:szCs w:val="24"/>
                <w:lang w:val="en-GB"/>
              </w:rPr>
              <w:t>1. 计划延误率≤</w:t>
            </w:r>
            <w:r>
              <w:rPr>
                <w:rFonts w:hint="eastAsia" w:ascii="仿宋_GB2312" w:hAnsi="仿宋_GB2312" w:eastAsia="仿宋_GB2312" w:cs="仿宋_GB2312"/>
                <w:kern w:val="0"/>
                <w:sz w:val="24"/>
                <w:szCs w:val="24"/>
                <w:lang w:val="en-US" w:eastAsia="zh-CN"/>
              </w:rPr>
              <w:t>5</w:t>
            </w:r>
            <w:r>
              <w:rPr>
                <w:rFonts w:hint="eastAsia" w:ascii="仿宋_GB2312" w:hAnsi="仿宋_GB2312" w:eastAsia="仿宋_GB2312" w:cs="仿宋_GB2312"/>
                <w:kern w:val="0"/>
                <w:sz w:val="24"/>
                <w:szCs w:val="24"/>
                <w:lang w:val="en-GB"/>
              </w:rPr>
              <w:t>%        优</w:t>
            </w:r>
          </w:p>
          <w:p>
            <w:pPr>
              <w:pStyle w:val="42"/>
              <w:widowControl/>
              <w:spacing w:line="240" w:lineRule="auto"/>
              <w:ind w:firstLine="0" w:firstLineChars="0"/>
              <w:jc w:val="left"/>
              <w:rPr>
                <w:rFonts w:hint="eastAsia" w:ascii="仿宋_GB2312" w:hAnsi="仿宋_GB2312" w:eastAsia="仿宋_GB2312" w:cs="仿宋_GB2312"/>
                <w:kern w:val="0"/>
                <w:sz w:val="24"/>
                <w:szCs w:val="24"/>
                <w:lang w:val="en-GB"/>
              </w:rPr>
            </w:pPr>
            <w:r>
              <w:rPr>
                <w:rFonts w:hint="eastAsia" w:ascii="仿宋_GB2312" w:hAnsi="仿宋_GB2312" w:eastAsia="仿宋_GB2312" w:cs="仿宋_GB2312"/>
                <w:kern w:val="0"/>
                <w:sz w:val="24"/>
                <w:szCs w:val="24"/>
                <w:lang w:val="en-GB"/>
              </w:rPr>
              <w:t xml:space="preserve">2. </w:t>
            </w:r>
            <w:r>
              <w:rPr>
                <w:rFonts w:hint="eastAsia" w:ascii="仿宋_GB2312" w:hAnsi="仿宋_GB2312" w:eastAsia="仿宋_GB2312" w:cs="仿宋_GB2312"/>
                <w:kern w:val="0"/>
                <w:sz w:val="24"/>
                <w:szCs w:val="24"/>
                <w:lang w:val="en-US" w:eastAsia="zh-CN"/>
              </w:rPr>
              <w:t>5</w:t>
            </w:r>
            <w:r>
              <w:rPr>
                <w:rFonts w:hint="eastAsia" w:ascii="仿宋_GB2312" w:hAnsi="仿宋_GB2312" w:eastAsia="仿宋_GB2312" w:cs="仿宋_GB2312"/>
                <w:kern w:val="0"/>
                <w:sz w:val="24"/>
                <w:szCs w:val="24"/>
                <w:lang w:val="en-GB"/>
              </w:rPr>
              <w:t>%＜计划延误率≤</w:t>
            </w:r>
            <w:r>
              <w:rPr>
                <w:rFonts w:hint="eastAsia" w:ascii="仿宋_GB2312" w:hAnsi="仿宋_GB2312" w:eastAsia="仿宋_GB2312" w:cs="仿宋_GB2312"/>
                <w:kern w:val="0"/>
                <w:sz w:val="24"/>
                <w:szCs w:val="24"/>
                <w:lang w:val="en-US" w:eastAsia="zh-CN"/>
              </w:rPr>
              <w:t>10</w:t>
            </w:r>
            <w:r>
              <w:rPr>
                <w:rFonts w:hint="eastAsia" w:ascii="仿宋_GB2312" w:hAnsi="仿宋_GB2312" w:eastAsia="仿宋_GB2312" w:cs="仿宋_GB2312"/>
                <w:kern w:val="0"/>
                <w:sz w:val="24"/>
                <w:szCs w:val="24"/>
                <w:lang w:val="en-GB"/>
              </w:rPr>
              <w:t>%   良</w:t>
            </w:r>
          </w:p>
          <w:p>
            <w:pPr>
              <w:pStyle w:val="42"/>
              <w:widowControl/>
              <w:spacing w:line="240" w:lineRule="auto"/>
              <w:ind w:firstLine="0" w:firstLineChars="0"/>
              <w:jc w:val="left"/>
              <w:rPr>
                <w:rFonts w:hint="eastAsia" w:ascii="仿宋_GB2312" w:hAnsi="仿宋_GB2312" w:eastAsia="仿宋_GB2312" w:cs="仿宋_GB2312"/>
                <w:kern w:val="0"/>
                <w:sz w:val="24"/>
                <w:szCs w:val="24"/>
                <w:lang w:val="en-GB"/>
              </w:rPr>
            </w:pPr>
            <w:r>
              <w:rPr>
                <w:rFonts w:hint="eastAsia" w:ascii="仿宋_GB2312" w:hAnsi="仿宋_GB2312" w:eastAsia="仿宋_GB2312" w:cs="仿宋_GB2312"/>
                <w:kern w:val="0"/>
                <w:sz w:val="24"/>
                <w:szCs w:val="24"/>
                <w:lang w:val="en-GB"/>
              </w:rPr>
              <w:t>3.</w:t>
            </w:r>
            <w:r>
              <w:rPr>
                <w:rFonts w:hint="eastAsia" w:ascii="仿宋_GB2312" w:hAnsi="仿宋_GB2312" w:eastAsia="仿宋_GB2312" w:cs="仿宋_GB2312"/>
                <w:kern w:val="0"/>
                <w:sz w:val="24"/>
                <w:szCs w:val="24"/>
                <w:lang w:val="en-US" w:eastAsia="zh-CN"/>
              </w:rPr>
              <w:t xml:space="preserve"> 10</w:t>
            </w:r>
            <w:r>
              <w:rPr>
                <w:rFonts w:hint="eastAsia" w:ascii="仿宋_GB2312" w:hAnsi="仿宋_GB2312" w:eastAsia="仿宋_GB2312" w:cs="仿宋_GB2312"/>
                <w:kern w:val="0"/>
                <w:sz w:val="24"/>
                <w:szCs w:val="24"/>
                <w:lang w:val="en-GB"/>
              </w:rPr>
              <w:t>%＜计划延误率≤15%  中</w:t>
            </w:r>
          </w:p>
          <w:p>
            <w:pPr>
              <w:pStyle w:val="42"/>
              <w:widowControl/>
              <w:spacing w:line="240" w:lineRule="auto"/>
              <w:ind w:firstLine="0" w:firstLineChars="0"/>
              <w:jc w:val="left"/>
              <w:rPr>
                <w:rFonts w:hint="eastAsia" w:ascii="仿宋_GB2312" w:hAnsi="仿宋_GB2312" w:eastAsia="仿宋_GB2312" w:cs="仿宋_GB2312"/>
                <w:kern w:val="0"/>
                <w:sz w:val="24"/>
                <w:szCs w:val="24"/>
                <w:lang w:val="en-GB"/>
              </w:rPr>
            </w:pPr>
            <w:r>
              <w:rPr>
                <w:rFonts w:hint="eastAsia" w:ascii="仿宋_GB2312" w:hAnsi="仿宋_GB2312" w:eastAsia="仿宋_GB2312" w:cs="仿宋_GB2312"/>
                <w:kern w:val="0"/>
                <w:sz w:val="24"/>
                <w:szCs w:val="24"/>
                <w:lang w:val="en-GB"/>
              </w:rPr>
              <w:t>4.</w:t>
            </w: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lang w:val="en-GB"/>
              </w:rPr>
              <w:t>15%＜计划延误率       差</w:t>
            </w:r>
          </w:p>
        </w:tc>
        <w:tc>
          <w:tcPr>
            <w:tcW w:w="338" w:type="pct"/>
            <w:vAlign w:val="center"/>
          </w:tcPr>
          <w:p>
            <w:pPr>
              <w:pStyle w:val="42"/>
              <w:widowControl/>
              <w:spacing w:line="240" w:lineRule="auto"/>
              <w:ind w:firstLine="0" w:firstLineChars="0"/>
              <w:jc w:val="center"/>
              <w:rPr>
                <w:rFonts w:hint="eastAsia" w:ascii="仿宋_GB2312" w:hAnsi="仿宋_GB2312" w:eastAsia="仿宋_GB2312" w:cs="仿宋_GB2312"/>
                <w:kern w:val="0"/>
                <w:sz w:val="24"/>
                <w:szCs w:val="24"/>
                <w:lang w:val="de-DE"/>
              </w:rPr>
            </w:pPr>
            <w:r>
              <w:rPr>
                <w:rFonts w:hint="eastAsia" w:ascii="仿宋_GB2312" w:hAnsi="仿宋_GB2312" w:eastAsia="仿宋_GB2312" w:cs="仿宋_GB2312"/>
                <w:kern w:val="0"/>
                <w:sz w:val="24"/>
                <w:szCs w:val="24"/>
                <w:lang w:val="en-US" w:eastAsia="zh-CN"/>
              </w:rPr>
              <w:t>4</w:t>
            </w:r>
            <w:r>
              <w:rPr>
                <w:rFonts w:hint="eastAsia" w:ascii="仿宋_GB2312" w:hAnsi="仿宋_GB2312" w:eastAsia="仿宋_GB2312" w:cs="仿宋_GB2312"/>
                <w:kern w:val="0"/>
                <w:sz w:val="24"/>
                <w:szCs w:val="24"/>
                <w:lang w:val="de-D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 w:type="pct"/>
            <w:vAlign w:val="center"/>
          </w:tcPr>
          <w:p>
            <w:pPr>
              <w:pStyle w:val="42"/>
              <w:widowControl/>
              <w:spacing w:line="240" w:lineRule="auto"/>
              <w:ind w:firstLine="0" w:firstLineChars="0"/>
              <w:jc w:val="center"/>
              <w:rPr>
                <w:rFonts w:hint="eastAsia" w:ascii="仿宋_GB2312" w:hAnsi="仿宋_GB2312" w:eastAsia="仿宋_GB2312" w:cs="仿宋_GB2312"/>
                <w:kern w:val="0"/>
                <w:sz w:val="24"/>
                <w:szCs w:val="24"/>
                <w:lang w:val="de-DE"/>
              </w:rPr>
            </w:pPr>
            <w:r>
              <w:rPr>
                <w:rFonts w:hint="eastAsia" w:ascii="仿宋_GB2312" w:hAnsi="仿宋_GB2312" w:eastAsia="仿宋_GB2312" w:cs="仿宋_GB2312"/>
                <w:kern w:val="0"/>
                <w:sz w:val="24"/>
                <w:szCs w:val="24"/>
                <w:lang w:val="de-DE"/>
              </w:rPr>
              <w:t>2</w:t>
            </w:r>
          </w:p>
        </w:tc>
        <w:tc>
          <w:tcPr>
            <w:tcW w:w="682" w:type="pct"/>
            <w:vAlign w:val="center"/>
          </w:tcPr>
          <w:p>
            <w:pPr>
              <w:pStyle w:val="42"/>
              <w:widowControl/>
              <w:spacing w:line="240" w:lineRule="auto"/>
              <w:ind w:firstLine="0" w:firstLineChars="0"/>
              <w:jc w:val="center"/>
              <w:rPr>
                <w:rFonts w:hint="eastAsia" w:ascii="仿宋_GB2312" w:hAnsi="仿宋_GB2312" w:eastAsia="仿宋_GB2312" w:cs="仿宋_GB2312"/>
                <w:kern w:val="0"/>
                <w:sz w:val="24"/>
                <w:szCs w:val="24"/>
                <w:lang w:val="de-DE"/>
              </w:rPr>
            </w:pPr>
            <w:r>
              <w:rPr>
                <w:rFonts w:hint="eastAsia" w:ascii="仿宋_GB2312" w:hAnsi="仿宋_GB2312" w:eastAsia="仿宋_GB2312" w:cs="仿宋_GB2312"/>
                <w:kern w:val="0"/>
                <w:sz w:val="24"/>
                <w:szCs w:val="24"/>
                <w:lang w:val="de-DE"/>
              </w:rPr>
              <w:t>项目投产后问题数量</w:t>
            </w:r>
          </w:p>
        </w:tc>
        <w:tc>
          <w:tcPr>
            <w:tcW w:w="645" w:type="pct"/>
            <w:vAlign w:val="center"/>
          </w:tcPr>
          <w:p>
            <w:pPr>
              <w:pStyle w:val="42"/>
              <w:widowControl/>
              <w:spacing w:line="240" w:lineRule="auto"/>
              <w:ind w:firstLine="0" w:firstLineChars="0"/>
              <w:jc w:val="center"/>
              <w:rPr>
                <w:rFonts w:hint="eastAsia" w:ascii="仿宋_GB2312" w:hAnsi="仿宋_GB2312" w:eastAsia="仿宋_GB2312" w:cs="仿宋_GB2312"/>
                <w:kern w:val="0"/>
                <w:sz w:val="24"/>
                <w:szCs w:val="24"/>
                <w:lang w:val="de-DE"/>
              </w:rPr>
            </w:pPr>
            <w:r>
              <w:rPr>
                <w:rFonts w:hint="eastAsia" w:ascii="仿宋_GB2312" w:hAnsi="仿宋_GB2312" w:eastAsia="仿宋_GB2312" w:cs="仿宋_GB2312"/>
                <w:kern w:val="0"/>
                <w:sz w:val="24"/>
                <w:szCs w:val="24"/>
                <w:lang w:val="de-DE"/>
              </w:rPr>
              <w:t>投产后至验收时累计问题数</w:t>
            </w:r>
          </w:p>
        </w:tc>
        <w:tc>
          <w:tcPr>
            <w:tcW w:w="829" w:type="pct"/>
            <w:vAlign w:val="center"/>
          </w:tcPr>
          <w:p>
            <w:pPr>
              <w:pStyle w:val="42"/>
              <w:widowControl/>
              <w:spacing w:line="240" w:lineRule="auto"/>
              <w:ind w:firstLine="0" w:firstLineChars="0"/>
              <w:rPr>
                <w:rFonts w:hint="eastAsia" w:ascii="仿宋_GB2312" w:hAnsi="仿宋_GB2312" w:eastAsia="仿宋_GB2312" w:cs="仿宋_GB2312"/>
                <w:kern w:val="0"/>
                <w:sz w:val="24"/>
                <w:szCs w:val="24"/>
                <w:lang w:val="de-DE"/>
              </w:rPr>
            </w:pPr>
            <w:r>
              <w:rPr>
                <w:rFonts w:hint="eastAsia" w:ascii="仿宋_GB2312" w:hAnsi="仿宋_GB2312" w:eastAsia="仿宋_GB2312" w:cs="仿宋_GB2312"/>
                <w:kern w:val="0"/>
                <w:sz w:val="24"/>
                <w:szCs w:val="24"/>
                <w:lang w:val="de-DE"/>
              </w:rPr>
              <w:t>程序缺陷导致的问题去重后进行累计。</w:t>
            </w:r>
          </w:p>
        </w:tc>
        <w:tc>
          <w:tcPr>
            <w:tcW w:w="2284" w:type="pct"/>
            <w:vAlign w:val="center"/>
          </w:tcPr>
          <w:p>
            <w:pPr>
              <w:pStyle w:val="42"/>
              <w:widowControl/>
              <w:numPr>
                <w:ilvl w:val="0"/>
                <w:numId w:val="4"/>
              </w:numPr>
              <w:spacing w:line="240" w:lineRule="auto"/>
              <w:ind w:firstLine="0" w:firstLineChars="0"/>
              <w:jc w:val="left"/>
              <w:rPr>
                <w:rFonts w:hint="eastAsia" w:ascii="仿宋_GB2312" w:hAnsi="仿宋_GB2312" w:eastAsia="仿宋_GB2312" w:cs="仿宋_GB2312"/>
                <w:kern w:val="0"/>
                <w:sz w:val="24"/>
                <w:szCs w:val="24"/>
                <w:lang w:val="en-GB"/>
              </w:rPr>
            </w:pPr>
            <w:r>
              <w:rPr>
                <w:rFonts w:hint="eastAsia" w:ascii="仿宋_GB2312" w:hAnsi="仿宋_GB2312" w:eastAsia="仿宋_GB2312" w:cs="仿宋_GB2312"/>
                <w:kern w:val="0"/>
                <w:sz w:val="24"/>
                <w:szCs w:val="24"/>
                <w:lang w:val="en-GB"/>
              </w:rPr>
              <w:t xml:space="preserve">问题数≤5   </w:t>
            </w: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lang w:val="en-GB"/>
              </w:rPr>
              <w:t>优</w:t>
            </w:r>
          </w:p>
          <w:p>
            <w:pPr>
              <w:pStyle w:val="42"/>
              <w:widowControl/>
              <w:spacing w:line="240" w:lineRule="auto"/>
              <w:ind w:firstLine="0" w:firstLineChars="0"/>
              <w:jc w:val="left"/>
              <w:rPr>
                <w:rFonts w:hint="eastAsia" w:ascii="仿宋_GB2312" w:hAnsi="仿宋_GB2312" w:eastAsia="仿宋_GB2312" w:cs="仿宋_GB2312"/>
                <w:kern w:val="0"/>
                <w:sz w:val="24"/>
                <w:szCs w:val="24"/>
                <w:lang w:val="en-GB"/>
              </w:rPr>
            </w:pPr>
            <w:r>
              <w:rPr>
                <w:rFonts w:hint="eastAsia" w:ascii="仿宋_GB2312" w:hAnsi="仿宋_GB2312" w:eastAsia="仿宋_GB2312" w:cs="仿宋_GB2312"/>
                <w:kern w:val="0"/>
                <w:sz w:val="24"/>
                <w:szCs w:val="24"/>
                <w:lang w:val="en-GB"/>
              </w:rPr>
              <w:t>2.</w:t>
            </w:r>
            <w:r>
              <w:rPr>
                <w:rFonts w:hint="eastAsia" w:ascii="仿宋_GB2312" w:hAnsi="仿宋_GB2312" w:eastAsia="仿宋_GB2312" w:cs="仿宋_GB2312"/>
                <w:kern w:val="0"/>
                <w:sz w:val="24"/>
                <w:szCs w:val="24"/>
                <w:lang w:val="en-US" w:eastAsia="zh-CN"/>
              </w:rPr>
              <w:t xml:space="preserve"> 5&lt;</w:t>
            </w:r>
            <w:r>
              <w:rPr>
                <w:rFonts w:hint="eastAsia" w:ascii="仿宋_GB2312" w:hAnsi="仿宋_GB2312" w:eastAsia="仿宋_GB2312" w:cs="仿宋_GB2312"/>
                <w:kern w:val="0"/>
                <w:sz w:val="24"/>
                <w:szCs w:val="24"/>
                <w:lang w:val="en-GB"/>
              </w:rPr>
              <w:t>问题数≤1</w:t>
            </w:r>
            <w:r>
              <w:rPr>
                <w:rFonts w:hint="eastAsia" w:ascii="仿宋_GB2312" w:hAnsi="仿宋_GB2312" w:eastAsia="仿宋_GB2312" w:cs="仿宋_GB2312"/>
                <w:kern w:val="0"/>
                <w:sz w:val="24"/>
                <w:szCs w:val="24"/>
                <w:lang w:val="en-US" w:eastAsia="zh-CN"/>
              </w:rPr>
              <w:t>5</w:t>
            </w:r>
            <w:r>
              <w:rPr>
                <w:rFonts w:hint="eastAsia" w:ascii="仿宋_GB2312" w:hAnsi="仿宋_GB2312" w:eastAsia="仿宋_GB2312" w:cs="仿宋_GB2312"/>
                <w:kern w:val="0"/>
                <w:sz w:val="24"/>
                <w:szCs w:val="24"/>
                <w:lang w:val="en-GB"/>
              </w:rPr>
              <w:t xml:space="preserve"> </w:t>
            </w: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lang w:val="en-GB"/>
              </w:rPr>
              <w:t>良</w:t>
            </w:r>
          </w:p>
          <w:p>
            <w:pPr>
              <w:pStyle w:val="42"/>
              <w:widowControl/>
              <w:spacing w:line="240" w:lineRule="auto"/>
              <w:ind w:firstLine="0" w:firstLineChars="0"/>
              <w:jc w:val="left"/>
              <w:rPr>
                <w:rFonts w:hint="eastAsia" w:ascii="仿宋_GB2312" w:hAnsi="仿宋_GB2312" w:eastAsia="仿宋_GB2312" w:cs="仿宋_GB2312"/>
                <w:kern w:val="0"/>
                <w:sz w:val="24"/>
                <w:szCs w:val="24"/>
                <w:lang w:val="en-GB"/>
              </w:rPr>
            </w:pPr>
            <w:r>
              <w:rPr>
                <w:rFonts w:hint="eastAsia" w:ascii="仿宋_GB2312" w:hAnsi="仿宋_GB2312" w:eastAsia="仿宋_GB2312" w:cs="仿宋_GB2312"/>
                <w:kern w:val="0"/>
                <w:sz w:val="24"/>
                <w:szCs w:val="24"/>
                <w:lang w:val="en-GB"/>
              </w:rPr>
              <w:t>3.</w:t>
            </w:r>
            <w:r>
              <w:rPr>
                <w:rFonts w:hint="eastAsia" w:ascii="仿宋_GB2312" w:hAnsi="仿宋_GB2312" w:eastAsia="仿宋_GB2312" w:cs="仿宋_GB2312"/>
                <w:kern w:val="0"/>
                <w:sz w:val="24"/>
                <w:szCs w:val="24"/>
                <w:lang w:val="en-US" w:eastAsia="zh-CN"/>
              </w:rPr>
              <w:t xml:space="preserve"> 15&lt;</w:t>
            </w:r>
            <w:r>
              <w:rPr>
                <w:rFonts w:hint="eastAsia" w:ascii="仿宋_GB2312" w:hAnsi="仿宋_GB2312" w:eastAsia="仿宋_GB2312" w:cs="仿宋_GB2312"/>
                <w:kern w:val="0"/>
                <w:sz w:val="24"/>
                <w:szCs w:val="24"/>
                <w:lang w:val="en-GB"/>
              </w:rPr>
              <w:t>问题数≤</w:t>
            </w:r>
            <w:r>
              <w:rPr>
                <w:rFonts w:hint="eastAsia" w:ascii="仿宋_GB2312" w:hAnsi="仿宋_GB2312" w:eastAsia="仿宋_GB2312" w:cs="仿宋_GB2312"/>
                <w:kern w:val="0"/>
                <w:sz w:val="24"/>
                <w:szCs w:val="24"/>
                <w:lang w:val="en-US" w:eastAsia="zh-CN"/>
              </w:rPr>
              <w:t>30</w:t>
            </w:r>
            <w:r>
              <w:rPr>
                <w:rFonts w:hint="eastAsia" w:ascii="仿宋_GB2312" w:hAnsi="仿宋_GB2312" w:eastAsia="仿宋_GB2312" w:cs="仿宋_GB2312"/>
                <w:kern w:val="0"/>
                <w:sz w:val="24"/>
                <w:szCs w:val="24"/>
                <w:lang w:val="en-GB"/>
              </w:rPr>
              <w:t xml:space="preserve"> 中</w:t>
            </w:r>
          </w:p>
          <w:p>
            <w:pPr>
              <w:pStyle w:val="42"/>
              <w:widowControl/>
              <w:spacing w:line="240" w:lineRule="auto"/>
              <w:ind w:firstLine="0" w:firstLineChars="0"/>
              <w:jc w:val="left"/>
              <w:rPr>
                <w:rFonts w:hint="eastAsia" w:ascii="仿宋_GB2312" w:hAnsi="仿宋_GB2312" w:eastAsia="仿宋_GB2312" w:cs="仿宋_GB2312"/>
                <w:kern w:val="0"/>
                <w:sz w:val="24"/>
                <w:szCs w:val="24"/>
                <w:lang w:val="en-GB"/>
              </w:rPr>
            </w:pPr>
            <w:r>
              <w:rPr>
                <w:rFonts w:hint="eastAsia" w:ascii="仿宋_GB2312" w:hAnsi="仿宋_GB2312" w:eastAsia="仿宋_GB2312" w:cs="仿宋_GB2312"/>
                <w:kern w:val="0"/>
                <w:sz w:val="24"/>
                <w:szCs w:val="24"/>
                <w:lang w:val="en-GB"/>
              </w:rPr>
              <w:t>4.</w:t>
            </w:r>
            <w:r>
              <w:rPr>
                <w:rFonts w:hint="eastAsia" w:ascii="仿宋_GB2312" w:hAnsi="仿宋_GB2312" w:eastAsia="仿宋_GB2312" w:cs="仿宋_GB2312"/>
                <w:kern w:val="0"/>
                <w:sz w:val="24"/>
                <w:szCs w:val="24"/>
                <w:lang w:val="en-US" w:eastAsia="zh-CN"/>
              </w:rPr>
              <w:t xml:space="preserve"> 30&lt;</w:t>
            </w:r>
            <w:r>
              <w:rPr>
                <w:rFonts w:hint="eastAsia" w:ascii="仿宋_GB2312" w:hAnsi="仿宋_GB2312" w:eastAsia="仿宋_GB2312" w:cs="仿宋_GB2312"/>
                <w:kern w:val="0"/>
                <w:sz w:val="24"/>
                <w:szCs w:val="24"/>
                <w:lang w:val="en-GB"/>
              </w:rPr>
              <w:t xml:space="preserve">问题数  </w:t>
            </w:r>
            <w:r>
              <w:rPr>
                <w:rFonts w:hint="eastAsia" w:ascii="仿宋_GB2312" w:hAnsi="仿宋_GB2312" w:eastAsia="仿宋_GB2312" w:cs="仿宋_GB2312"/>
                <w:kern w:val="0"/>
                <w:sz w:val="24"/>
                <w:szCs w:val="24"/>
                <w:lang w:val="en-US" w:eastAsia="zh-CN"/>
              </w:rPr>
              <w:t xml:space="preserve">   </w:t>
            </w:r>
            <w:r>
              <w:rPr>
                <w:rFonts w:hint="eastAsia" w:ascii="仿宋_GB2312" w:hAnsi="仿宋_GB2312" w:eastAsia="仿宋_GB2312" w:cs="仿宋_GB2312"/>
                <w:kern w:val="0"/>
                <w:sz w:val="24"/>
                <w:szCs w:val="24"/>
                <w:lang w:val="en-GB"/>
              </w:rPr>
              <w:t>差</w:t>
            </w:r>
          </w:p>
        </w:tc>
        <w:tc>
          <w:tcPr>
            <w:tcW w:w="338" w:type="pct"/>
            <w:vAlign w:val="center"/>
          </w:tcPr>
          <w:p>
            <w:pPr>
              <w:pStyle w:val="42"/>
              <w:widowControl/>
              <w:spacing w:line="240" w:lineRule="auto"/>
              <w:ind w:firstLine="0" w:firstLineChars="0"/>
              <w:jc w:val="center"/>
              <w:rPr>
                <w:rFonts w:hint="eastAsia" w:ascii="仿宋_GB2312" w:hAnsi="仿宋_GB2312" w:eastAsia="仿宋_GB2312" w:cs="仿宋_GB2312"/>
                <w:kern w:val="0"/>
                <w:sz w:val="24"/>
                <w:szCs w:val="24"/>
                <w:lang w:val="de-DE"/>
              </w:rPr>
            </w:pPr>
            <w:r>
              <w:rPr>
                <w:rFonts w:hint="eastAsia" w:ascii="仿宋_GB2312" w:hAnsi="仿宋_GB2312" w:eastAsia="仿宋_GB2312" w:cs="仿宋_GB2312"/>
                <w:kern w:val="0"/>
                <w:sz w:val="24"/>
                <w:szCs w:val="24"/>
                <w:lang w:val="en-US" w:eastAsia="zh-CN"/>
              </w:rPr>
              <w:t>3</w:t>
            </w:r>
            <w:r>
              <w:rPr>
                <w:rFonts w:hint="eastAsia" w:ascii="仿宋_GB2312" w:hAnsi="仿宋_GB2312" w:eastAsia="仿宋_GB2312" w:cs="仿宋_GB2312"/>
                <w:kern w:val="0"/>
                <w:sz w:val="24"/>
                <w:szCs w:val="24"/>
                <w:lang w:val="de-D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 w:type="pct"/>
            <w:vAlign w:val="center"/>
          </w:tcPr>
          <w:p>
            <w:pPr>
              <w:pStyle w:val="42"/>
              <w:widowControl/>
              <w:spacing w:line="240" w:lineRule="auto"/>
              <w:ind w:firstLine="0" w:firstLineChars="0"/>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3</w:t>
            </w:r>
          </w:p>
        </w:tc>
        <w:tc>
          <w:tcPr>
            <w:tcW w:w="682" w:type="pct"/>
            <w:vAlign w:val="center"/>
          </w:tcPr>
          <w:p>
            <w:pPr>
              <w:pStyle w:val="42"/>
              <w:widowControl/>
              <w:spacing w:line="240" w:lineRule="auto"/>
              <w:ind w:firstLine="0" w:firstLineChars="0"/>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工单未及时处理率</w:t>
            </w:r>
          </w:p>
        </w:tc>
        <w:tc>
          <w:tcPr>
            <w:tcW w:w="645" w:type="pct"/>
            <w:vAlign w:val="center"/>
          </w:tcPr>
          <w:p>
            <w:pPr>
              <w:pStyle w:val="42"/>
              <w:widowControl/>
              <w:spacing w:line="240" w:lineRule="auto"/>
              <w:ind w:firstLine="0" w:firstLineChars="0"/>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工单处理时长超一个月工单数量/总工单数量</w:t>
            </w:r>
          </w:p>
        </w:tc>
        <w:tc>
          <w:tcPr>
            <w:tcW w:w="829" w:type="pct"/>
            <w:vAlign w:val="center"/>
          </w:tcPr>
          <w:p>
            <w:pPr>
              <w:pStyle w:val="42"/>
              <w:widowControl/>
              <w:spacing w:line="240" w:lineRule="auto"/>
              <w:ind w:firstLine="0" w:firstLineChars="0"/>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本系统所有工单纳入统计。</w:t>
            </w:r>
          </w:p>
        </w:tc>
        <w:tc>
          <w:tcPr>
            <w:tcW w:w="2284" w:type="pct"/>
            <w:vAlign w:val="center"/>
          </w:tcPr>
          <w:p>
            <w:pPr>
              <w:pStyle w:val="42"/>
              <w:widowControl/>
              <w:numPr>
                <w:ilvl w:val="-1"/>
                <w:numId w:val="0"/>
              </w:numPr>
              <w:spacing w:line="240" w:lineRule="auto"/>
              <w:ind w:firstLine="0" w:firstLineChars="0"/>
              <w:jc w:val="left"/>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 工单未及时处理率</w:t>
            </w:r>
            <w:r>
              <w:rPr>
                <w:rFonts w:hint="eastAsia" w:ascii="仿宋_GB2312" w:hAnsi="仿宋_GB2312" w:eastAsia="仿宋_GB2312" w:cs="仿宋_GB2312"/>
                <w:kern w:val="0"/>
                <w:sz w:val="24"/>
                <w:szCs w:val="24"/>
                <w:lang w:val="en-GB"/>
              </w:rPr>
              <w:t>≤0%</w:t>
            </w:r>
            <w:r>
              <w:rPr>
                <w:rFonts w:hint="eastAsia" w:ascii="仿宋_GB2312" w:hAnsi="仿宋_GB2312" w:eastAsia="仿宋_GB2312" w:cs="仿宋_GB2312"/>
                <w:kern w:val="0"/>
                <w:sz w:val="24"/>
                <w:szCs w:val="24"/>
                <w:lang w:val="en-US" w:eastAsia="zh-CN"/>
              </w:rPr>
              <w:t xml:space="preserve">     优</w:t>
            </w:r>
          </w:p>
          <w:p>
            <w:pPr>
              <w:pStyle w:val="42"/>
              <w:widowControl/>
              <w:numPr>
                <w:ilvl w:val="-1"/>
                <w:numId w:val="0"/>
              </w:numPr>
              <w:spacing w:line="240" w:lineRule="auto"/>
              <w:ind w:firstLine="0" w:firstLineChars="0"/>
              <w:jc w:val="left"/>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2. 0%&lt;工单未及时处理率</w:t>
            </w:r>
            <w:r>
              <w:rPr>
                <w:rFonts w:hint="eastAsia" w:ascii="仿宋_GB2312" w:hAnsi="仿宋_GB2312" w:eastAsia="仿宋_GB2312" w:cs="仿宋_GB2312"/>
                <w:kern w:val="0"/>
                <w:sz w:val="24"/>
                <w:szCs w:val="24"/>
                <w:lang w:val="en-GB"/>
              </w:rPr>
              <w:t>≤</w:t>
            </w:r>
            <w:r>
              <w:rPr>
                <w:rFonts w:hint="eastAsia" w:ascii="仿宋_GB2312" w:hAnsi="仿宋_GB2312" w:eastAsia="仿宋_GB2312" w:cs="仿宋_GB2312"/>
                <w:kern w:val="0"/>
                <w:sz w:val="24"/>
                <w:szCs w:val="24"/>
                <w:lang w:val="en-US" w:eastAsia="zh-CN"/>
              </w:rPr>
              <w:t>5</w:t>
            </w:r>
            <w:r>
              <w:rPr>
                <w:rFonts w:hint="eastAsia" w:ascii="仿宋_GB2312" w:hAnsi="仿宋_GB2312" w:eastAsia="仿宋_GB2312" w:cs="仿宋_GB2312"/>
                <w:kern w:val="0"/>
                <w:sz w:val="24"/>
                <w:szCs w:val="24"/>
                <w:lang w:val="en-GB"/>
              </w:rPr>
              <w:t>%</w:t>
            </w:r>
            <w:r>
              <w:rPr>
                <w:rFonts w:hint="eastAsia" w:ascii="仿宋_GB2312" w:hAnsi="仿宋_GB2312" w:eastAsia="仿宋_GB2312" w:cs="仿宋_GB2312"/>
                <w:kern w:val="0"/>
                <w:sz w:val="24"/>
                <w:szCs w:val="24"/>
                <w:lang w:val="en-US" w:eastAsia="zh-CN"/>
              </w:rPr>
              <w:t xml:space="preserve">  良</w:t>
            </w:r>
          </w:p>
          <w:p>
            <w:pPr>
              <w:pStyle w:val="42"/>
              <w:widowControl/>
              <w:numPr>
                <w:ilvl w:val="-1"/>
                <w:numId w:val="0"/>
              </w:numPr>
              <w:spacing w:line="240" w:lineRule="auto"/>
              <w:ind w:firstLine="0" w:firstLineChars="0"/>
              <w:jc w:val="left"/>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3. 5%&lt;工单未及时处理率</w:t>
            </w:r>
            <w:r>
              <w:rPr>
                <w:rFonts w:hint="eastAsia" w:ascii="仿宋_GB2312" w:hAnsi="仿宋_GB2312" w:eastAsia="仿宋_GB2312" w:cs="仿宋_GB2312"/>
                <w:kern w:val="0"/>
                <w:sz w:val="24"/>
                <w:szCs w:val="24"/>
                <w:lang w:val="en-GB"/>
              </w:rPr>
              <w:t>≤</w:t>
            </w:r>
            <w:r>
              <w:rPr>
                <w:rFonts w:hint="eastAsia" w:ascii="仿宋_GB2312" w:hAnsi="仿宋_GB2312" w:eastAsia="仿宋_GB2312" w:cs="仿宋_GB2312"/>
                <w:kern w:val="0"/>
                <w:sz w:val="24"/>
                <w:szCs w:val="24"/>
                <w:lang w:val="en-US" w:eastAsia="zh-CN"/>
              </w:rPr>
              <w:t>15</w:t>
            </w:r>
            <w:r>
              <w:rPr>
                <w:rFonts w:hint="eastAsia" w:ascii="仿宋_GB2312" w:hAnsi="仿宋_GB2312" w:eastAsia="仿宋_GB2312" w:cs="仿宋_GB2312"/>
                <w:kern w:val="0"/>
                <w:sz w:val="24"/>
                <w:szCs w:val="24"/>
                <w:lang w:val="en-GB"/>
              </w:rPr>
              <w:t>%</w:t>
            </w:r>
            <w:r>
              <w:rPr>
                <w:rFonts w:hint="eastAsia" w:ascii="仿宋_GB2312" w:hAnsi="仿宋_GB2312" w:eastAsia="仿宋_GB2312" w:cs="仿宋_GB2312"/>
                <w:kern w:val="0"/>
                <w:sz w:val="24"/>
                <w:szCs w:val="24"/>
                <w:lang w:val="en-US" w:eastAsia="zh-CN"/>
              </w:rPr>
              <w:t xml:space="preserve"> 中</w:t>
            </w:r>
          </w:p>
          <w:p>
            <w:pPr>
              <w:pStyle w:val="42"/>
              <w:widowControl/>
              <w:numPr>
                <w:ilvl w:val="-1"/>
                <w:numId w:val="0"/>
              </w:numPr>
              <w:spacing w:line="240" w:lineRule="auto"/>
              <w:ind w:firstLine="0" w:firstLineChars="0"/>
              <w:jc w:val="left"/>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4. 15%&lt;工单未及时处理率     差</w:t>
            </w:r>
          </w:p>
        </w:tc>
        <w:tc>
          <w:tcPr>
            <w:tcW w:w="338" w:type="pct"/>
            <w:vAlign w:val="center"/>
          </w:tcPr>
          <w:p>
            <w:pPr>
              <w:pStyle w:val="42"/>
              <w:widowControl/>
              <w:spacing w:line="240" w:lineRule="auto"/>
              <w:ind w:firstLine="0" w:firstLineChars="0"/>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20%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（2）考核时点。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本项目发起验收时，进行SLA考核。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（3）SLA等级。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根据SLA最后得分情况，划分为四个等级：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SLA&gt;=95的为优；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SLA在80-95的为良；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SLA在60-80的为中；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SLA&lt;60的为差。</w:t>
      </w:r>
    </w:p>
    <w:p>
      <w:pPr>
        <w:pStyle w:val="20"/>
        <w:pageBreakBefore w:val="0"/>
        <w:numPr>
          <w:ilvl w:val="0"/>
          <w:numId w:val="1"/>
        </w:numPr>
        <w:kinsoku/>
        <w:overflowPunct/>
        <w:topLinePunct w:val="0"/>
        <w:autoSpaceDE/>
        <w:autoSpaceDN/>
        <w:bidi w:val="0"/>
        <w:adjustRightInd w:val="0"/>
        <w:snapToGrid/>
        <w:spacing w:before="0" w:beforeLines="0" w:after="0" w:afterLines="0" w:line="560" w:lineRule="exact"/>
        <w:ind w:left="0" w:leftChars="0" w:firstLine="640" w:firstLineChars="200"/>
        <w:textAlignment w:val="baseline"/>
        <w:outlineLvl w:val="0"/>
        <w:rPr>
          <w:rFonts w:ascii="Times New Roman" w:hAnsi="黑体" w:eastAsia="黑体" w:cs="Times New Roman"/>
          <w:b w:val="0"/>
          <w:bCs w:val="0"/>
          <w:sz w:val="32"/>
          <w:highlight w:val="none"/>
        </w:rPr>
      </w:pPr>
      <w:bookmarkStart w:id="35" w:name="_Toc18988"/>
      <w:r>
        <w:rPr>
          <w:rFonts w:hint="eastAsia" w:ascii="Times New Roman" w:hAnsi="黑体" w:eastAsia="黑体" w:cs="Times New Roman"/>
          <w:b w:val="0"/>
          <w:bCs w:val="0"/>
          <w:sz w:val="32"/>
          <w:highlight w:val="none"/>
          <w:lang w:val="en-US" w:eastAsia="zh-CN"/>
        </w:rPr>
        <w:t>违约责任</w:t>
      </w:r>
      <w:bookmarkEnd w:id="3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（一）乙方在合同签署后，需要在6个月内完成投产上线。如因乙方原因导致未能按期投产上线，将按照每逾期一（1）周（不足一周的按比例计算），扣除“合同价款”的千分之五（5‰），上限百分之七十。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（二）SLA考核的罚则。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1.SLA考核为良：约谈公司高管，提出服务质量保障具体措施并限期落实；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2.SLA考核为中：约谈公司高管，提出服务质量保障具体措施并限期落实，从本次付款起每期付款顺次延迟半年支付，如有多次延迟的，延迟期限叠加。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3.SLA 考核为差：约谈公司高管，提出服务质量保障具体措施并限期落实，暂停本次及以后各期款项支付，直至下次考核时服务质量达到中级以上，接续按以上标准执行。如已是最后一次验收，则扣除“合同价款”的百分之五（5%）。</w:t>
      </w:r>
      <w:bookmarkEnd w:id="33"/>
      <w:bookmarkEnd w:id="34"/>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ejaVu Sans">
    <w:altName w:val="Sylfaen"/>
    <w:panose1 w:val="00000000000000000000"/>
    <w:charset w:val="00"/>
    <w:family w:val="auto"/>
    <w:pitch w:val="default"/>
    <w:sig w:usb0="00000000" w:usb1="00000000" w:usb2="0A246029" w:usb3="0400200C" w:csb0="600001FF" w:csb1="DFFF0000"/>
  </w:font>
  <w:font w:name="Sylfaen">
    <w:panose1 w:val="010A0502050306030303"/>
    <w:charset w:val="00"/>
    <w:family w:val="auto"/>
    <w:pitch w:val="default"/>
    <w:sig w:usb0="04000687" w:usb1="00000000" w:usb2="00000000" w:usb3="00000000" w:csb0="2000009F" w:csb1="00000000"/>
  </w:font>
  <w:font w:name="方正黑体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2BB5B2"/>
    <w:multiLevelType w:val="singleLevel"/>
    <w:tmpl w:val="BA2BB5B2"/>
    <w:lvl w:ilvl="0" w:tentative="0">
      <w:start w:val="1"/>
      <w:numFmt w:val="decimal"/>
      <w:suff w:val="space"/>
      <w:lvlText w:val="%1."/>
      <w:lvlJc w:val="left"/>
    </w:lvl>
  </w:abstractNum>
  <w:abstractNum w:abstractNumId="1">
    <w:nsid w:val="CEC07EA3"/>
    <w:multiLevelType w:val="singleLevel"/>
    <w:tmpl w:val="CEC07EA3"/>
    <w:lvl w:ilvl="0" w:tentative="0">
      <w:start w:val="1"/>
      <w:numFmt w:val="chineseCounting"/>
      <w:suff w:val="nothing"/>
      <w:lvlText w:val="%1、"/>
      <w:lvlJc w:val="left"/>
      <w:pPr>
        <w:tabs>
          <w:tab w:val="left" w:pos="0"/>
        </w:tabs>
      </w:pPr>
      <w:rPr>
        <w:rFonts w:hint="eastAsia" w:ascii="黑体" w:hAnsi="黑体" w:eastAsia="黑体" w:cs="黑体"/>
        <w:sz w:val="32"/>
        <w:szCs w:val="32"/>
      </w:rPr>
    </w:lvl>
  </w:abstractNum>
  <w:abstractNum w:abstractNumId="2">
    <w:nsid w:val="15E32A8D"/>
    <w:multiLevelType w:val="singleLevel"/>
    <w:tmpl w:val="15E32A8D"/>
    <w:lvl w:ilvl="0" w:tentative="0">
      <w:start w:val="1"/>
      <w:numFmt w:val="decimal"/>
      <w:suff w:val="space"/>
      <w:lvlText w:val="%1."/>
      <w:lvlJc w:val="left"/>
    </w:lvl>
  </w:abstractNum>
  <w:abstractNum w:abstractNumId="3">
    <w:nsid w:val="6A9EFD4D"/>
    <w:multiLevelType w:val="singleLevel"/>
    <w:tmpl w:val="6A9EFD4D"/>
    <w:lvl w:ilvl="0" w:tentative="0">
      <w:start w:val="2"/>
      <w:numFmt w:val="chineseCounting"/>
      <w:suff w:val="nothing"/>
      <w:lvlText w:val="（%1）"/>
      <w:lvlJc w:val="left"/>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1316"/>
    <w:rsid w:val="001A5739"/>
    <w:rsid w:val="002417C4"/>
    <w:rsid w:val="0043307A"/>
    <w:rsid w:val="004E464B"/>
    <w:rsid w:val="00571D1B"/>
    <w:rsid w:val="00590AA1"/>
    <w:rsid w:val="00662335"/>
    <w:rsid w:val="0086044E"/>
    <w:rsid w:val="008E34FA"/>
    <w:rsid w:val="008F0F7B"/>
    <w:rsid w:val="00970586"/>
    <w:rsid w:val="00976388"/>
    <w:rsid w:val="00A76622"/>
    <w:rsid w:val="00BE7797"/>
    <w:rsid w:val="00CA1CCC"/>
    <w:rsid w:val="00D55E6C"/>
    <w:rsid w:val="00E442E6"/>
    <w:rsid w:val="00E8708B"/>
    <w:rsid w:val="00F05EB3"/>
    <w:rsid w:val="00F95669"/>
    <w:rsid w:val="01184B48"/>
    <w:rsid w:val="012226E8"/>
    <w:rsid w:val="012B0DF9"/>
    <w:rsid w:val="01322983"/>
    <w:rsid w:val="01374C0C"/>
    <w:rsid w:val="01500ED1"/>
    <w:rsid w:val="015F5DD0"/>
    <w:rsid w:val="01646981"/>
    <w:rsid w:val="016F100A"/>
    <w:rsid w:val="0172376C"/>
    <w:rsid w:val="017308AF"/>
    <w:rsid w:val="01785675"/>
    <w:rsid w:val="017D1AFD"/>
    <w:rsid w:val="017F0884"/>
    <w:rsid w:val="01834A29"/>
    <w:rsid w:val="01937524"/>
    <w:rsid w:val="01964C25"/>
    <w:rsid w:val="01A60743"/>
    <w:rsid w:val="01AB1B9F"/>
    <w:rsid w:val="01B47A59"/>
    <w:rsid w:val="01B81CE2"/>
    <w:rsid w:val="01C26C3A"/>
    <w:rsid w:val="01D041E4"/>
    <w:rsid w:val="01DA21FE"/>
    <w:rsid w:val="01E36864"/>
    <w:rsid w:val="01FB3934"/>
    <w:rsid w:val="020B5EE9"/>
    <w:rsid w:val="020C396B"/>
    <w:rsid w:val="02125874"/>
    <w:rsid w:val="022807D2"/>
    <w:rsid w:val="025C49EE"/>
    <w:rsid w:val="0263071C"/>
    <w:rsid w:val="028326B0"/>
    <w:rsid w:val="028945B9"/>
    <w:rsid w:val="028B1CBA"/>
    <w:rsid w:val="02A75D67"/>
    <w:rsid w:val="02CF5C27"/>
    <w:rsid w:val="02E45BCC"/>
    <w:rsid w:val="02E671A1"/>
    <w:rsid w:val="02FF7A7B"/>
    <w:rsid w:val="031A3F95"/>
    <w:rsid w:val="032121AE"/>
    <w:rsid w:val="03250BB4"/>
    <w:rsid w:val="03521A83"/>
    <w:rsid w:val="035C2393"/>
    <w:rsid w:val="039D1654"/>
    <w:rsid w:val="03C33A72"/>
    <w:rsid w:val="03C71A42"/>
    <w:rsid w:val="03D567D9"/>
    <w:rsid w:val="03DE1667"/>
    <w:rsid w:val="03E37CED"/>
    <w:rsid w:val="03F84410"/>
    <w:rsid w:val="042155D4"/>
    <w:rsid w:val="044A7539"/>
    <w:rsid w:val="04521626"/>
    <w:rsid w:val="04584A2D"/>
    <w:rsid w:val="0462603D"/>
    <w:rsid w:val="0487619B"/>
    <w:rsid w:val="0488627D"/>
    <w:rsid w:val="049843ED"/>
    <w:rsid w:val="04C3735B"/>
    <w:rsid w:val="04C67585"/>
    <w:rsid w:val="04C840A8"/>
    <w:rsid w:val="04DB0285"/>
    <w:rsid w:val="04F97836"/>
    <w:rsid w:val="051800EA"/>
    <w:rsid w:val="05185149"/>
    <w:rsid w:val="052615FE"/>
    <w:rsid w:val="0536769A"/>
    <w:rsid w:val="054113C9"/>
    <w:rsid w:val="05454CB7"/>
    <w:rsid w:val="055D2DDD"/>
    <w:rsid w:val="055D755A"/>
    <w:rsid w:val="057A1088"/>
    <w:rsid w:val="058A1323"/>
    <w:rsid w:val="058B2628"/>
    <w:rsid w:val="05A24027"/>
    <w:rsid w:val="05D22D9C"/>
    <w:rsid w:val="0605216B"/>
    <w:rsid w:val="061B33AB"/>
    <w:rsid w:val="061F2E9B"/>
    <w:rsid w:val="062B6CAE"/>
    <w:rsid w:val="06413D61"/>
    <w:rsid w:val="065964F8"/>
    <w:rsid w:val="06641D2E"/>
    <w:rsid w:val="06881B5C"/>
    <w:rsid w:val="06882FE3"/>
    <w:rsid w:val="06952ADA"/>
    <w:rsid w:val="06AC26FF"/>
    <w:rsid w:val="06AE35EE"/>
    <w:rsid w:val="06BD229F"/>
    <w:rsid w:val="06C55827"/>
    <w:rsid w:val="06C745AE"/>
    <w:rsid w:val="06CB2DC7"/>
    <w:rsid w:val="06FF7F8B"/>
    <w:rsid w:val="07005A0C"/>
    <w:rsid w:val="07015C26"/>
    <w:rsid w:val="072B7F42"/>
    <w:rsid w:val="076766B5"/>
    <w:rsid w:val="077211C3"/>
    <w:rsid w:val="07727C4F"/>
    <w:rsid w:val="078F0773"/>
    <w:rsid w:val="079600FE"/>
    <w:rsid w:val="07986E84"/>
    <w:rsid w:val="07B13BB2"/>
    <w:rsid w:val="07B509B3"/>
    <w:rsid w:val="07C02047"/>
    <w:rsid w:val="07C56A4F"/>
    <w:rsid w:val="07CE18DD"/>
    <w:rsid w:val="07E35FFF"/>
    <w:rsid w:val="07F5179D"/>
    <w:rsid w:val="080055AF"/>
    <w:rsid w:val="081C01B8"/>
    <w:rsid w:val="08521B36"/>
    <w:rsid w:val="0860304A"/>
    <w:rsid w:val="087864F3"/>
    <w:rsid w:val="08847D87"/>
    <w:rsid w:val="08B03E69"/>
    <w:rsid w:val="08B140CE"/>
    <w:rsid w:val="08C2566D"/>
    <w:rsid w:val="08C95420"/>
    <w:rsid w:val="08E77E2B"/>
    <w:rsid w:val="09062BC4"/>
    <w:rsid w:val="090E4468"/>
    <w:rsid w:val="09207FBB"/>
    <w:rsid w:val="0927740B"/>
    <w:rsid w:val="0929112E"/>
    <w:rsid w:val="092B7994"/>
    <w:rsid w:val="09467E45"/>
    <w:rsid w:val="095274DB"/>
    <w:rsid w:val="0955045F"/>
    <w:rsid w:val="09673BFD"/>
    <w:rsid w:val="0971670A"/>
    <w:rsid w:val="097E69D0"/>
    <w:rsid w:val="099278CE"/>
    <w:rsid w:val="09BF2749"/>
    <w:rsid w:val="09DB3168"/>
    <w:rsid w:val="09E666C9"/>
    <w:rsid w:val="09E752E7"/>
    <w:rsid w:val="0A033820"/>
    <w:rsid w:val="0A162BE6"/>
    <w:rsid w:val="0A220AAD"/>
    <w:rsid w:val="0A3E3688"/>
    <w:rsid w:val="0A4031C0"/>
    <w:rsid w:val="0A565A84"/>
    <w:rsid w:val="0A682ED5"/>
    <w:rsid w:val="0A9D7A6A"/>
    <w:rsid w:val="0AA12680"/>
    <w:rsid w:val="0AB1633C"/>
    <w:rsid w:val="0ABE4797"/>
    <w:rsid w:val="0ABF3E2E"/>
    <w:rsid w:val="0AC06D7C"/>
    <w:rsid w:val="0AC10946"/>
    <w:rsid w:val="0AC15133"/>
    <w:rsid w:val="0ACA5A42"/>
    <w:rsid w:val="0AEF0200"/>
    <w:rsid w:val="0B1161B7"/>
    <w:rsid w:val="0B2515D4"/>
    <w:rsid w:val="0B2E1EE3"/>
    <w:rsid w:val="0B300C6A"/>
    <w:rsid w:val="0B47088F"/>
    <w:rsid w:val="0B537F25"/>
    <w:rsid w:val="0B593346"/>
    <w:rsid w:val="0B6257C9"/>
    <w:rsid w:val="0B6B1D48"/>
    <w:rsid w:val="0B6E2CCD"/>
    <w:rsid w:val="0B801CEE"/>
    <w:rsid w:val="0B871679"/>
    <w:rsid w:val="0B994E16"/>
    <w:rsid w:val="0BA021A6"/>
    <w:rsid w:val="0BB17874"/>
    <w:rsid w:val="0BB46675"/>
    <w:rsid w:val="0BB9314C"/>
    <w:rsid w:val="0BBA3D3E"/>
    <w:rsid w:val="0BD229F1"/>
    <w:rsid w:val="0BDF4286"/>
    <w:rsid w:val="0C180F68"/>
    <w:rsid w:val="0C221309"/>
    <w:rsid w:val="0C287643"/>
    <w:rsid w:val="0C2C5A2F"/>
    <w:rsid w:val="0C331791"/>
    <w:rsid w:val="0C382FA7"/>
    <w:rsid w:val="0C4B4C3A"/>
    <w:rsid w:val="0C60135C"/>
    <w:rsid w:val="0C647D62"/>
    <w:rsid w:val="0C6E60F3"/>
    <w:rsid w:val="0C831DFB"/>
    <w:rsid w:val="0C9B7EBC"/>
    <w:rsid w:val="0C9C373F"/>
    <w:rsid w:val="0CB17E61"/>
    <w:rsid w:val="0CD12914"/>
    <w:rsid w:val="0D0C1474"/>
    <w:rsid w:val="0D157B86"/>
    <w:rsid w:val="0D1B1A8F"/>
    <w:rsid w:val="0D2F1C29"/>
    <w:rsid w:val="0D650C0A"/>
    <w:rsid w:val="0D7D2A2D"/>
    <w:rsid w:val="0D8558BB"/>
    <w:rsid w:val="0DC37C76"/>
    <w:rsid w:val="0DC87629"/>
    <w:rsid w:val="0DD3343C"/>
    <w:rsid w:val="0DD570D7"/>
    <w:rsid w:val="0DD77C44"/>
    <w:rsid w:val="0DDD276D"/>
    <w:rsid w:val="0DE6245C"/>
    <w:rsid w:val="0DEE1167"/>
    <w:rsid w:val="0DEF750B"/>
    <w:rsid w:val="0DFB58B4"/>
    <w:rsid w:val="0E1032A1"/>
    <w:rsid w:val="0E1C78AB"/>
    <w:rsid w:val="0E2579C3"/>
    <w:rsid w:val="0E280947"/>
    <w:rsid w:val="0E2B6B05"/>
    <w:rsid w:val="0E315238"/>
    <w:rsid w:val="0E4B437F"/>
    <w:rsid w:val="0E50408A"/>
    <w:rsid w:val="0E5E70B6"/>
    <w:rsid w:val="0E707BF7"/>
    <w:rsid w:val="0E8968B8"/>
    <w:rsid w:val="0E9512FB"/>
    <w:rsid w:val="0EA61216"/>
    <w:rsid w:val="0EB63A2E"/>
    <w:rsid w:val="0ED46CAE"/>
    <w:rsid w:val="0ED777E6"/>
    <w:rsid w:val="0F0E5A87"/>
    <w:rsid w:val="0F105637"/>
    <w:rsid w:val="0F1550CD"/>
    <w:rsid w:val="0F2A17EF"/>
    <w:rsid w:val="0F4B77A5"/>
    <w:rsid w:val="0F4D59B0"/>
    <w:rsid w:val="0F506BCC"/>
    <w:rsid w:val="0F530435"/>
    <w:rsid w:val="0F634E4C"/>
    <w:rsid w:val="0F737C79"/>
    <w:rsid w:val="0F7450E6"/>
    <w:rsid w:val="0F7718EE"/>
    <w:rsid w:val="0F7A0AA7"/>
    <w:rsid w:val="0F8830AB"/>
    <w:rsid w:val="0FA24321"/>
    <w:rsid w:val="0FA436B7"/>
    <w:rsid w:val="0FC770EF"/>
    <w:rsid w:val="0FEB18AD"/>
    <w:rsid w:val="10191F30"/>
    <w:rsid w:val="10204305"/>
    <w:rsid w:val="102163CA"/>
    <w:rsid w:val="10425E36"/>
    <w:rsid w:val="105D643B"/>
    <w:rsid w:val="10640272"/>
    <w:rsid w:val="10701B06"/>
    <w:rsid w:val="107F2121"/>
    <w:rsid w:val="109312D0"/>
    <w:rsid w:val="109E7152"/>
    <w:rsid w:val="10A61FE0"/>
    <w:rsid w:val="10AF3555"/>
    <w:rsid w:val="10D80231"/>
    <w:rsid w:val="10D95CB2"/>
    <w:rsid w:val="10E16942"/>
    <w:rsid w:val="10F1115B"/>
    <w:rsid w:val="11017717"/>
    <w:rsid w:val="11057DFB"/>
    <w:rsid w:val="110D7406"/>
    <w:rsid w:val="110F3511"/>
    <w:rsid w:val="1122192A"/>
    <w:rsid w:val="112A47B8"/>
    <w:rsid w:val="114D01EF"/>
    <w:rsid w:val="114D3A73"/>
    <w:rsid w:val="116B779F"/>
    <w:rsid w:val="1185513E"/>
    <w:rsid w:val="1199630E"/>
    <w:rsid w:val="119C3A28"/>
    <w:rsid w:val="11CE0BB1"/>
    <w:rsid w:val="11D23CCC"/>
    <w:rsid w:val="11EA1528"/>
    <w:rsid w:val="12157C38"/>
    <w:rsid w:val="121C129E"/>
    <w:rsid w:val="12535A88"/>
    <w:rsid w:val="12737FD2"/>
    <w:rsid w:val="12A926AA"/>
    <w:rsid w:val="12B058B8"/>
    <w:rsid w:val="12B10726"/>
    <w:rsid w:val="12BA3C25"/>
    <w:rsid w:val="12D547F3"/>
    <w:rsid w:val="12FE3439"/>
    <w:rsid w:val="13191A65"/>
    <w:rsid w:val="13465DAC"/>
    <w:rsid w:val="134D0FBA"/>
    <w:rsid w:val="134E6A3B"/>
    <w:rsid w:val="139748B1"/>
    <w:rsid w:val="13B0325D"/>
    <w:rsid w:val="13B82867"/>
    <w:rsid w:val="13BD3535"/>
    <w:rsid w:val="13E402E6"/>
    <w:rsid w:val="13E46BAF"/>
    <w:rsid w:val="13E96481"/>
    <w:rsid w:val="140D7D73"/>
    <w:rsid w:val="14153FD6"/>
    <w:rsid w:val="14227D18"/>
    <w:rsid w:val="14507177"/>
    <w:rsid w:val="145E6879"/>
    <w:rsid w:val="14656203"/>
    <w:rsid w:val="146F4594"/>
    <w:rsid w:val="14725519"/>
    <w:rsid w:val="147E132C"/>
    <w:rsid w:val="14C15298"/>
    <w:rsid w:val="14C64FA3"/>
    <w:rsid w:val="14E70D5B"/>
    <w:rsid w:val="15170225"/>
    <w:rsid w:val="151B539B"/>
    <w:rsid w:val="15200B35"/>
    <w:rsid w:val="1524753B"/>
    <w:rsid w:val="15383FDD"/>
    <w:rsid w:val="153E3968"/>
    <w:rsid w:val="15674B2D"/>
    <w:rsid w:val="15701BB9"/>
    <w:rsid w:val="158A2763"/>
    <w:rsid w:val="15930E74"/>
    <w:rsid w:val="15B81E5A"/>
    <w:rsid w:val="15C4607C"/>
    <w:rsid w:val="15E169F5"/>
    <w:rsid w:val="15EB7304"/>
    <w:rsid w:val="16145880"/>
    <w:rsid w:val="161B58D5"/>
    <w:rsid w:val="161F42DB"/>
    <w:rsid w:val="162D35F1"/>
    <w:rsid w:val="16452E96"/>
    <w:rsid w:val="16500A3A"/>
    <w:rsid w:val="1670408C"/>
    <w:rsid w:val="167304E2"/>
    <w:rsid w:val="167F1D76"/>
    <w:rsid w:val="16814F1C"/>
    <w:rsid w:val="16980722"/>
    <w:rsid w:val="16A17D2C"/>
    <w:rsid w:val="16BC6358"/>
    <w:rsid w:val="16EC01AC"/>
    <w:rsid w:val="16ED5C2D"/>
    <w:rsid w:val="16F62632"/>
    <w:rsid w:val="16F861BD"/>
    <w:rsid w:val="1701104A"/>
    <w:rsid w:val="170C2C5F"/>
    <w:rsid w:val="17116093"/>
    <w:rsid w:val="17237001"/>
    <w:rsid w:val="172B646C"/>
    <w:rsid w:val="172B7C90"/>
    <w:rsid w:val="17313978"/>
    <w:rsid w:val="17386FA6"/>
    <w:rsid w:val="174C3A48"/>
    <w:rsid w:val="176B1965"/>
    <w:rsid w:val="17950057"/>
    <w:rsid w:val="17970FA2"/>
    <w:rsid w:val="17A23389"/>
    <w:rsid w:val="17AC14E3"/>
    <w:rsid w:val="17B0376D"/>
    <w:rsid w:val="17B865FB"/>
    <w:rsid w:val="17BD71FF"/>
    <w:rsid w:val="17C937A3"/>
    <w:rsid w:val="17DC4231"/>
    <w:rsid w:val="17DE07C9"/>
    <w:rsid w:val="17E1613A"/>
    <w:rsid w:val="18014470"/>
    <w:rsid w:val="18163111"/>
    <w:rsid w:val="181D051D"/>
    <w:rsid w:val="182C643A"/>
    <w:rsid w:val="18361447"/>
    <w:rsid w:val="184109FB"/>
    <w:rsid w:val="185309F7"/>
    <w:rsid w:val="1856197C"/>
    <w:rsid w:val="18624AC0"/>
    <w:rsid w:val="18640C92"/>
    <w:rsid w:val="18767576"/>
    <w:rsid w:val="18BE00A7"/>
    <w:rsid w:val="18C03380"/>
    <w:rsid w:val="18E67F66"/>
    <w:rsid w:val="18F63A84"/>
    <w:rsid w:val="19267830"/>
    <w:rsid w:val="19512E99"/>
    <w:rsid w:val="19582824"/>
    <w:rsid w:val="195B37A8"/>
    <w:rsid w:val="19666953"/>
    <w:rsid w:val="19740ACF"/>
    <w:rsid w:val="198E4EFC"/>
    <w:rsid w:val="198E60F1"/>
    <w:rsid w:val="19A31984"/>
    <w:rsid w:val="19AA6DAB"/>
    <w:rsid w:val="19BC6CC5"/>
    <w:rsid w:val="19CE2462"/>
    <w:rsid w:val="19DD4C7B"/>
    <w:rsid w:val="1A065E3F"/>
    <w:rsid w:val="1A0F674F"/>
    <w:rsid w:val="1A1928E2"/>
    <w:rsid w:val="1A35310B"/>
    <w:rsid w:val="1A364410"/>
    <w:rsid w:val="1A3F149C"/>
    <w:rsid w:val="1A504FBA"/>
    <w:rsid w:val="1A5C0DCD"/>
    <w:rsid w:val="1A6B35E5"/>
    <w:rsid w:val="1A872F16"/>
    <w:rsid w:val="1A970D2B"/>
    <w:rsid w:val="1AC10F5C"/>
    <w:rsid w:val="1ACD5B04"/>
    <w:rsid w:val="1AD1680D"/>
    <w:rsid w:val="1AD335A1"/>
    <w:rsid w:val="1AE00B15"/>
    <w:rsid w:val="1AE01026"/>
    <w:rsid w:val="1AE74F67"/>
    <w:rsid w:val="1AF60FCB"/>
    <w:rsid w:val="1AF91F50"/>
    <w:rsid w:val="1AFB564D"/>
    <w:rsid w:val="1B0E6672"/>
    <w:rsid w:val="1B1E3089"/>
    <w:rsid w:val="1B4951D2"/>
    <w:rsid w:val="1B5C41F3"/>
    <w:rsid w:val="1B657081"/>
    <w:rsid w:val="1B67712B"/>
    <w:rsid w:val="1B9133C8"/>
    <w:rsid w:val="1BB9498B"/>
    <w:rsid w:val="1BC0542B"/>
    <w:rsid w:val="1BDD21C2"/>
    <w:rsid w:val="1BED245D"/>
    <w:rsid w:val="1BF74BA9"/>
    <w:rsid w:val="1C2019B2"/>
    <w:rsid w:val="1C370605"/>
    <w:rsid w:val="1C3A5DDF"/>
    <w:rsid w:val="1C417C9C"/>
    <w:rsid w:val="1C4D377B"/>
    <w:rsid w:val="1C57790E"/>
    <w:rsid w:val="1C6B3C57"/>
    <w:rsid w:val="1C6C4030"/>
    <w:rsid w:val="1C8A13E1"/>
    <w:rsid w:val="1C962C76"/>
    <w:rsid w:val="1CA86413"/>
    <w:rsid w:val="1CC96948"/>
    <w:rsid w:val="1CD37257"/>
    <w:rsid w:val="1CE7377A"/>
    <w:rsid w:val="1CEB48FE"/>
    <w:rsid w:val="1CEF4B16"/>
    <w:rsid w:val="1CF3300F"/>
    <w:rsid w:val="1D0038A7"/>
    <w:rsid w:val="1D104B3E"/>
    <w:rsid w:val="1D1C50CD"/>
    <w:rsid w:val="1D2A1B27"/>
    <w:rsid w:val="1D492719"/>
    <w:rsid w:val="1D5B5EB7"/>
    <w:rsid w:val="1D67554C"/>
    <w:rsid w:val="1D6B3F53"/>
    <w:rsid w:val="1D752565"/>
    <w:rsid w:val="1D8437F8"/>
    <w:rsid w:val="1DB37BCA"/>
    <w:rsid w:val="1DC345E1"/>
    <w:rsid w:val="1DE75A9B"/>
    <w:rsid w:val="1E0443F2"/>
    <w:rsid w:val="1E220627"/>
    <w:rsid w:val="1E266884"/>
    <w:rsid w:val="1E4361B4"/>
    <w:rsid w:val="1E4E1FC7"/>
    <w:rsid w:val="1E5B385B"/>
    <w:rsid w:val="1E64416A"/>
    <w:rsid w:val="1E682B71"/>
    <w:rsid w:val="1E877D62"/>
    <w:rsid w:val="1E8B1E2C"/>
    <w:rsid w:val="1EA13FCF"/>
    <w:rsid w:val="1EAB6ADD"/>
    <w:rsid w:val="1EB451EE"/>
    <w:rsid w:val="1ECC2895"/>
    <w:rsid w:val="1ED4425A"/>
    <w:rsid w:val="1ED57381"/>
    <w:rsid w:val="1F466CDC"/>
    <w:rsid w:val="1F5262B4"/>
    <w:rsid w:val="1F5B7F6C"/>
    <w:rsid w:val="1F6B6F1B"/>
    <w:rsid w:val="1F7121EC"/>
    <w:rsid w:val="1F784F2C"/>
    <w:rsid w:val="1F81363D"/>
    <w:rsid w:val="1FB42B93"/>
    <w:rsid w:val="1FEB3660"/>
    <w:rsid w:val="1FF300F9"/>
    <w:rsid w:val="1FFA4EF4"/>
    <w:rsid w:val="20100F77"/>
    <w:rsid w:val="201155EC"/>
    <w:rsid w:val="2033565F"/>
    <w:rsid w:val="20724599"/>
    <w:rsid w:val="20752C51"/>
    <w:rsid w:val="20902C51"/>
    <w:rsid w:val="20913F51"/>
    <w:rsid w:val="20914489"/>
    <w:rsid w:val="20915E36"/>
    <w:rsid w:val="20990887"/>
    <w:rsid w:val="209C2C89"/>
    <w:rsid w:val="20D73BEF"/>
    <w:rsid w:val="20E25803"/>
    <w:rsid w:val="20F44810"/>
    <w:rsid w:val="21361A0A"/>
    <w:rsid w:val="214A3F2E"/>
    <w:rsid w:val="214B19AF"/>
    <w:rsid w:val="215238A5"/>
    <w:rsid w:val="215544BD"/>
    <w:rsid w:val="216102D0"/>
    <w:rsid w:val="216D40E2"/>
    <w:rsid w:val="216D7966"/>
    <w:rsid w:val="21793170"/>
    <w:rsid w:val="217F3103"/>
    <w:rsid w:val="218E5D4F"/>
    <w:rsid w:val="21BA320B"/>
    <w:rsid w:val="21BC1ED5"/>
    <w:rsid w:val="21C02D6D"/>
    <w:rsid w:val="21DD569B"/>
    <w:rsid w:val="2203115E"/>
    <w:rsid w:val="22085E65"/>
    <w:rsid w:val="22373F6D"/>
    <w:rsid w:val="22461847"/>
    <w:rsid w:val="225059DA"/>
    <w:rsid w:val="22733C5E"/>
    <w:rsid w:val="2277369B"/>
    <w:rsid w:val="22865EB4"/>
    <w:rsid w:val="22940F07"/>
    <w:rsid w:val="229B303C"/>
    <w:rsid w:val="22D35FB3"/>
    <w:rsid w:val="22D43A35"/>
    <w:rsid w:val="23081905"/>
    <w:rsid w:val="23143199"/>
    <w:rsid w:val="232337B4"/>
    <w:rsid w:val="23393759"/>
    <w:rsid w:val="233C68DC"/>
    <w:rsid w:val="233D435E"/>
    <w:rsid w:val="23694A7D"/>
    <w:rsid w:val="236C4EAD"/>
    <w:rsid w:val="23761F39"/>
    <w:rsid w:val="23827050"/>
    <w:rsid w:val="2390027B"/>
    <w:rsid w:val="23A32E08"/>
    <w:rsid w:val="23A6050A"/>
    <w:rsid w:val="23B430A3"/>
    <w:rsid w:val="23D7455C"/>
    <w:rsid w:val="2406762A"/>
    <w:rsid w:val="24084D2B"/>
    <w:rsid w:val="24175346"/>
    <w:rsid w:val="242F0278"/>
    <w:rsid w:val="243B09FD"/>
    <w:rsid w:val="243D3F00"/>
    <w:rsid w:val="2440113F"/>
    <w:rsid w:val="244D1F9C"/>
    <w:rsid w:val="244D4DD2"/>
    <w:rsid w:val="245F573A"/>
    <w:rsid w:val="246851A0"/>
    <w:rsid w:val="248F4E23"/>
    <w:rsid w:val="249A22F7"/>
    <w:rsid w:val="24AC5839"/>
    <w:rsid w:val="24AE54B9"/>
    <w:rsid w:val="24B60688"/>
    <w:rsid w:val="24C75631"/>
    <w:rsid w:val="24DD188B"/>
    <w:rsid w:val="24E76918"/>
    <w:rsid w:val="250174C1"/>
    <w:rsid w:val="250613CB"/>
    <w:rsid w:val="252743F6"/>
    <w:rsid w:val="255414CA"/>
    <w:rsid w:val="25A115C9"/>
    <w:rsid w:val="25AD3EB7"/>
    <w:rsid w:val="25AF6361"/>
    <w:rsid w:val="25B811EE"/>
    <w:rsid w:val="25C92F01"/>
    <w:rsid w:val="25D02118"/>
    <w:rsid w:val="25D7082F"/>
    <w:rsid w:val="25E71D3E"/>
    <w:rsid w:val="25FD3EE1"/>
    <w:rsid w:val="26470634"/>
    <w:rsid w:val="267628A6"/>
    <w:rsid w:val="267665B9"/>
    <w:rsid w:val="26A34BB6"/>
    <w:rsid w:val="26A80AF7"/>
    <w:rsid w:val="26AA02F7"/>
    <w:rsid w:val="26BA01F3"/>
    <w:rsid w:val="26C329A6"/>
    <w:rsid w:val="26FC08B4"/>
    <w:rsid w:val="27015D0E"/>
    <w:rsid w:val="272726CA"/>
    <w:rsid w:val="272C6B52"/>
    <w:rsid w:val="27304806"/>
    <w:rsid w:val="27520F90"/>
    <w:rsid w:val="27563219"/>
    <w:rsid w:val="27615D27"/>
    <w:rsid w:val="27635E9B"/>
    <w:rsid w:val="278E3373"/>
    <w:rsid w:val="27A25897"/>
    <w:rsid w:val="27A6429D"/>
    <w:rsid w:val="27B37D2F"/>
    <w:rsid w:val="27B92AB7"/>
    <w:rsid w:val="27C55A4B"/>
    <w:rsid w:val="27CC0C59"/>
    <w:rsid w:val="27D22B63"/>
    <w:rsid w:val="27D24D61"/>
    <w:rsid w:val="27D66FEB"/>
    <w:rsid w:val="27F07987"/>
    <w:rsid w:val="28017E2F"/>
    <w:rsid w:val="2803393E"/>
    <w:rsid w:val="280F44F5"/>
    <w:rsid w:val="28300DCA"/>
    <w:rsid w:val="28370309"/>
    <w:rsid w:val="283F7913"/>
    <w:rsid w:val="2844404F"/>
    <w:rsid w:val="28505747"/>
    <w:rsid w:val="286E4D4F"/>
    <w:rsid w:val="28842606"/>
    <w:rsid w:val="289B69F8"/>
    <w:rsid w:val="289C66B7"/>
    <w:rsid w:val="28A20092"/>
    <w:rsid w:val="28B76A86"/>
    <w:rsid w:val="28BB2AE0"/>
    <w:rsid w:val="28ED0D31"/>
    <w:rsid w:val="28F0787D"/>
    <w:rsid w:val="28F54424"/>
    <w:rsid w:val="290D239C"/>
    <w:rsid w:val="29151EF5"/>
    <w:rsid w:val="291C62F0"/>
    <w:rsid w:val="29283114"/>
    <w:rsid w:val="29364C85"/>
    <w:rsid w:val="293A67D8"/>
    <w:rsid w:val="29452A44"/>
    <w:rsid w:val="2948144B"/>
    <w:rsid w:val="29486838"/>
    <w:rsid w:val="295A7167"/>
    <w:rsid w:val="295F681D"/>
    <w:rsid w:val="296E2584"/>
    <w:rsid w:val="299332F5"/>
    <w:rsid w:val="29CD1CD2"/>
    <w:rsid w:val="29D8684D"/>
    <w:rsid w:val="29F933C1"/>
    <w:rsid w:val="2A2036AC"/>
    <w:rsid w:val="2A575D85"/>
    <w:rsid w:val="2A5B0821"/>
    <w:rsid w:val="2A5D7C8E"/>
    <w:rsid w:val="2A621B97"/>
    <w:rsid w:val="2A642E9C"/>
    <w:rsid w:val="2A870AD2"/>
    <w:rsid w:val="2A906B26"/>
    <w:rsid w:val="2A924E16"/>
    <w:rsid w:val="2A9F0519"/>
    <w:rsid w:val="2AA65B04"/>
    <w:rsid w:val="2AB404C3"/>
    <w:rsid w:val="2ABF44AF"/>
    <w:rsid w:val="2ACA2539"/>
    <w:rsid w:val="2AE87872"/>
    <w:rsid w:val="2B044823"/>
    <w:rsid w:val="2B0D67AD"/>
    <w:rsid w:val="2B3C72FC"/>
    <w:rsid w:val="2B4B40DA"/>
    <w:rsid w:val="2B5A166A"/>
    <w:rsid w:val="2B7164D1"/>
    <w:rsid w:val="2B735258"/>
    <w:rsid w:val="2B773C5E"/>
    <w:rsid w:val="2B7B37EA"/>
    <w:rsid w:val="2B9E191F"/>
    <w:rsid w:val="2BB846C7"/>
    <w:rsid w:val="2BE1588C"/>
    <w:rsid w:val="2BFA09B4"/>
    <w:rsid w:val="2C0A6A50"/>
    <w:rsid w:val="2C1602E4"/>
    <w:rsid w:val="2C282B4F"/>
    <w:rsid w:val="2C3C2722"/>
    <w:rsid w:val="2C5632CC"/>
    <w:rsid w:val="2C6C3271"/>
    <w:rsid w:val="2C7D0F8D"/>
    <w:rsid w:val="2C814110"/>
    <w:rsid w:val="2C8D59A4"/>
    <w:rsid w:val="2C8E68DA"/>
    <w:rsid w:val="2C9C0887"/>
    <w:rsid w:val="2C9C5FBF"/>
    <w:rsid w:val="2C9D5C3F"/>
    <w:rsid w:val="2CA751F7"/>
    <w:rsid w:val="2CB43665"/>
    <w:rsid w:val="2CC70108"/>
    <w:rsid w:val="2CC83928"/>
    <w:rsid w:val="2CCB6732"/>
    <w:rsid w:val="2CD90022"/>
    <w:rsid w:val="2CDC6DA8"/>
    <w:rsid w:val="2CDD6A28"/>
    <w:rsid w:val="2CE43849"/>
    <w:rsid w:val="2CE56F84"/>
    <w:rsid w:val="2CFE6EEA"/>
    <w:rsid w:val="2D1F2D15"/>
    <w:rsid w:val="2D35073C"/>
    <w:rsid w:val="2D3559C3"/>
    <w:rsid w:val="2D3938BF"/>
    <w:rsid w:val="2D3E35CA"/>
    <w:rsid w:val="2D3E7D46"/>
    <w:rsid w:val="2D41454E"/>
    <w:rsid w:val="2DAE7101"/>
    <w:rsid w:val="2DBB7962"/>
    <w:rsid w:val="2DBC551B"/>
    <w:rsid w:val="2DC74427"/>
    <w:rsid w:val="2DCD1BB4"/>
    <w:rsid w:val="2DD87F45"/>
    <w:rsid w:val="2DDB30C8"/>
    <w:rsid w:val="2DEC05FC"/>
    <w:rsid w:val="2DFB13FE"/>
    <w:rsid w:val="2E001109"/>
    <w:rsid w:val="2E063012"/>
    <w:rsid w:val="2E2D3A92"/>
    <w:rsid w:val="2E2D764F"/>
    <w:rsid w:val="2E390E23"/>
    <w:rsid w:val="2E4140F1"/>
    <w:rsid w:val="2E4474A2"/>
    <w:rsid w:val="2E4A4A00"/>
    <w:rsid w:val="2E576295"/>
    <w:rsid w:val="2E681DB2"/>
    <w:rsid w:val="2E6C1D31"/>
    <w:rsid w:val="2E8325DC"/>
    <w:rsid w:val="2E85621B"/>
    <w:rsid w:val="2E8F63EE"/>
    <w:rsid w:val="2EE12975"/>
    <w:rsid w:val="2EFF57A9"/>
    <w:rsid w:val="2F196353"/>
    <w:rsid w:val="2F1E4EC6"/>
    <w:rsid w:val="2F2D0876"/>
    <w:rsid w:val="2F4D675F"/>
    <w:rsid w:val="2F5B00C1"/>
    <w:rsid w:val="2F666452"/>
    <w:rsid w:val="2F6F6199"/>
    <w:rsid w:val="2F837F80"/>
    <w:rsid w:val="2FA33D38"/>
    <w:rsid w:val="2FA70053"/>
    <w:rsid w:val="2FBD48E2"/>
    <w:rsid w:val="2FC17D69"/>
    <w:rsid w:val="2FEB68F0"/>
    <w:rsid w:val="2FED01ED"/>
    <w:rsid w:val="300E7B64"/>
    <w:rsid w:val="30177E22"/>
    <w:rsid w:val="30195EF5"/>
    <w:rsid w:val="301C48FC"/>
    <w:rsid w:val="30226805"/>
    <w:rsid w:val="30452170"/>
    <w:rsid w:val="307342F3"/>
    <w:rsid w:val="3080655D"/>
    <w:rsid w:val="308D1737"/>
    <w:rsid w:val="3092233C"/>
    <w:rsid w:val="3095731D"/>
    <w:rsid w:val="30972047"/>
    <w:rsid w:val="30C3797B"/>
    <w:rsid w:val="30C93B1B"/>
    <w:rsid w:val="30CA6F66"/>
    <w:rsid w:val="30DA1A5E"/>
    <w:rsid w:val="30DA5FB3"/>
    <w:rsid w:val="30DC14B6"/>
    <w:rsid w:val="30F36EDD"/>
    <w:rsid w:val="31075B7E"/>
    <w:rsid w:val="310B10D3"/>
    <w:rsid w:val="31152915"/>
    <w:rsid w:val="313205DF"/>
    <w:rsid w:val="31416C5C"/>
    <w:rsid w:val="314B4F7A"/>
    <w:rsid w:val="317E7545"/>
    <w:rsid w:val="317F180E"/>
    <w:rsid w:val="3185482D"/>
    <w:rsid w:val="318E12DA"/>
    <w:rsid w:val="31940C65"/>
    <w:rsid w:val="319E4DF8"/>
    <w:rsid w:val="31B16017"/>
    <w:rsid w:val="31B66C1B"/>
    <w:rsid w:val="31B77F20"/>
    <w:rsid w:val="31DC6E5B"/>
    <w:rsid w:val="31E267E6"/>
    <w:rsid w:val="320A1F29"/>
    <w:rsid w:val="321B600C"/>
    <w:rsid w:val="3225199F"/>
    <w:rsid w:val="322C20DD"/>
    <w:rsid w:val="32667953"/>
    <w:rsid w:val="326E1C4D"/>
    <w:rsid w:val="32724DD0"/>
    <w:rsid w:val="32747406"/>
    <w:rsid w:val="328B139B"/>
    <w:rsid w:val="32A05C83"/>
    <w:rsid w:val="32A54E82"/>
    <w:rsid w:val="32AE54C0"/>
    <w:rsid w:val="32CA3E56"/>
    <w:rsid w:val="32D86323"/>
    <w:rsid w:val="32D87FF7"/>
    <w:rsid w:val="32FB14B1"/>
    <w:rsid w:val="33032140"/>
    <w:rsid w:val="330D5C27"/>
    <w:rsid w:val="331039D5"/>
    <w:rsid w:val="333024E1"/>
    <w:rsid w:val="33334E8E"/>
    <w:rsid w:val="336B086B"/>
    <w:rsid w:val="339B13BA"/>
    <w:rsid w:val="339D2AD1"/>
    <w:rsid w:val="339E233F"/>
    <w:rsid w:val="33B679E6"/>
    <w:rsid w:val="33BE6FF0"/>
    <w:rsid w:val="33D16011"/>
    <w:rsid w:val="33D8341D"/>
    <w:rsid w:val="33E47230"/>
    <w:rsid w:val="33FC25F0"/>
    <w:rsid w:val="340334A3"/>
    <w:rsid w:val="341B0A9E"/>
    <w:rsid w:val="34224B16"/>
    <w:rsid w:val="34463A51"/>
    <w:rsid w:val="34675E29"/>
    <w:rsid w:val="3473581A"/>
    <w:rsid w:val="347D1D21"/>
    <w:rsid w:val="348D47FF"/>
    <w:rsid w:val="34B9050D"/>
    <w:rsid w:val="34CB752E"/>
    <w:rsid w:val="34D658BF"/>
    <w:rsid w:val="34DA79F4"/>
    <w:rsid w:val="34E31351"/>
    <w:rsid w:val="35057307"/>
    <w:rsid w:val="3507280B"/>
    <w:rsid w:val="353F3C69"/>
    <w:rsid w:val="354F6482"/>
    <w:rsid w:val="355C5798"/>
    <w:rsid w:val="356A0331"/>
    <w:rsid w:val="3572793B"/>
    <w:rsid w:val="358C5C65"/>
    <w:rsid w:val="358F2AEF"/>
    <w:rsid w:val="35BB7629"/>
    <w:rsid w:val="35C3492C"/>
    <w:rsid w:val="35C72C49"/>
    <w:rsid w:val="35E421F9"/>
    <w:rsid w:val="35E80BFF"/>
    <w:rsid w:val="35F27D3B"/>
    <w:rsid w:val="35F42D38"/>
    <w:rsid w:val="363869FF"/>
    <w:rsid w:val="365C6CAB"/>
    <w:rsid w:val="366175C4"/>
    <w:rsid w:val="36840A7D"/>
    <w:rsid w:val="36977A9E"/>
    <w:rsid w:val="36B54AD0"/>
    <w:rsid w:val="36D302C5"/>
    <w:rsid w:val="36DC2791"/>
    <w:rsid w:val="36E6529F"/>
    <w:rsid w:val="36F32FEF"/>
    <w:rsid w:val="3720417F"/>
    <w:rsid w:val="372A10F8"/>
    <w:rsid w:val="37366DD3"/>
    <w:rsid w:val="375C6562"/>
    <w:rsid w:val="37750B2B"/>
    <w:rsid w:val="377E4518"/>
    <w:rsid w:val="37851925"/>
    <w:rsid w:val="3786627E"/>
    <w:rsid w:val="379E284F"/>
    <w:rsid w:val="37BA0AFA"/>
    <w:rsid w:val="37BE7500"/>
    <w:rsid w:val="37D1071F"/>
    <w:rsid w:val="37DB48B2"/>
    <w:rsid w:val="37FE560F"/>
    <w:rsid w:val="382332E1"/>
    <w:rsid w:val="382E0158"/>
    <w:rsid w:val="38360444"/>
    <w:rsid w:val="38365EC5"/>
    <w:rsid w:val="386A108F"/>
    <w:rsid w:val="38764AB1"/>
    <w:rsid w:val="38777FB4"/>
    <w:rsid w:val="38941AE2"/>
    <w:rsid w:val="38C90CB7"/>
    <w:rsid w:val="38C91EDE"/>
    <w:rsid w:val="38CA1FBC"/>
    <w:rsid w:val="38E46B8E"/>
    <w:rsid w:val="38F378FD"/>
    <w:rsid w:val="38F81807"/>
    <w:rsid w:val="392B32DA"/>
    <w:rsid w:val="392F7762"/>
    <w:rsid w:val="395064D7"/>
    <w:rsid w:val="396401AD"/>
    <w:rsid w:val="39681ABA"/>
    <w:rsid w:val="39745BCE"/>
    <w:rsid w:val="39810466"/>
    <w:rsid w:val="398F2FFF"/>
    <w:rsid w:val="39954F08"/>
    <w:rsid w:val="39BD2849"/>
    <w:rsid w:val="39C23780"/>
    <w:rsid w:val="39D4246E"/>
    <w:rsid w:val="39F0038E"/>
    <w:rsid w:val="39F41558"/>
    <w:rsid w:val="39FC0C92"/>
    <w:rsid w:val="3A0133CF"/>
    <w:rsid w:val="3A014237"/>
    <w:rsid w:val="3A02553C"/>
    <w:rsid w:val="3A0E5ACB"/>
    <w:rsid w:val="3A261E19"/>
    <w:rsid w:val="3A316F85"/>
    <w:rsid w:val="3A3D2F07"/>
    <w:rsid w:val="3A5C691B"/>
    <w:rsid w:val="3A602052"/>
    <w:rsid w:val="3A923B26"/>
    <w:rsid w:val="3AA35FBF"/>
    <w:rsid w:val="3AB900AC"/>
    <w:rsid w:val="3ABC496A"/>
    <w:rsid w:val="3AC220F7"/>
    <w:rsid w:val="3AC7657F"/>
    <w:rsid w:val="3AD57A93"/>
    <w:rsid w:val="3AEA69DC"/>
    <w:rsid w:val="3AF215C1"/>
    <w:rsid w:val="3B1D6ADB"/>
    <w:rsid w:val="3B3720B6"/>
    <w:rsid w:val="3B6363FD"/>
    <w:rsid w:val="3B64607D"/>
    <w:rsid w:val="3BA62369"/>
    <w:rsid w:val="3BA7366E"/>
    <w:rsid w:val="3BB508EB"/>
    <w:rsid w:val="3BCD05FE"/>
    <w:rsid w:val="3BCE3390"/>
    <w:rsid w:val="3BF633ED"/>
    <w:rsid w:val="3BFA5677"/>
    <w:rsid w:val="3C095D95"/>
    <w:rsid w:val="3C165EA1"/>
    <w:rsid w:val="3C2A03C4"/>
    <w:rsid w:val="3C360355"/>
    <w:rsid w:val="3C623DA1"/>
    <w:rsid w:val="3C691AFA"/>
    <w:rsid w:val="3C7219F5"/>
    <w:rsid w:val="3C7F58D0"/>
    <w:rsid w:val="3C88295C"/>
    <w:rsid w:val="3CBF2E36"/>
    <w:rsid w:val="3CDA2D45"/>
    <w:rsid w:val="3CDF6B3A"/>
    <w:rsid w:val="3CE26756"/>
    <w:rsid w:val="3CE70777"/>
    <w:rsid w:val="3D0038A0"/>
    <w:rsid w:val="3D08452F"/>
    <w:rsid w:val="3D0B1DF7"/>
    <w:rsid w:val="3D232B5B"/>
    <w:rsid w:val="3D382B00"/>
    <w:rsid w:val="3D3F248B"/>
    <w:rsid w:val="3D421C5C"/>
    <w:rsid w:val="3D8949C3"/>
    <w:rsid w:val="3DA51E2F"/>
    <w:rsid w:val="3DB944D0"/>
    <w:rsid w:val="3DFF7C63"/>
    <w:rsid w:val="3E087955"/>
    <w:rsid w:val="3E0E5FDB"/>
    <w:rsid w:val="3E3C10A9"/>
    <w:rsid w:val="3E4F22C8"/>
    <w:rsid w:val="3E605DE6"/>
    <w:rsid w:val="3E6E58E8"/>
    <w:rsid w:val="3E833A1C"/>
    <w:rsid w:val="3EFE13C0"/>
    <w:rsid w:val="3F0435CD"/>
    <w:rsid w:val="3F0E1401"/>
    <w:rsid w:val="3F103E47"/>
    <w:rsid w:val="3F204B9F"/>
    <w:rsid w:val="3F28582E"/>
    <w:rsid w:val="3F463CE0"/>
    <w:rsid w:val="3F4924E0"/>
    <w:rsid w:val="3F4A0FF6"/>
    <w:rsid w:val="3F4F1E6B"/>
    <w:rsid w:val="3F8F2C54"/>
    <w:rsid w:val="3F8F48BD"/>
    <w:rsid w:val="3F916157"/>
    <w:rsid w:val="3F9E546D"/>
    <w:rsid w:val="3FC456AD"/>
    <w:rsid w:val="3FC6532D"/>
    <w:rsid w:val="3FCA2B5D"/>
    <w:rsid w:val="3FF90105"/>
    <w:rsid w:val="40146731"/>
    <w:rsid w:val="40215B26"/>
    <w:rsid w:val="40487E84"/>
    <w:rsid w:val="404D430C"/>
    <w:rsid w:val="405F7AAA"/>
    <w:rsid w:val="40783CDC"/>
    <w:rsid w:val="40786313"/>
    <w:rsid w:val="407C514B"/>
    <w:rsid w:val="408E5B37"/>
    <w:rsid w:val="40BB01C3"/>
    <w:rsid w:val="40C4524F"/>
    <w:rsid w:val="40DA51F5"/>
    <w:rsid w:val="40E35B04"/>
    <w:rsid w:val="40F068A7"/>
    <w:rsid w:val="411F3F25"/>
    <w:rsid w:val="412255E9"/>
    <w:rsid w:val="413D262D"/>
    <w:rsid w:val="414313A1"/>
    <w:rsid w:val="4159182C"/>
    <w:rsid w:val="415F44EB"/>
    <w:rsid w:val="416163D3"/>
    <w:rsid w:val="416A1261"/>
    <w:rsid w:val="41793A79"/>
    <w:rsid w:val="41B44B58"/>
    <w:rsid w:val="41B55E5D"/>
    <w:rsid w:val="41BB44E3"/>
    <w:rsid w:val="41D2798B"/>
    <w:rsid w:val="41EC3DB8"/>
    <w:rsid w:val="42070318"/>
    <w:rsid w:val="42074E95"/>
    <w:rsid w:val="420C5A9C"/>
    <w:rsid w:val="421922FE"/>
    <w:rsid w:val="42274E97"/>
    <w:rsid w:val="422A2598"/>
    <w:rsid w:val="42415A41"/>
    <w:rsid w:val="42683702"/>
    <w:rsid w:val="427E7AA4"/>
    <w:rsid w:val="42947A49"/>
    <w:rsid w:val="42BD668F"/>
    <w:rsid w:val="42CB3D25"/>
    <w:rsid w:val="42D9273C"/>
    <w:rsid w:val="43137E8F"/>
    <w:rsid w:val="431B19E5"/>
    <w:rsid w:val="432A24B7"/>
    <w:rsid w:val="432C3A36"/>
    <w:rsid w:val="432D6943"/>
    <w:rsid w:val="433575D3"/>
    <w:rsid w:val="434A053E"/>
    <w:rsid w:val="43554284"/>
    <w:rsid w:val="43757DB5"/>
    <w:rsid w:val="4392796C"/>
    <w:rsid w:val="43A62D89"/>
    <w:rsid w:val="43B03699"/>
    <w:rsid w:val="43B2241F"/>
    <w:rsid w:val="43BD2182"/>
    <w:rsid w:val="43DA644B"/>
    <w:rsid w:val="43E828F9"/>
    <w:rsid w:val="43EE148A"/>
    <w:rsid w:val="43FD686F"/>
    <w:rsid w:val="4429034B"/>
    <w:rsid w:val="442B2511"/>
    <w:rsid w:val="44302CEE"/>
    <w:rsid w:val="44306BEA"/>
    <w:rsid w:val="443538F2"/>
    <w:rsid w:val="4442648B"/>
    <w:rsid w:val="444651E8"/>
    <w:rsid w:val="44632243"/>
    <w:rsid w:val="446F0254"/>
    <w:rsid w:val="447830E2"/>
    <w:rsid w:val="448750D5"/>
    <w:rsid w:val="449E3321"/>
    <w:rsid w:val="44D6347B"/>
    <w:rsid w:val="44F92736"/>
    <w:rsid w:val="44FF20C1"/>
    <w:rsid w:val="454021E6"/>
    <w:rsid w:val="45473B2F"/>
    <w:rsid w:val="454F1D39"/>
    <w:rsid w:val="455D245B"/>
    <w:rsid w:val="45765583"/>
    <w:rsid w:val="458C2FAA"/>
    <w:rsid w:val="45BB60DF"/>
    <w:rsid w:val="45E16709"/>
    <w:rsid w:val="45E30135"/>
    <w:rsid w:val="45E43639"/>
    <w:rsid w:val="45E97AC0"/>
    <w:rsid w:val="46184D8C"/>
    <w:rsid w:val="46202199"/>
    <w:rsid w:val="46554BF1"/>
    <w:rsid w:val="46706AA0"/>
    <w:rsid w:val="468E6050"/>
    <w:rsid w:val="46901553"/>
    <w:rsid w:val="46A33DD0"/>
    <w:rsid w:val="46BC111E"/>
    <w:rsid w:val="46BD0F24"/>
    <w:rsid w:val="46DD0EBD"/>
    <w:rsid w:val="46ED7A5B"/>
    <w:rsid w:val="46F06FEE"/>
    <w:rsid w:val="470637FB"/>
    <w:rsid w:val="47081E2D"/>
    <w:rsid w:val="47095999"/>
    <w:rsid w:val="47112DA6"/>
    <w:rsid w:val="472C13D1"/>
    <w:rsid w:val="473D74C8"/>
    <w:rsid w:val="47415AF3"/>
    <w:rsid w:val="47496783"/>
    <w:rsid w:val="47602B25"/>
    <w:rsid w:val="476401E3"/>
    <w:rsid w:val="477140C4"/>
    <w:rsid w:val="47867EB4"/>
    <w:rsid w:val="47966882"/>
    <w:rsid w:val="47B63534"/>
    <w:rsid w:val="47D253E2"/>
    <w:rsid w:val="480C3F11"/>
    <w:rsid w:val="480F5247"/>
    <w:rsid w:val="481161CC"/>
    <w:rsid w:val="48290E80"/>
    <w:rsid w:val="484D05AF"/>
    <w:rsid w:val="485324B9"/>
    <w:rsid w:val="48570EBF"/>
    <w:rsid w:val="48575F45"/>
    <w:rsid w:val="486758D6"/>
    <w:rsid w:val="486F2CE2"/>
    <w:rsid w:val="48C12AEC"/>
    <w:rsid w:val="48CE657F"/>
    <w:rsid w:val="48F1583A"/>
    <w:rsid w:val="490D6BA5"/>
    <w:rsid w:val="49280DBD"/>
    <w:rsid w:val="4934502A"/>
    <w:rsid w:val="493914B1"/>
    <w:rsid w:val="494C678A"/>
    <w:rsid w:val="49520D56"/>
    <w:rsid w:val="49636A72"/>
    <w:rsid w:val="49801C26"/>
    <w:rsid w:val="498E784D"/>
    <w:rsid w:val="498F443F"/>
    <w:rsid w:val="49950546"/>
    <w:rsid w:val="49A21DDA"/>
    <w:rsid w:val="49A52C61"/>
    <w:rsid w:val="49A870A3"/>
    <w:rsid w:val="49AD5BED"/>
    <w:rsid w:val="49BB0786"/>
    <w:rsid w:val="49C76797"/>
    <w:rsid w:val="49D04EA8"/>
    <w:rsid w:val="49EC47D8"/>
    <w:rsid w:val="4A34714B"/>
    <w:rsid w:val="4A3A7335"/>
    <w:rsid w:val="4A3E05CE"/>
    <w:rsid w:val="4A3E54DC"/>
    <w:rsid w:val="4A4628E8"/>
    <w:rsid w:val="4A5F1294"/>
    <w:rsid w:val="4A753438"/>
    <w:rsid w:val="4A8039C7"/>
    <w:rsid w:val="4ABA1D88"/>
    <w:rsid w:val="4AC23537"/>
    <w:rsid w:val="4AC50C38"/>
    <w:rsid w:val="4AD625B4"/>
    <w:rsid w:val="4AE97256"/>
    <w:rsid w:val="4AF02D81"/>
    <w:rsid w:val="4B0E2331"/>
    <w:rsid w:val="4B3002E7"/>
    <w:rsid w:val="4B3324F5"/>
    <w:rsid w:val="4B374ABA"/>
    <w:rsid w:val="4B375749"/>
    <w:rsid w:val="4B3A447A"/>
    <w:rsid w:val="4B493410"/>
    <w:rsid w:val="4B496C93"/>
    <w:rsid w:val="4B7F716D"/>
    <w:rsid w:val="4B881FFB"/>
    <w:rsid w:val="4B8D4B24"/>
    <w:rsid w:val="4B935E0E"/>
    <w:rsid w:val="4BCB5F67"/>
    <w:rsid w:val="4BF957B2"/>
    <w:rsid w:val="4C282AC1"/>
    <w:rsid w:val="4C2D2789"/>
    <w:rsid w:val="4C4039A8"/>
    <w:rsid w:val="4C5835CD"/>
    <w:rsid w:val="4C5F09D9"/>
    <w:rsid w:val="4C69623B"/>
    <w:rsid w:val="4C6E2768"/>
    <w:rsid w:val="4C714177"/>
    <w:rsid w:val="4C79503E"/>
    <w:rsid w:val="4C795F65"/>
    <w:rsid w:val="4C8C6676"/>
    <w:rsid w:val="4CBA3672"/>
    <w:rsid w:val="4CDF025F"/>
    <w:rsid w:val="4CE469CD"/>
    <w:rsid w:val="4CFA6FD2"/>
    <w:rsid w:val="4D330A1C"/>
    <w:rsid w:val="4D4B18DC"/>
    <w:rsid w:val="4D5521EB"/>
    <w:rsid w:val="4D600EC9"/>
    <w:rsid w:val="4D7757D0"/>
    <w:rsid w:val="4D896004"/>
    <w:rsid w:val="4DAE3B7E"/>
    <w:rsid w:val="4DB33889"/>
    <w:rsid w:val="4DB53509"/>
    <w:rsid w:val="4DC515A5"/>
    <w:rsid w:val="4DD827C4"/>
    <w:rsid w:val="4DDA6F61"/>
    <w:rsid w:val="4DE230D4"/>
    <w:rsid w:val="4DEC1465"/>
    <w:rsid w:val="4DF94F37"/>
    <w:rsid w:val="4E02140A"/>
    <w:rsid w:val="4E2773C5"/>
    <w:rsid w:val="4E2E293F"/>
    <w:rsid w:val="4E4A17FE"/>
    <w:rsid w:val="4E4D6006"/>
    <w:rsid w:val="4E684632"/>
    <w:rsid w:val="4E8D576B"/>
    <w:rsid w:val="4E925476"/>
    <w:rsid w:val="4EA25710"/>
    <w:rsid w:val="4EA71B98"/>
    <w:rsid w:val="4EB3122E"/>
    <w:rsid w:val="4EB77C34"/>
    <w:rsid w:val="4ED04F5B"/>
    <w:rsid w:val="4EEE7D8E"/>
    <w:rsid w:val="4F0D4DC0"/>
    <w:rsid w:val="4F245058"/>
    <w:rsid w:val="4F3440C8"/>
    <w:rsid w:val="4F3D7B0D"/>
    <w:rsid w:val="4F416513"/>
    <w:rsid w:val="4F4F32AA"/>
    <w:rsid w:val="4F552FB6"/>
    <w:rsid w:val="4F78446F"/>
    <w:rsid w:val="4F7F767D"/>
    <w:rsid w:val="4F986F22"/>
    <w:rsid w:val="4FA04F65"/>
    <w:rsid w:val="4FA30B36"/>
    <w:rsid w:val="4FB542D4"/>
    <w:rsid w:val="4FBD41F0"/>
    <w:rsid w:val="4FE25CA8"/>
    <w:rsid w:val="4FE415A0"/>
    <w:rsid w:val="4FFC15FF"/>
    <w:rsid w:val="4FFF48EC"/>
    <w:rsid w:val="501C16FA"/>
    <w:rsid w:val="501E0480"/>
    <w:rsid w:val="50200100"/>
    <w:rsid w:val="50213603"/>
    <w:rsid w:val="502571F9"/>
    <w:rsid w:val="503E1096"/>
    <w:rsid w:val="50411939"/>
    <w:rsid w:val="504D0FCF"/>
    <w:rsid w:val="506A2AFE"/>
    <w:rsid w:val="506B4CFC"/>
    <w:rsid w:val="50812723"/>
    <w:rsid w:val="508B76EB"/>
    <w:rsid w:val="508E3FB7"/>
    <w:rsid w:val="509A584B"/>
    <w:rsid w:val="50A44C5B"/>
    <w:rsid w:val="50A702EA"/>
    <w:rsid w:val="50B13272"/>
    <w:rsid w:val="50F25EDA"/>
    <w:rsid w:val="50F54C60"/>
    <w:rsid w:val="50FC206C"/>
    <w:rsid w:val="51062E60"/>
    <w:rsid w:val="51145515"/>
    <w:rsid w:val="512841B5"/>
    <w:rsid w:val="5134293F"/>
    <w:rsid w:val="5137314B"/>
    <w:rsid w:val="51465964"/>
    <w:rsid w:val="514733E5"/>
    <w:rsid w:val="514A216C"/>
    <w:rsid w:val="515D338B"/>
    <w:rsid w:val="51663C9A"/>
    <w:rsid w:val="519D2F0D"/>
    <w:rsid w:val="51A8232A"/>
    <w:rsid w:val="51BD46A9"/>
    <w:rsid w:val="52245352"/>
    <w:rsid w:val="52272A53"/>
    <w:rsid w:val="522804D5"/>
    <w:rsid w:val="52347B6B"/>
    <w:rsid w:val="523A5C6A"/>
    <w:rsid w:val="52412A09"/>
    <w:rsid w:val="52524B9C"/>
    <w:rsid w:val="526444BF"/>
    <w:rsid w:val="5292203B"/>
    <w:rsid w:val="52AE3CC5"/>
    <w:rsid w:val="52B007B9"/>
    <w:rsid w:val="52B66E3F"/>
    <w:rsid w:val="52B70144"/>
    <w:rsid w:val="52D26933"/>
    <w:rsid w:val="531371D9"/>
    <w:rsid w:val="531D7A85"/>
    <w:rsid w:val="53237473"/>
    <w:rsid w:val="532B0103"/>
    <w:rsid w:val="53391617"/>
    <w:rsid w:val="534A5415"/>
    <w:rsid w:val="536F406F"/>
    <w:rsid w:val="537D468A"/>
    <w:rsid w:val="53CB4763"/>
    <w:rsid w:val="53E41AB0"/>
    <w:rsid w:val="53E57531"/>
    <w:rsid w:val="53E75E0B"/>
    <w:rsid w:val="53F47B4C"/>
    <w:rsid w:val="540D4E72"/>
    <w:rsid w:val="543C7F40"/>
    <w:rsid w:val="5446191D"/>
    <w:rsid w:val="544E306D"/>
    <w:rsid w:val="54684287"/>
    <w:rsid w:val="54CB1DAD"/>
    <w:rsid w:val="55031F07"/>
    <w:rsid w:val="552D0B4D"/>
    <w:rsid w:val="552D196B"/>
    <w:rsid w:val="55465E74"/>
    <w:rsid w:val="556D3B35"/>
    <w:rsid w:val="55AD491E"/>
    <w:rsid w:val="55AF7E22"/>
    <w:rsid w:val="55B95CE3"/>
    <w:rsid w:val="55BF5223"/>
    <w:rsid w:val="55CA56E6"/>
    <w:rsid w:val="55CC1950"/>
    <w:rsid w:val="55D67CE1"/>
    <w:rsid w:val="55DA1393"/>
    <w:rsid w:val="55EB2205"/>
    <w:rsid w:val="56206E5C"/>
    <w:rsid w:val="56474B1D"/>
    <w:rsid w:val="564C5721"/>
    <w:rsid w:val="56501BA9"/>
    <w:rsid w:val="565F21C4"/>
    <w:rsid w:val="566E6F5B"/>
    <w:rsid w:val="568B2C88"/>
    <w:rsid w:val="56941399"/>
    <w:rsid w:val="56A9133E"/>
    <w:rsid w:val="56CC14F3"/>
    <w:rsid w:val="56D65686"/>
    <w:rsid w:val="56DA1B0D"/>
    <w:rsid w:val="56DE0514"/>
    <w:rsid w:val="571B0378"/>
    <w:rsid w:val="572B436A"/>
    <w:rsid w:val="57370BA2"/>
    <w:rsid w:val="574746C0"/>
    <w:rsid w:val="5750396E"/>
    <w:rsid w:val="57736809"/>
    <w:rsid w:val="5778619A"/>
    <w:rsid w:val="578C1931"/>
    <w:rsid w:val="57935BBE"/>
    <w:rsid w:val="57A23F4A"/>
    <w:rsid w:val="57C166DD"/>
    <w:rsid w:val="57C52DA1"/>
    <w:rsid w:val="57D02F71"/>
    <w:rsid w:val="57DF5F8B"/>
    <w:rsid w:val="57E22340"/>
    <w:rsid w:val="580D3F36"/>
    <w:rsid w:val="581C599D"/>
    <w:rsid w:val="58201313"/>
    <w:rsid w:val="58214023"/>
    <w:rsid w:val="582378A8"/>
    <w:rsid w:val="584667E1"/>
    <w:rsid w:val="584B2C69"/>
    <w:rsid w:val="586E02D0"/>
    <w:rsid w:val="58743E2D"/>
    <w:rsid w:val="58753AAD"/>
    <w:rsid w:val="58843D6C"/>
    <w:rsid w:val="589457F1"/>
    <w:rsid w:val="58BC2D5F"/>
    <w:rsid w:val="58BD2A6F"/>
    <w:rsid w:val="58C61A87"/>
    <w:rsid w:val="58E2665F"/>
    <w:rsid w:val="58FB77D3"/>
    <w:rsid w:val="5900243A"/>
    <w:rsid w:val="590A5625"/>
    <w:rsid w:val="593660E9"/>
    <w:rsid w:val="593773EE"/>
    <w:rsid w:val="593B2571"/>
    <w:rsid w:val="5940227C"/>
    <w:rsid w:val="59494284"/>
    <w:rsid w:val="594C608F"/>
    <w:rsid w:val="59611BE3"/>
    <w:rsid w:val="597C5E8F"/>
    <w:rsid w:val="597D42DF"/>
    <w:rsid w:val="59904470"/>
    <w:rsid w:val="599D2616"/>
    <w:rsid w:val="59FB5765"/>
    <w:rsid w:val="5A165757"/>
    <w:rsid w:val="5A35600C"/>
    <w:rsid w:val="5A752447"/>
    <w:rsid w:val="5A767B2A"/>
    <w:rsid w:val="5A835D8B"/>
    <w:rsid w:val="5A9418A9"/>
    <w:rsid w:val="5AA9184E"/>
    <w:rsid w:val="5AAD6715"/>
    <w:rsid w:val="5ABB756A"/>
    <w:rsid w:val="5ACD7484"/>
    <w:rsid w:val="5AD2205D"/>
    <w:rsid w:val="5AD36E0F"/>
    <w:rsid w:val="5AE03F27"/>
    <w:rsid w:val="5AFD5A55"/>
    <w:rsid w:val="5B0850CB"/>
    <w:rsid w:val="5B105585"/>
    <w:rsid w:val="5B2E3F1F"/>
    <w:rsid w:val="5B4968EC"/>
    <w:rsid w:val="5B4C1057"/>
    <w:rsid w:val="5B5E5318"/>
    <w:rsid w:val="5B607CF8"/>
    <w:rsid w:val="5B6466FE"/>
    <w:rsid w:val="5B6C3B0B"/>
    <w:rsid w:val="5B904C74"/>
    <w:rsid w:val="5B9723D0"/>
    <w:rsid w:val="5B9A6BD8"/>
    <w:rsid w:val="5B9B0DD6"/>
    <w:rsid w:val="5B9F77DD"/>
    <w:rsid w:val="5BA036EB"/>
    <w:rsid w:val="5BD26D32"/>
    <w:rsid w:val="5BDF49FB"/>
    <w:rsid w:val="5BE018CB"/>
    <w:rsid w:val="5BFE37C4"/>
    <w:rsid w:val="5C094C8E"/>
    <w:rsid w:val="5C111A46"/>
    <w:rsid w:val="5C1535AE"/>
    <w:rsid w:val="5C185E5E"/>
    <w:rsid w:val="5C316462"/>
    <w:rsid w:val="5C4260EC"/>
    <w:rsid w:val="5C4415EF"/>
    <w:rsid w:val="5C5537FC"/>
    <w:rsid w:val="5C575FF6"/>
    <w:rsid w:val="5C61531C"/>
    <w:rsid w:val="5C7774C0"/>
    <w:rsid w:val="5C7F48CC"/>
    <w:rsid w:val="5CA34E8C"/>
    <w:rsid w:val="5CAA4817"/>
    <w:rsid w:val="5CAC1F18"/>
    <w:rsid w:val="5CB702A9"/>
    <w:rsid w:val="5CB73B2D"/>
    <w:rsid w:val="5CCB5657"/>
    <w:rsid w:val="5CD60092"/>
    <w:rsid w:val="5CDD26E7"/>
    <w:rsid w:val="5CE51220"/>
    <w:rsid w:val="5D050364"/>
    <w:rsid w:val="5D1B7FCE"/>
    <w:rsid w:val="5D3F66DF"/>
    <w:rsid w:val="5D537A54"/>
    <w:rsid w:val="5D8131F5"/>
    <w:rsid w:val="5DB31446"/>
    <w:rsid w:val="5DE62678"/>
    <w:rsid w:val="5DF70D68"/>
    <w:rsid w:val="5E097C56"/>
    <w:rsid w:val="5E6315EA"/>
    <w:rsid w:val="5E865022"/>
    <w:rsid w:val="5E8D242E"/>
    <w:rsid w:val="5E9269C1"/>
    <w:rsid w:val="5EB96775"/>
    <w:rsid w:val="5EC37085"/>
    <w:rsid w:val="5ECB7D14"/>
    <w:rsid w:val="5ED3731F"/>
    <w:rsid w:val="5ED5716B"/>
    <w:rsid w:val="5ED8447E"/>
    <w:rsid w:val="5EF430D7"/>
    <w:rsid w:val="5F155135"/>
    <w:rsid w:val="5F31221B"/>
    <w:rsid w:val="5F3C5DBB"/>
    <w:rsid w:val="5F595E81"/>
    <w:rsid w:val="5F693096"/>
    <w:rsid w:val="5F7623AC"/>
    <w:rsid w:val="5F8F71EC"/>
    <w:rsid w:val="5FB67912"/>
    <w:rsid w:val="5FB9411A"/>
    <w:rsid w:val="5FCE3192"/>
    <w:rsid w:val="5FD52C82"/>
    <w:rsid w:val="5FEF5CB2"/>
    <w:rsid w:val="5FF859B3"/>
    <w:rsid w:val="5FF96BEE"/>
    <w:rsid w:val="5FFA21E3"/>
    <w:rsid w:val="601147A8"/>
    <w:rsid w:val="60572D1E"/>
    <w:rsid w:val="60657AB6"/>
    <w:rsid w:val="607757D2"/>
    <w:rsid w:val="60826714"/>
    <w:rsid w:val="60882DC6"/>
    <w:rsid w:val="60B50B3A"/>
    <w:rsid w:val="60C07E38"/>
    <w:rsid w:val="60C4181A"/>
    <w:rsid w:val="60C56E23"/>
    <w:rsid w:val="60C91D59"/>
    <w:rsid w:val="60D21907"/>
    <w:rsid w:val="60DC5176"/>
    <w:rsid w:val="6104413C"/>
    <w:rsid w:val="610466BA"/>
    <w:rsid w:val="610B0243"/>
    <w:rsid w:val="612977F3"/>
    <w:rsid w:val="614E7A33"/>
    <w:rsid w:val="614F54B5"/>
    <w:rsid w:val="6171346B"/>
    <w:rsid w:val="61724770"/>
    <w:rsid w:val="61803A85"/>
    <w:rsid w:val="619D77B2"/>
    <w:rsid w:val="61A62640"/>
    <w:rsid w:val="61AF2F50"/>
    <w:rsid w:val="61B139E4"/>
    <w:rsid w:val="61CF3620"/>
    <w:rsid w:val="620826E5"/>
    <w:rsid w:val="62292C19"/>
    <w:rsid w:val="623644AE"/>
    <w:rsid w:val="624A69D1"/>
    <w:rsid w:val="62724313"/>
    <w:rsid w:val="627B41E9"/>
    <w:rsid w:val="627C783B"/>
    <w:rsid w:val="62A734E8"/>
    <w:rsid w:val="62BB40C0"/>
    <w:rsid w:val="62D21DAE"/>
    <w:rsid w:val="62D607B4"/>
    <w:rsid w:val="62DE5BC0"/>
    <w:rsid w:val="63122B97"/>
    <w:rsid w:val="6318216D"/>
    <w:rsid w:val="634877EE"/>
    <w:rsid w:val="6353395A"/>
    <w:rsid w:val="63662621"/>
    <w:rsid w:val="637A12C2"/>
    <w:rsid w:val="638266CE"/>
    <w:rsid w:val="639C0D70"/>
    <w:rsid w:val="63C86BF3"/>
    <w:rsid w:val="63CC686F"/>
    <w:rsid w:val="63D0424F"/>
    <w:rsid w:val="63D73BDA"/>
    <w:rsid w:val="63E044E9"/>
    <w:rsid w:val="63E541F4"/>
    <w:rsid w:val="63E663F3"/>
    <w:rsid w:val="63F024E1"/>
    <w:rsid w:val="64107237"/>
    <w:rsid w:val="641A33C9"/>
    <w:rsid w:val="646621C4"/>
    <w:rsid w:val="64A84B6A"/>
    <w:rsid w:val="64AB4638"/>
    <w:rsid w:val="64B0133E"/>
    <w:rsid w:val="64D504D8"/>
    <w:rsid w:val="64FC5F3B"/>
    <w:rsid w:val="652D418B"/>
    <w:rsid w:val="65320613"/>
    <w:rsid w:val="65400C92"/>
    <w:rsid w:val="65490238"/>
    <w:rsid w:val="655D5F17"/>
    <w:rsid w:val="656A3FF0"/>
    <w:rsid w:val="65832B14"/>
    <w:rsid w:val="658B7DA8"/>
    <w:rsid w:val="65960337"/>
    <w:rsid w:val="65DC263E"/>
    <w:rsid w:val="65ED2694"/>
    <w:rsid w:val="660035B2"/>
    <w:rsid w:val="660118BB"/>
    <w:rsid w:val="66023976"/>
    <w:rsid w:val="660978E2"/>
    <w:rsid w:val="662F1216"/>
    <w:rsid w:val="663F30CF"/>
    <w:rsid w:val="665D0100"/>
    <w:rsid w:val="665D6FCA"/>
    <w:rsid w:val="66740EFE"/>
    <w:rsid w:val="66763229"/>
    <w:rsid w:val="668F15F9"/>
    <w:rsid w:val="66AA0200"/>
    <w:rsid w:val="66AA62F3"/>
    <w:rsid w:val="66CC2933"/>
    <w:rsid w:val="66CE5E36"/>
    <w:rsid w:val="66D60CC4"/>
    <w:rsid w:val="67026690"/>
    <w:rsid w:val="671578AF"/>
    <w:rsid w:val="67175D12"/>
    <w:rsid w:val="67220C03"/>
    <w:rsid w:val="67325943"/>
    <w:rsid w:val="67390D68"/>
    <w:rsid w:val="673F2C72"/>
    <w:rsid w:val="67483C93"/>
    <w:rsid w:val="675C7A5B"/>
    <w:rsid w:val="679348FA"/>
    <w:rsid w:val="67A84062"/>
    <w:rsid w:val="67C12E69"/>
    <w:rsid w:val="67D5446A"/>
    <w:rsid w:val="67E1027C"/>
    <w:rsid w:val="67E97887"/>
    <w:rsid w:val="67FB3025"/>
    <w:rsid w:val="67FF52AE"/>
    <w:rsid w:val="68014F2E"/>
    <w:rsid w:val="68220CE6"/>
    <w:rsid w:val="683D2B94"/>
    <w:rsid w:val="683F6098"/>
    <w:rsid w:val="684C1B2A"/>
    <w:rsid w:val="68675A2A"/>
    <w:rsid w:val="68BE6186"/>
    <w:rsid w:val="68E22B8F"/>
    <w:rsid w:val="69185D7B"/>
    <w:rsid w:val="691976A7"/>
    <w:rsid w:val="69205385"/>
    <w:rsid w:val="692B02D6"/>
    <w:rsid w:val="692D249D"/>
    <w:rsid w:val="69680FFD"/>
    <w:rsid w:val="69775D94"/>
    <w:rsid w:val="698A304F"/>
    <w:rsid w:val="698F343B"/>
    <w:rsid w:val="699E2295"/>
    <w:rsid w:val="699E5BA4"/>
    <w:rsid w:val="69B5367B"/>
    <w:rsid w:val="69B70C98"/>
    <w:rsid w:val="69D53BAF"/>
    <w:rsid w:val="69DA7573"/>
    <w:rsid w:val="69DC43A2"/>
    <w:rsid w:val="69EE6CD8"/>
    <w:rsid w:val="6A154999"/>
    <w:rsid w:val="6A2058DB"/>
    <w:rsid w:val="6A441C65"/>
    <w:rsid w:val="6A557981"/>
    <w:rsid w:val="6A696621"/>
    <w:rsid w:val="6A7412BD"/>
    <w:rsid w:val="6A95076A"/>
    <w:rsid w:val="6A9816EF"/>
    <w:rsid w:val="6AA04C71"/>
    <w:rsid w:val="6AA71D09"/>
    <w:rsid w:val="6AB5321D"/>
    <w:rsid w:val="6AC37FB5"/>
    <w:rsid w:val="6AC47C9F"/>
    <w:rsid w:val="6AC7223E"/>
    <w:rsid w:val="6AD11522"/>
    <w:rsid w:val="6AD824D8"/>
    <w:rsid w:val="6AF91789"/>
    <w:rsid w:val="6B131038"/>
    <w:rsid w:val="6B1D1948"/>
    <w:rsid w:val="6B1E54B7"/>
    <w:rsid w:val="6B2C5CC5"/>
    <w:rsid w:val="6B3C1E8D"/>
    <w:rsid w:val="6B5325D8"/>
    <w:rsid w:val="6B5D01B3"/>
    <w:rsid w:val="6B5F36B6"/>
    <w:rsid w:val="6B630A72"/>
    <w:rsid w:val="6B697849"/>
    <w:rsid w:val="6B8F6404"/>
    <w:rsid w:val="6B930322"/>
    <w:rsid w:val="6BAB02B2"/>
    <w:rsid w:val="6BB90FAB"/>
    <w:rsid w:val="6BBC5FCE"/>
    <w:rsid w:val="6BCF71ED"/>
    <w:rsid w:val="6BD050D2"/>
    <w:rsid w:val="6BD15F74"/>
    <w:rsid w:val="6BE54C14"/>
    <w:rsid w:val="6BF9674E"/>
    <w:rsid w:val="6BFC4006"/>
    <w:rsid w:val="6C084DC9"/>
    <w:rsid w:val="6C17474C"/>
    <w:rsid w:val="6C192D1C"/>
    <w:rsid w:val="6C290B81"/>
    <w:rsid w:val="6C4B36B4"/>
    <w:rsid w:val="6C4D333F"/>
    <w:rsid w:val="6C5319C5"/>
    <w:rsid w:val="6C61455E"/>
    <w:rsid w:val="6C791C04"/>
    <w:rsid w:val="6C904EA3"/>
    <w:rsid w:val="6CB24EA6"/>
    <w:rsid w:val="6CCC0507"/>
    <w:rsid w:val="6CE24195"/>
    <w:rsid w:val="6CEC5589"/>
    <w:rsid w:val="6CF51523"/>
    <w:rsid w:val="6D131E03"/>
    <w:rsid w:val="6D156B14"/>
    <w:rsid w:val="6D1A2CD4"/>
    <w:rsid w:val="6D2E4BAB"/>
    <w:rsid w:val="6D3135B1"/>
    <w:rsid w:val="6D3909BE"/>
    <w:rsid w:val="6D394241"/>
    <w:rsid w:val="6D3D2C47"/>
    <w:rsid w:val="6D6C2FEA"/>
    <w:rsid w:val="6D7F71AD"/>
    <w:rsid w:val="6D864791"/>
    <w:rsid w:val="6D87653E"/>
    <w:rsid w:val="6DAC5479"/>
    <w:rsid w:val="6DB6160C"/>
    <w:rsid w:val="6DDD14CC"/>
    <w:rsid w:val="6DE05CD4"/>
    <w:rsid w:val="6DE15154"/>
    <w:rsid w:val="6DED7568"/>
    <w:rsid w:val="6E216186"/>
    <w:rsid w:val="6E256C71"/>
    <w:rsid w:val="6E3D2062"/>
    <w:rsid w:val="6E45347A"/>
    <w:rsid w:val="6E505F87"/>
    <w:rsid w:val="6E613CA3"/>
    <w:rsid w:val="6E6C41AA"/>
    <w:rsid w:val="6E9047F2"/>
    <w:rsid w:val="6EA33813"/>
    <w:rsid w:val="6EB02B29"/>
    <w:rsid w:val="6EB14D27"/>
    <w:rsid w:val="6EC10845"/>
    <w:rsid w:val="6ED77165"/>
    <w:rsid w:val="6ED829E8"/>
    <w:rsid w:val="6EE134BB"/>
    <w:rsid w:val="6F013B3F"/>
    <w:rsid w:val="6F1737D2"/>
    <w:rsid w:val="6F3846E6"/>
    <w:rsid w:val="6F3C7868"/>
    <w:rsid w:val="6F412D5C"/>
    <w:rsid w:val="6F4D15D8"/>
    <w:rsid w:val="6F651353"/>
    <w:rsid w:val="6F755D6A"/>
    <w:rsid w:val="6F866004"/>
    <w:rsid w:val="6F904395"/>
    <w:rsid w:val="6F912DCA"/>
    <w:rsid w:val="6FA952BF"/>
    <w:rsid w:val="6FAD1747"/>
    <w:rsid w:val="6FD00A02"/>
    <w:rsid w:val="6FD74B0A"/>
    <w:rsid w:val="6FDF7997"/>
    <w:rsid w:val="6FE2212D"/>
    <w:rsid w:val="6FF90541"/>
    <w:rsid w:val="7000374F"/>
    <w:rsid w:val="70213C84"/>
    <w:rsid w:val="702433D0"/>
    <w:rsid w:val="703B2A89"/>
    <w:rsid w:val="70411FBB"/>
    <w:rsid w:val="704241B9"/>
    <w:rsid w:val="704D5DCD"/>
    <w:rsid w:val="70731AA9"/>
    <w:rsid w:val="70792114"/>
    <w:rsid w:val="707C3099"/>
    <w:rsid w:val="707D50FC"/>
    <w:rsid w:val="70920AC0"/>
    <w:rsid w:val="70974F48"/>
    <w:rsid w:val="70C2380D"/>
    <w:rsid w:val="70DF27AB"/>
    <w:rsid w:val="70EA114F"/>
    <w:rsid w:val="70F64F61"/>
    <w:rsid w:val="70F80464"/>
    <w:rsid w:val="710245F7"/>
    <w:rsid w:val="71083F82"/>
    <w:rsid w:val="71163298"/>
    <w:rsid w:val="71365D4B"/>
    <w:rsid w:val="71444911"/>
    <w:rsid w:val="71450563"/>
    <w:rsid w:val="715441FC"/>
    <w:rsid w:val="716C3313"/>
    <w:rsid w:val="718A3256"/>
    <w:rsid w:val="71A90288"/>
    <w:rsid w:val="71AA2486"/>
    <w:rsid w:val="71CE2A46"/>
    <w:rsid w:val="71D139CB"/>
    <w:rsid w:val="71E722EB"/>
    <w:rsid w:val="71EA6700"/>
    <w:rsid w:val="720878F1"/>
    <w:rsid w:val="720E5A2E"/>
    <w:rsid w:val="722D2A5F"/>
    <w:rsid w:val="72326EE7"/>
    <w:rsid w:val="723A7B77"/>
    <w:rsid w:val="723B77F7"/>
    <w:rsid w:val="723C307A"/>
    <w:rsid w:val="723E08BB"/>
    <w:rsid w:val="724156CF"/>
    <w:rsid w:val="72506497"/>
    <w:rsid w:val="7266063B"/>
    <w:rsid w:val="7271224F"/>
    <w:rsid w:val="728741CB"/>
    <w:rsid w:val="729F531D"/>
    <w:rsid w:val="72A35F21"/>
    <w:rsid w:val="72AD72C9"/>
    <w:rsid w:val="72D54172"/>
    <w:rsid w:val="72F44A27"/>
    <w:rsid w:val="72FF663B"/>
    <w:rsid w:val="730218E9"/>
    <w:rsid w:val="73121DD9"/>
    <w:rsid w:val="731E7BD9"/>
    <w:rsid w:val="734F6327"/>
    <w:rsid w:val="736308DE"/>
    <w:rsid w:val="737B0183"/>
    <w:rsid w:val="73866514"/>
    <w:rsid w:val="73896EA1"/>
    <w:rsid w:val="739667AE"/>
    <w:rsid w:val="73977AB3"/>
    <w:rsid w:val="739F163C"/>
    <w:rsid w:val="73E05929"/>
    <w:rsid w:val="73E82D35"/>
    <w:rsid w:val="73EB753D"/>
    <w:rsid w:val="73F26EC8"/>
    <w:rsid w:val="73F310C6"/>
    <w:rsid w:val="73FE075C"/>
    <w:rsid w:val="74034BE4"/>
    <w:rsid w:val="74045140"/>
    <w:rsid w:val="74087B80"/>
    <w:rsid w:val="74130252"/>
    <w:rsid w:val="742541D3"/>
    <w:rsid w:val="74567D0F"/>
    <w:rsid w:val="74686B07"/>
    <w:rsid w:val="746D0255"/>
    <w:rsid w:val="74982F9A"/>
    <w:rsid w:val="749D155F"/>
    <w:rsid w:val="74D85EC1"/>
    <w:rsid w:val="74D900BF"/>
    <w:rsid w:val="74F91C79"/>
    <w:rsid w:val="74FB18F9"/>
    <w:rsid w:val="75091F13"/>
    <w:rsid w:val="751B7C2F"/>
    <w:rsid w:val="75400D68"/>
    <w:rsid w:val="755360C4"/>
    <w:rsid w:val="7554328C"/>
    <w:rsid w:val="755C0699"/>
    <w:rsid w:val="756B0CB3"/>
    <w:rsid w:val="756C6735"/>
    <w:rsid w:val="75784746"/>
    <w:rsid w:val="7585185D"/>
    <w:rsid w:val="75892461"/>
    <w:rsid w:val="75915AF3"/>
    <w:rsid w:val="75B90A32"/>
    <w:rsid w:val="75E6455E"/>
    <w:rsid w:val="75EC2506"/>
    <w:rsid w:val="761B3E6C"/>
    <w:rsid w:val="762646B1"/>
    <w:rsid w:val="762A586E"/>
    <w:rsid w:val="76371577"/>
    <w:rsid w:val="7657350F"/>
    <w:rsid w:val="76642E13"/>
    <w:rsid w:val="76C159E1"/>
    <w:rsid w:val="76DF32AA"/>
    <w:rsid w:val="770A4EDC"/>
    <w:rsid w:val="770B70DA"/>
    <w:rsid w:val="77255706"/>
    <w:rsid w:val="77263187"/>
    <w:rsid w:val="772A798F"/>
    <w:rsid w:val="77317FF4"/>
    <w:rsid w:val="777B0693"/>
    <w:rsid w:val="778E3BEF"/>
    <w:rsid w:val="77902BB7"/>
    <w:rsid w:val="779415BD"/>
    <w:rsid w:val="77B77FF7"/>
    <w:rsid w:val="77B804F8"/>
    <w:rsid w:val="77B82363"/>
    <w:rsid w:val="77CA72A3"/>
    <w:rsid w:val="77D942B0"/>
    <w:rsid w:val="780350F4"/>
    <w:rsid w:val="78106988"/>
    <w:rsid w:val="783441B4"/>
    <w:rsid w:val="783B52BE"/>
    <w:rsid w:val="783C31BF"/>
    <w:rsid w:val="783F3C54"/>
    <w:rsid w:val="784016D6"/>
    <w:rsid w:val="7855167B"/>
    <w:rsid w:val="785A7582"/>
    <w:rsid w:val="786646BC"/>
    <w:rsid w:val="786F797B"/>
    <w:rsid w:val="789D7871"/>
    <w:rsid w:val="78A44C7D"/>
    <w:rsid w:val="78A8569E"/>
    <w:rsid w:val="78A8719A"/>
    <w:rsid w:val="78B37707"/>
    <w:rsid w:val="78DA2CBA"/>
    <w:rsid w:val="78E46DDD"/>
    <w:rsid w:val="78F45D01"/>
    <w:rsid w:val="78FC788A"/>
    <w:rsid w:val="79034C97"/>
    <w:rsid w:val="790D55A6"/>
    <w:rsid w:val="791B013F"/>
    <w:rsid w:val="792213E1"/>
    <w:rsid w:val="792606CF"/>
    <w:rsid w:val="79272A8A"/>
    <w:rsid w:val="79294ED6"/>
    <w:rsid w:val="792A2A8A"/>
    <w:rsid w:val="79350CE9"/>
    <w:rsid w:val="793918EE"/>
    <w:rsid w:val="793B1C09"/>
    <w:rsid w:val="79431031"/>
    <w:rsid w:val="79524C3B"/>
    <w:rsid w:val="7968023E"/>
    <w:rsid w:val="796D46C6"/>
    <w:rsid w:val="79784C56"/>
    <w:rsid w:val="79830A68"/>
    <w:rsid w:val="79C11BD2"/>
    <w:rsid w:val="79D7704A"/>
    <w:rsid w:val="79E4560A"/>
    <w:rsid w:val="7A094544"/>
    <w:rsid w:val="7A1E0C67"/>
    <w:rsid w:val="7A252A8D"/>
    <w:rsid w:val="7A82098B"/>
    <w:rsid w:val="7A9A3AF1"/>
    <w:rsid w:val="7AA678C6"/>
    <w:rsid w:val="7AB117F0"/>
    <w:rsid w:val="7AC1448B"/>
    <w:rsid w:val="7AD43E41"/>
    <w:rsid w:val="7ADF4BE2"/>
    <w:rsid w:val="7AE6332F"/>
    <w:rsid w:val="7AF50CCA"/>
    <w:rsid w:val="7AFB2BD3"/>
    <w:rsid w:val="7B1072F5"/>
    <w:rsid w:val="7B3A48B6"/>
    <w:rsid w:val="7B4B5E55"/>
    <w:rsid w:val="7B76251D"/>
    <w:rsid w:val="7B7956A0"/>
    <w:rsid w:val="7B8315B0"/>
    <w:rsid w:val="7BA47E64"/>
    <w:rsid w:val="7BA577E9"/>
    <w:rsid w:val="7BAE4E49"/>
    <w:rsid w:val="7BB1107D"/>
    <w:rsid w:val="7BB65505"/>
    <w:rsid w:val="7BBB198C"/>
    <w:rsid w:val="7BCC1D57"/>
    <w:rsid w:val="7BCF3EB0"/>
    <w:rsid w:val="7BD75A39"/>
    <w:rsid w:val="7BF839F0"/>
    <w:rsid w:val="7BFD3595"/>
    <w:rsid w:val="7C00467F"/>
    <w:rsid w:val="7C272341"/>
    <w:rsid w:val="7C291FC0"/>
    <w:rsid w:val="7C3403F4"/>
    <w:rsid w:val="7C377506"/>
    <w:rsid w:val="7C5909AE"/>
    <w:rsid w:val="7C694FA8"/>
    <w:rsid w:val="7C725D31"/>
    <w:rsid w:val="7C777B41"/>
    <w:rsid w:val="7C970076"/>
    <w:rsid w:val="7C9C22FF"/>
    <w:rsid w:val="7CA52C0F"/>
    <w:rsid w:val="7CB918AF"/>
    <w:rsid w:val="7CC571BE"/>
    <w:rsid w:val="7CF202BD"/>
    <w:rsid w:val="7D0D1339"/>
    <w:rsid w:val="7D2F3A6C"/>
    <w:rsid w:val="7D3B0B84"/>
    <w:rsid w:val="7D6957F3"/>
    <w:rsid w:val="7D6D0352"/>
    <w:rsid w:val="7D952517"/>
    <w:rsid w:val="7DB91452"/>
    <w:rsid w:val="7DBB4955"/>
    <w:rsid w:val="7DBD5A4F"/>
    <w:rsid w:val="7DC12054"/>
    <w:rsid w:val="7DC242E0"/>
    <w:rsid w:val="7DF732E7"/>
    <w:rsid w:val="7DF8230D"/>
    <w:rsid w:val="7DFF4145"/>
    <w:rsid w:val="7E062BD5"/>
    <w:rsid w:val="7E065CCE"/>
    <w:rsid w:val="7E254385"/>
    <w:rsid w:val="7E393025"/>
    <w:rsid w:val="7E3B6528"/>
    <w:rsid w:val="7E3E16AB"/>
    <w:rsid w:val="7E700B17"/>
    <w:rsid w:val="7E812A19"/>
    <w:rsid w:val="7E91678A"/>
    <w:rsid w:val="7EA11750"/>
    <w:rsid w:val="7ED10C1A"/>
    <w:rsid w:val="7EE60CE3"/>
    <w:rsid w:val="7EF32454"/>
    <w:rsid w:val="7F022716"/>
    <w:rsid w:val="7F124F07"/>
    <w:rsid w:val="7F133BEB"/>
    <w:rsid w:val="7F385146"/>
    <w:rsid w:val="7F523023"/>
    <w:rsid w:val="7F530B19"/>
    <w:rsid w:val="7F610509"/>
    <w:rsid w:val="7F625F8B"/>
    <w:rsid w:val="7F652792"/>
    <w:rsid w:val="7F6C211D"/>
    <w:rsid w:val="7F870749"/>
    <w:rsid w:val="7F9C15E8"/>
    <w:rsid w:val="7FAC7D32"/>
    <w:rsid w:val="7FB07FE9"/>
    <w:rsid w:val="7FB42B4D"/>
    <w:rsid w:val="7FC44D2A"/>
    <w:rsid w:val="7FC94A35"/>
    <w:rsid w:val="7FDC5C54"/>
    <w:rsid w:val="7FFC67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7">
    <w:name w:val="heading 1"/>
    <w:basedOn w:val="1"/>
    <w:next w:val="1"/>
    <w:qFormat/>
    <w:uiPriority w:val="0"/>
    <w:pPr>
      <w:keepNext/>
      <w:keepLines/>
      <w:spacing w:line="576" w:lineRule="auto"/>
      <w:outlineLvl w:val="0"/>
    </w:pPr>
    <w:rPr>
      <w:b/>
      <w:bCs/>
      <w:kern w:val="44"/>
      <w:sz w:val="44"/>
      <w:szCs w:val="44"/>
    </w:rPr>
  </w:style>
  <w:style w:type="paragraph" w:styleId="8">
    <w:name w:val="heading 2"/>
    <w:basedOn w:val="1"/>
    <w:next w:val="1"/>
    <w:unhideWhenUsed/>
    <w:qFormat/>
    <w:uiPriority w:val="0"/>
    <w:pPr>
      <w:keepNext/>
      <w:keepLines/>
      <w:spacing w:before="260" w:after="260" w:line="416" w:lineRule="auto"/>
      <w:outlineLvl w:val="1"/>
    </w:pPr>
    <w:rPr>
      <w:rFonts w:ascii="Cambria" w:hAnsi="Cambria"/>
      <w:b/>
      <w:bCs/>
    </w:rPr>
  </w:style>
  <w:style w:type="paragraph" w:styleId="9">
    <w:name w:val="heading 3"/>
    <w:basedOn w:val="1"/>
    <w:next w:val="1"/>
    <w:link w:val="41"/>
    <w:unhideWhenUsed/>
    <w:qFormat/>
    <w:uiPriority w:val="0"/>
    <w:pPr>
      <w:keepNext/>
      <w:keepLines/>
      <w:spacing w:before="0" w:after="0" w:line="560" w:lineRule="exact"/>
      <w:ind w:firstLine="883" w:firstLineChars="200"/>
      <w:outlineLvl w:val="2"/>
    </w:pPr>
    <w:rPr>
      <w:rFonts w:ascii="楷体_GB2312" w:hAnsi="楷体_GB2312" w:eastAsia="楷体_GB2312" w:cs="Times New Roman"/>
      <w:b/>
      <w:bCs/>
      <w:sz w:val="32"/>
      <w:szCs w:val="32"/>
    </w:rPr>
  </w:style>
  <w:style w:type="character" w:default="1" w:styleId="24">
    <w:name w:val="Default Paragraph Font"/>
    <w:unhideWhenUsed/>
    <w:qFormat/>
    <w:uiPriority w:val="1"/>
  </w:style>
  <w:style w:type="table" w:default="1" w:styleId="22">
    <w:name w:val="Normal Table"/>
    <w:unhideWhenUsed/>
    <w:qFormat/>
    <w:uiPriority w:val="99"/>
    <w:tblPr>
      <w:tblCellMar>
        <w:top w:w="0" w:type="dxa"/>
        <w:left w:w="108" w:type="dxa"/>
        <w:bottom w:w="0" w:type="dxa"/>
        <w:right w:w="108" w:type="dxa"/>
      </w:tblCellMar>
    </w:tblPr>
  </w:style>
  <w:style w:type="paragraph" w:styleId="2">
    <w:name w:val="Body Text First Indent 2"/>
    <w:basedOn w:val="3"/>
    <w:next w:val="5"/>
    <w:unhideWhenUsed/>
    <w:qFormat/>
    <w:uiPriority w:val="99"/>
    <w:pPr>
      <w:ind w:firstLine="420"/>
    </w:pPr>
  </w:style>
  <w:style w:type="paragraph" w:styleId="3">
    <w:name w:val="Body Text Indent"/>
    <w:basedOn w:val="1"/>
    <w:next w:val="4"/>
    <w:qFormat/>
    <w:uiPriority w:val="0"/>
    <w:pPr>
      <w:ind w:left="420" w:leftChars="200"/>
    </w:pPr>
  </w:style>
  <w:style w:type="paragraph" w:styleId="4">
    <w:name w:val="envelope return"/>
    <w:basedOn w:val="1"/>
    <w:unhideWhenUsed/>
    <w:qFormat/>
    <w:uiPriority w:val="99"/>
    <w:pPr>
      <w:snapToGrid w:val="0"/>
    </w:pPr>
    <w:rPr>
      <w:rFonts w:ascii="Arial" w:hAnsi="Arial"/>
    </w:rPr>
  </w:style>
  <w:style w:type="paragraph" w:styleId="5">
    <w:name w:val="Body Text First Indent"/>
    <w:basedOn w:val="6"/>
    <w:qFormat/>
    <w:uiPriority w:val="0"/>
    <w:pPr>
      <w:ind w:firstLine="420" w:firstLineChars="100"/>
    </w:pPr>
    <w:rPr>
      <w:szCs w:val="24"/>
    </w:rPr>
  </w:style>
  <w:style w:type="paragraph" w:styleId="6">
    <w:name w:val="Body Text"/>
    <w:basedOn w:val="1"/>
    <w:next w:val="1"/>
    <w:qFormat/>
    <w:uiPriority w:val="0"/>
    <w:pPr>
      <w:spacing w:after="120"/>
    </w:pPr>
  </w:style>
  <w:style w:type="paragraph" w:styleId="10">
    <w:name w:val="Normal Indent"/>
    <w:basedOn w:val="1"/>
    <w:next w:val="11"/>
    <w:unhideWhenUsed/>
    <w:qFormat/>
    <w:uiPriority w:val="99"/>
    <w:pPr>
      <w:spacing w:line="400" w:lineRule="exact"/>
      <w:ind w:firstLine="420" w:firstLineChars="200"/>
    </w:pPr>
    <w:rPr>
      <w:rFonts w:eastAsia="仿宋"/>
      <w:sz w:val="24"/>
    </w:rPr>
  </w:style>
  <w:style w:type="paragraph" w:styleId="11">
    <w:name w:val="caption"/>
    <w:basedOn w:val="1"/>
    <w:next w:val="1"/>
    <w:unhideWhenUsed/>
    <w:qFormat/>
    <w:uiPriority w:val="0"/>
    <w:rPr>
      <w:rFonts w:ascii="DejaVu Sans" w:hAnsi="DejaVu Sans" w:eastAsia="方正黑体_GBK"/>
      <w:sz w:val="20"/>
    </w:rPr>
  </w:style>
  <w:style w:type="paragraph" w:styleId="12">
    <w:name w:val="annotation text"/>
    <w:basedOn w:val="1"/>
    <w:link w:val="36"/>
    <w:qFormat/>
    <w:uiPriority w:val="0"/>
    <w:pPr>
      <w:jc w:val="left"/>
    </w:pPr>
  </w:style>
  <w:style w:type="paragraph" w:styleId="13">
    <w:name w:val="Plain Text"/>
    <w:basedOn w:val="1"/>
    <w:qFormat/>
    <w:uiPriority w:val="0"/>
    <w:pPr>
      <w:widowControl w:val="0"/>
      <w:jc w:val="both"/>
    </w:pPr>
    <w:rPr>
      <w:rFonts w:ascii="宋体" w:hAnsi="Courier New"/>
      <w:kern w:val="2"/>
      <w:sz w:val="21"/>
      <w:szCs w:val="20"/>
    </w:rPr>
  </w:style>
  <w:style w:type="paragraph" w:styleId="14">
    <w:name w:val="Body Text Indent 2"/>
    <w:basedOn w:val="1"/>
    <w:semiHidden/>
    <w:qFormat/>
    <w:uiPriority w:val="0"/>
    <w:pPr>
      <w:autoSpaceDE w:val="0"/>
      <w:autoSpaceDN w:val="0"/>
      <w:snapToGrid w:val="0"/>
      <w:spacing w:line="560" w:lineRule="exact"/>
      <w:ind w:firstLine="640"/>
    </w:pPr>
    <w:rPr>
      <w:rFonts w:ascii="仿宋_GB2312"/>
      <w:spacing w:val="-6"/>
    </w:rPr>
  </w:style>
  <w:style w:type="paragraph" w:styleId="15">
    <w:name w:val="Balloon Text"/>
    <w:basedOn w:val="1"/>
    <w:link w:val="32"/>
    <w:qFormat/>
    <w:uiPriority w:val="0"/>
    <w:rPr>
      <w:sz w:val="18"/>
      <w:szCs w:val="18"/>
    </w:rPr>
  </w:style>
  <w:style w:type="paragraph" w:styleId="16">
    <w:name w:val="footer"/>
    <w:basedOn w:val="1"/>
    <w:link w:val="34"/>
    <w:qFormat/>
    <w:uiPriority w:val="0"/>
    <w:pPr>
      <w:tabs>
        <w:tab w:val="center" w:pos="4153"/>
        <w:tab w:val="right" w:pos="8306"/>
      </w:tabs>
      <w:snapToGrid w:val="0"/>
      <w:jc w:val="left"/>
    </w:pPr>
    <w:rPr>
      <w:sz w:val="18"/>
      <w:szCs w:val="18"/>
    </w:rPr>
  </w:style>
  <w:style w:type="paragraph" w:styleId="17">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0"/>
  </w:style>
  <w:style w:type="paragraph" w:styleId="1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0">
    <w:name w:val="Title"/>
    <w:basedOn w:val="8"/>
    <w:next w:val="1"/>
    <w:qFormat/>
    <w:uiPriority w:val="0"/>
    <w:pPr>
      <w:spacing w:beforeLines="50" w:afterLines="50" w:line="240" w:lineRule="auto"/>
    </w:pPr>
    <w:rPr>
      <w:rFonts w:ascii="楷体" w:hAnsi="楷体" w:eastAsia="楷体"/>
      <w:sz w:val="28"/>
      <w:szCs w:val="28"/>
    </w:rPr>
  </w:style>
  <w:style w:type="paragraph" w:styleId="21">
    <w:name w:val="annotation subject"/>
    <w:basedOn w:val="12"/>
    <w:next w:val="12"/>
    <w:link w:val="37"/>
    <w:qFormat/>
    <w:uiPriority w:val="0"/>
    <w:rPr>
      <w:b/>
      <w:bCs/>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annotation reference"/>
    <w:basedOn w:val="24"/>
    <w:qFormat/>
    <w:uiPriority w:val="0"/>
    <w:rPr>
      <w:sz w:val="21"/>
      <w:szCs w:val="21"/>
    </w:rPr>
  </w:style>
  <w:style w:type="paragraph" w:customStyle="1" w:styleId="26">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7">
    <w:name w:val="1.公文正文"/>
    <w:qFormat/>
    <w:uiPriority w:val="0"/>
    <w:pPr>
      <w:keepNext w:val="0"/>
      <w:keepLines w:val="0"/>
      <w:spacing w:line="560" w:lineRule="exact"/>
      <w:ind w:firstLine="640" w:firstLineChars="200"/>
      <w:jc w:val="both"/>
      <w:outlineLvl w:val="1"/>
    </w:pPr>
    <w:rPr>
      <w:rFonts w:hint="default" w:ascii="仿宋_GB2312" w:hAnsi="仿宋_GB2312" w:eastAsia="仿宋_GB2312" w:cs="Times New Roman"/>
      <w:bCs/>
      <w:sz w:val="32"/>
      <w:szCs w:val="32"/>
    </w:rPr>
  </w:style>
  <w:style w:type="paragraph" w:customStyle="1" w:styleId="28">
    <w:name w:val="标题3"/>
    <w:basedOn w:val="9"/>
    <w:next w:val="1"/>
    <w:qFormat/>
    <w:uiPriority w:val="0"/>
    <w:pPr>
      <w:spacing w:beforeLines="50" w:afterLines="50" w:line="240" w:lineRule="auto"/>
    </w:pPr>
    <w:rPr>
      <w:rFonts w:ascii="隶书" w:hAnsi="仿宋" w:eastAsia="隶书"/>
      <w:b w:val="0"/>
      <w:sz w:val="28"/>
      <w:szCs w:val="28"/>
    </w:rPr>
  </w:style>
  <w:style w:type="paragraph" w:customStyle="1" w:styleId="29">
    <w:name w:val="标题4"/>
    <w:basedOn w:val="28"/>
    <w:next w:val="1"/>
    <w:qFormat/>
    <w:uiPriority w:val="0"/>
    <w:pPr>
      <w:outlineLvl w:val="3"/>
    </w:pPr>
    <w:rPr>
      <w:rFonts w:ascii="楷体" w:hAnsi="楷体" w:eastAsia="楷体"/>
      <w:bCs w:val="0"/>
    </w:rPr>
  </w:style>
  <w:style w:type="paragraph" w:customStyle="1" w:styleId="30">
    <w:name w:val="摘录引用方案"/>
    <w:basedOn w:val="1"/>
    <w:next w:val="1"/>
    <w:qFormat/>
    <w:uiPriority w:val="0"/>
    <w:rPr>
      <w:i/>
      <w:color w:val="FF0000"/>
    </w:rPr>
  </w:style>
  <w:style w:type="paragraph" w:customStyle="1" w:styleId="31">
    <w:name w:val="* Body1"/>
    <w:basedOn w:val="1"/>
    <w:qFormat/>
    <w:uiPriority w:val="0"/>
    <w:pPr>
      <w:spacing w:afterLines="50" w:line="360" w:lineRule="auto"/>
    </w:pPr>
    <w:rPr>
      <w:rFonts w:cs="宋体"/>
      <w:sz w:val="24"/>
    </w:rPr>
  </w:style>
  <w:style w:type="character" w:customStyle="1" w:styleId="32">
    <w:name w:val="批注框文本 字符"/>
    <w:basedOn w:val="24"/>
    <w:link w:val="15"/>
    <w:qFormat/>
    <w:uiPriority w:val="0"/>
    <w:rPr>
      <w:kern w:val="2"/>
      <w:sz w:val="18"/>
      <w:szCs w:val="18"/>
    </w:rPr>
  </w:style>
  <w:style w:type="character" w:customStyle="1" w:styleId="33">
    <w:name w:val="页眉 字符"/>
    <w:basedOn w:val="24"/>
    <w:link w:val="17"/>
    <w:qFormat/>
    <w:uiPriority w:val="0"/>
    <w:rPr>
      <w:kern w:val="2"/>
      <w:sz w:val="18"/>
      <w:szCs w:val="18"/>
    </w:rPr>
  </w:style>
  <w:style w:type="character" w:customStyle="1" w:styleId="34">
    <w:name w:val="页脚 字符"/>
    <w:basedOn w:val="24"/>
    <w:link w:val="16"/>
    <w:qFormat/>
    <w:uiPriority w:val="0"/>
    <w:rPr>
      <w:kern w:val="2"/>
      <w:sz w:val="18"/>
      <w:szCs w:val="18"/>
    </w:rPr>
  </w:style>
  <w:style w:type="paragraph" w:customStyle="1" w:styleId="35">
    <w:name w:val="Revision"/>
    <w:hidden/>
    <w:unhideWhenUsed/>
    <w:qFormat/>
    <w:uiPriority w:val="99"/>
    <w:rPr>
      <w:rFonts w:ascii="Times New Roman" w:hAnsi="Times New Roman" w:eastAsia="宋体" w:cs="Times New Roman"/>
      <w:kern w:val="2"/>
      <w:sz w:val="21"/>
      <w:szCs w:val="24"/>
      <w:lang w:val="en-US" w:eastAsia="zh-CN" w:bidi="ar-SA"/>
    </w:rPr>
  </w:style>
  <w:style w:type="character" w:customStyle="1" w:styleId="36">
    <w:name w:val="批注文字 字符"/>
    <w:basedOn w:val="24"/>
    <w:link w:val="12"/>
    <w:qFormat/>
    <w:uiPriority w:val="0"/>
    <w:rPr>
      <w:kern w:val="2"/>
      <w:sz w:val="21"/>
      <w:szCs w:val="24"/>
    </w:rPr>
  </w:style>
  <w:style w:type="character" w:customStyle="1" w:styleId="37">
    <w:name w:val="批注主题 字符"/>
    <w:basedOn w:val="36"/>
    <w:link w:val="21"/>
    <w:qFormat/>
    <w:uiPriority w:val="0"/>
    <w:rPr>
      <w:b/>
      <w:bCs/>
      <w:kern w:val="2"/>
      <w:sz w:val="21"/>
      <w:szCs w:val="24"/>
    </w:rPr>
  </w:style>
  <w:style w:type="paragraph" w:customStyle="1" w:styleId="38">
    <w:name w:val="WPSOffice手动目录 1"/>
    <w:qFormat/>
    <w:uiPriority w:val="0"/>
    <w:pPr>
      <w:ind w:leftChars="0"/>
    </w:pPr>
    <w:rPr>
      <w:rFonts w:ascii="Times New Roman" w:hAnsi="Times New Roman" w:eastAsia="宋体" w:cs="Times New Roman"/>
      <w:sz w:val="20"/>
      <w:szCs w:val="20"/>
    </w:rPr>
  </w:style>
  <w:style w:type="character" w:customStyle="1" w:styleId="39">
    <w:name w:val="font01"/>
    <w:basedOn w:val="24"/>
    <w:qFormat/>
    <w:uiPriority w:val="0"/>
    <w:rPr>
      <w:rFonts w:hint="default" w:ascii="仿宋_GB2312" w:eastAsia="仿宋_GB2312" w:cs="仿宋_GB2312"/>
      <w:color w:val="000000"/>
      <w:sz w:val="22"/>
      <w:szCs w:val="22"/>
      <w:u w:val="none"/>
    </w:rPr>
  </w:style>
  <w:style w:type="character" w:customStyle="1" w:styleId="40">
    <w:name w:val="font21"/>
    <w:basedOn w:val="24"/>
    <w:qFormat/>
    <w:uiPriority w:val="0"/>
    <w:rPr>
      <w:rFonts w:hint="default" w:ascii="仿宋_GB2312" w:eastAsia="仿宋_GB2312" w:cs="仿宋_GB2312"/>
      <w:color w:val="000000"/>
      <w:sz w:val="22"/>
      <w:szCs w:val="22"/>
      <w:u w:val="none"/>
    </w:rPr>
  </w:style>
  <w:style w:type="character" w:customStyle="1" w:styleId="41">
    <w:name w:val="标题 3 Char"/>
    <w:link w:val="9"/>
    <w:qFormat/>
    <w:uiPriority w:val="0"/>
    <w:rPr>
      <w:rFonts w:ascii="楷体_GB2312" w:hAnsi="楷体_GB2312" w:eastAsia="楷体_GB2312"/>
      <w:b/>
      <w:bCs/>
      <w:sz w:val="32"/>
      <w:szCs w:val="32"/>
    </w:rPr>
  </w:style>
  <w:style w:type="paragraph" w:styleId="42">
    <w:name w:val="List Paragraph"/>
    <w:basedOn w:val="1"/>
    <w:qFormat/>
    <w:uiPriority w:val="34"/>
    <w:pPr>
      <w:ind w:firstLine="420" w:firstLineChars="200"/>
    </w:pPr>
    <w:rPr>
      <w:rFonts w:ascii="Times New Roman" w:hAnsi="Times New Roman" w:eastAsia="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9922</Words>
  <Characters>10406</Characters>
  <Lines>35</Lines>
  <Paragraphs>10</Paragraphs>
  <TotalTime>1</TotalTime>
  <ScaleCrop>false</ScaleCrop>
  <LinksUpToDate>false</LinksUpToDate>
  <CharactersWithSpaces>10511</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2023-06-09T01:34:00Z</dcterms:created>
  <dc:creator>zh-sunbb</dc:creator>
  <cp:lastModifiedBy>张艺凡</cp:lastModifiedBy>
  <cp:lastPrinted>2025-04-16T01:31:00Z</cp:lastPrinted>
  <dcterms:modified xsi:type="dcterms:W3CDTF">2026-04-20T02:03:04Z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4B1629838CFA4882BE3AB0B12FA13436</vt:lpwstr>
  </property>
  <property fmtid="{D5CDD505-2E9C-101B-9397-08002B2CF9AE}" pid="4" name="KSOTemplateDocerSaveRecord">
    <vt:lpwstr>eyJoZGlkIjoiNWFiYmY1YzI2NGNjOWY1NDQwYTJmMGY3MDU3OTQxN2UiLCJ1c2VySWQiOiI5NDkwNDY4NTMifQ==</vt:lpwstr>
  </property>
</Properties>
</file>