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EE97E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彩虹小标宋" w:hAnsi="宋体" w:eastAsia="彩虹小标宋"/>
          <w:snapToGrid w:val="0"/>
          <w:kern w:val="0"/>
          <w:sz w:val="36"/>
          <w:szCs w:val="36"/>
          <w:highlight w:val="none"/>
        </w:rPr>
      </w:pPr>
      <w:bookmarkStart w:id="0" w:name="_GoBack"/>
      <w:bookmarkEnd w:id="0"/>
      <w:r>
        <w:rPr>
          <w:rFonts w:hint="eastAsia" w:ascii="彩虹小标宋" w:hAnsi="宋体" w:eastAsia="彩虹小标宋"/>
          <w:snapToGrid w:val="0"/>
          <w:kern w:val="0"/>
          <w:sz w:val="36"/>
          <w:szCs w:val="36"/>
          <w:highlight w:val="none"/>
        </w:rPr>
        <w:t>软件产品采购需求主要内容</w:t>
      </w:r>
    </w:p>
    <w:p w14:paraId="735935B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彩虹小标宋" w:hAnsi="宋体" w:eastAsia="彩虹小标宋"/>
          <w:snapToGrid w:val="0"/>
          <w:kern w:val="0"/>
          <w:sz w:val="36"/>
          <w:szCs w:val="36"/>
          <w:highlight w:val="none"/>
        </w:rPr>
      </w:pPr>
      <w:r>
        <w:rPr>
          <w:rFonts w:hint="eastAsia" w:ascii="彩虹小标宋" w:hAnsi="宋体" w:eastAsia="彩虹小标宋"/>
          <w:snapToGrid w:val="0"/>
          <w:kern w:val="0"/>
          <w:sz w:val="36"/>
          <w:szCs w:val="36"/>
          <w:highlight w:val="none"/>
        </w:rPr>
        <w:t>（一般包括以下所列内容）</w:t>
      </w:r>
    </w:p>
    <w:p w14:paraId="0707FEB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一、系统背景说明。</w:t>
      </w:r>
    </w:p>
    <w:p w14:paraId="7987B400">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彩虹粗仿宋" w:hAnsi="Tahoma" w:eastAsia="彩虹粗仿宋"/>
          <w:sz w:val="32"/>
          <w:szCs w:val="32"/>
          <w:highlight w:val="none"/>
          <w:lang w:eastAsia="zh-CN"/>
        </w:rPr>
      </w:pPr>
      <w:r>
        <w:rPr>
          <w:rFonts w:hint="eastAsia" w:ascii="彩虹粗仿宋" w:hAnsi="Tahoma" w:eastAsia="彩虹粗仿宋"/>
          <w:sz w:val="32"/>
          <w:szCs w:val="32"/>
          <w:highlight w:val="none"/>
          <w:lang w:eastAsia="zh-CN"/>
        </w:rPr>
        <w:t>为了加深我行与天津医科大学第二医院的银医合作关系，解决院方传统财务管理的难点、堵点、痛点，提升该院在财务核心场景中财务流程高效化、数据管理精细化的数字化重构进程，根据院方出具的书面证明材料，保障该院运营管理信息化一、二期项目的兼容性、延续性、安全性、高效性，实现运营管理信息化二期财务管理信息化系统项目从财务“核算型”向“管理型”“战略型”的转型。</w:t>
      </w:r>
      <w:r>
        <w:rPr>
          <w:rFonts w:hint="eastAsia" w:ascii="彩虹粗仿宋" w:hAnsi="宋体" w:eastAsia="彩虹粗仿宋"/>
          <w:sz w:val="32"/>
          <w:szCs w:val="32"/>
          <w:highlight w:val="none"/>
          <w:lang w:eastAsia="zh-CN"/>
        </w:rPr>
        <w:t>同时，院方仍要求原系统建设供应商继续为此次搭建财务管理信息化系统项目进行开发建设且供应商应提供或承诺能提供院方认可的书面证明材料。</w:t>
      </w:r>
    </w:p>
    <w:p w14:paraId="10E1637E">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该项目的金融属性包含以下两方面，一方面旨在赋能院方财务人员精准管控成本预算，助力该院“降本增效”。通过财务管理信息化系统的搭建，提升多维度数据归集与智能分摊的能力，实现财务核算从“模糊估算”到“精准到最小单位”的转变，让财务管理“算得清、算得准”，解决该院传统多账户分散管理导致的资金闲置，提升账户集中管理效能，平衡医保回款、应付款项等现金结算效率，有利于提升院方与我行进行账务核对时的效率与准确性，实现双方财务数据的实时同步与可追溯，进一步巩固双方的金融合作基础，最终实现我行基本账户的资金沉淀。另一方面旨在支撑管理层决策，服务医院长期发展。通过财务管理信息化系统的搭建，将收费、检验、采购等运营体系中的数据整合为“决策可用的信息”，为医院战略规划提供数据支撑，确保医院资源投入向“高收益、高需求”领域倾斜，实现财务管理“管得住、控得早”的可持续发展，保障运营效率及该院资金的可支配性。通过强化资金流向的透明化管理，我行能持续获取更加规范、可靠的财务合作数据，减少我行人工索要数据的沟通成本，同时基于历史财务合作数据，有利于我行为院方提供更多的定制化金融服务，巩固医院对我行服务的依赖度，联动我行各项金融业务，做好医院客群“圈链群”服务模式的构建，密切银医关系，实现该院对我行的综合贡献度的提升。</w:t>
      </w:r>
    </w:p>
    <w:p w14:paraId="1177700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二、维护工作的范围、内容、期限，内容包括：故障诊断、分析、排除及维修服务、远程访问诊断服务、重要客户档案管理服务、系统例行巡检和预防性维护、现场值班服务、现场健康检查服务、备件保障服务、紧急故障和应急处理服务、系统应急切换方案服务、生产系统恢复支持服务、技术交流服务、软件补丁更新与升级、批次故障预警及更换服务、参数优化服务、系统升级保障服务等。</w:t>
      </w:r>
    </w:p>
    <w:p w14:paraId="02799B6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针对财务管理信息化系统，进行系统的搭建优化及运维保障工作，</w:t>
      </w:r>
      <w:r>
        <w:rPr>
          <w:rFonts w:hint="eastAsia" w:ascii="彩虹粗仿宋" w:hAnsi="彩虹粗仿宋" w:eastAsia="彩虹粗仿宋" w:cs="彩虹粗仿宋"/>
          <w:snapToGrid w:val="0"/>
          <w:kern w:val="0"/>
          <w:sz w:val="32"/>
          <w:szCs w:val="32"/>
          <w:highlight w:val="none"/>
          <w:lang w:val="en-US" w:eastAsia="zh-CN"/>
        </w:rPr>
        <w:t>具体项目内容如下：</w:t>
      </w:r>
    </w:p>
    <w:p w14:paraId="64D5555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1.全面预算管理系统</w:t>
      </w:r>
    </w:p>
    <w:p w14:paraId="789EE7C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彩虹粗仿宋" w:hAnsi="宋体" w:eastAsia="彩虹粗仿宋"/>
          <w:sz w:val="32"/>
          <w:szCs w:val="32"/>
          <w:highlight w:val="none"/>
          <w:lang w:val="en-US" w:eastAsia="zh-CN"/>
        </w:rPr>
      </w:pPr>
      <w:r>
        <w:rPr>
          <w:rFonts w:hint="default" w:ascii="彩虹粗仿宋" w:hAnsi="宋体" w:eastAsia="彩虹粗仿宋"/>
          <w:sz w:val="32"/>
          <w:szCs w:val="32"/>
          <w:highlight w:val="none"/>
          <w:lang w:val="en-US" w:eastAsia="zh-CN"/>
        </w:rPr>
        <w:t>在一期预算管理基础上，进一步实现项目预算管理，涉及项目库建立、预算编制、预算审批、预算执行、预算控制、预算分析等全流程管理。</w:t>
      </w:r>
    </w:p>
    <w:p w14:paraId="3406CEA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彩虹粗仿宋" w:hAnsi="宋体" w:eastAsia="彩虹粗仿宋"/>
          <w:sz w:val="32"/>
          <w:szCs w:val="32"/>
          <w:highlight w:val="none"/>
          <w:lang w:val="en-US" w:eastAsia="zh-CN"/>
        </w:rPr>
      </w:pPr>
      <w:r>
        <w:rPr>
          <w:rFonts w:hint="default" w:ascii="彩虹粗仿宋" w:hAnsi="宋体" w:eastAsia="彩虹粗仿宋"/>
          <w:sz w:val="32"/>
          <w:szCs w:val="32"/>
          <w:highlight w:val="none"/>
          <w:lang w:val="en-US" w:eastAsia="zh-CN"/>
        </w:rPr>
        <w:t>结合医院DRG分组器及DRG支付情况，在现有收入预算基础上，实现DRG收入预算管理，具体包括：与DRG系统对接，获取DRG分组数据，进行DRG收入预算编制，预算审批、预算执行、预算分析等全流程管理。</w:t>
      </w:r>
    </w:p>
    <w:p w14:paraId="1853398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2.运营管理分析系统</w:t>
      </w:r>
    </w:p>
    <w:p w14:paraId="495CBE8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彩虹粗仿宋" w:hAnsi="宋体" w:eastAsia="彩虹粗仿宋"/>
          <w:sz w:val="32"/>
          <w:szCs w:val="32"/>
          <w:highlight w:val="none"/>
          <w:lang w:val="en-US" w:eastAsia="zh-CN"/>
        </w:rPr>
      </w:pPr>
      <w:r>
        <w:rPr>
          <w:rFonts w:hint="default" w:ascii="彩虹粗仿宋" w:hAnsi="宋体" w:eastAsia="彩虹粗仿宋"/>
          <w:sz w:val="32"/>
          <w:szCs w:val="32"/>
          <w:highlight w:val="none"/>
          <w:lang w:val="en-US" w:eastAsia="zh-CN"/>
        </w:rPr>
        <w:t>运营分析平台主要依据一期项目搭建的人财物一体化信息化平台，提取基础数据及业务运行数据，构建上百个运营分析模型指标，进行数据分析及展示，指标涵盖人力资源管理、财务数据分析管理、财务收入管理、费用报销支出管理、预算分析管理、资产分析管理、成本分析管理等、帮助医院科室领导及院领导进行决策分析支撑。目前计划实现的模型指标数量240+。</w:t>
      </w:r>
    </w:p>
    <w:p w14:paraId="0A13E85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3.成本管理系统</w:t>
      </w:r>
    </w:p>
    <w:p w14:paraId="5BCDB82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彩虹粗仿宋" w:hAnsi="宋体" w:eastAsia="彩虹粗仿宋"/>
          <w:sz w:val="32"/>
          <w:szCs w:val="32"/>
          <w:highlight w:val="none"/>
          <w:lang w:val="en-US" w:eastAsia="zh-CN"/>
        </w:rPr>
      </w:pPr>
      <w:r>
        <w:rPr>
          <w:rFonts w:hint="default" w:ascii="彩虹粗仿宋" w:hAnsi="宋体" w:eastAsia="彩虹粗仿宋"/>
          <w:sz w:val="32"/>
          <w:szCs w:val="32"/>
          <w:highlight w:val="none"/>
          <w:lang w:val="en-US" w:eastAsia="zh-CN"/>
        </w:rPr>
        <w:t>设置采集项目资源消耗相应字典信息，包括人员类型字典、物资信息字典、资产信息字典等。</w:t>
      </w:r>
    </w:p>
    <w:p w14:paraId="1881D0A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彩虹粗仿宋" w:hAnsi="宋体" w:eastAsia="彩虹粗仿宋"/>
          <w:sz w:val="32"/>
          <w:szCs w:val="32"/>
          <w:highlight w:val="none"/>
          <w:lang w:val="en-US" w:eastAsia="zh-CN"/>
        </w:rPr>
      </w:pPr>
      <w:r>
        <w:rPr>
          <w:rFonts w:hint="default" w:ascii="彩虹粗仿宋" w:hAnsi="宋体" w:eastAsia="彩虹粗仿宋"/>
          <w:sz w:val="32"/>
          <w:szCs w:val="32"/>
          <w:highlight w:val="none"/>
          <w:lang w:val="en-US" w:eastAsia="zh-CN"/>
        </w:rPr>
        <w:t>通过对基础业务数据的清洗、转换、汇总、校验，在科室成本二级分摊后，进行数据的重组优化深层核算，划分成本账户，搭建项目比价库、核算成本账户，首先计算出每个病人的成本，通过病人成本，按照救治科室，核算全院、院内各科、各诊疗组、医生的病种成本、标准临床路径成本。动态实时，实现病种成本核算，应用价值更具时效性，可靠性。</w:t>
      </w:r>
    </w:p>
    <w:p w14:paraId="35D6D14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彩虹粗仿宋" w:hAnsi="宋体" w:eastAsia="彩虹粗仿宋"/>
          <w:sz w:val="32"/>
          <w:szCs w:val="32"/>
          <w:highlight w:val="none"/>
          <w:lang w:val="en-US" w:eastAsia="zh-CN"/>
        </w:rPr>
      </w:pPr>
      <w:r>
        <w:rPr>
          <w:rFonts w:hint="default" w:ascii="彩虹粗仿宋" w:hAnsi="宋体" w:eastAsia="彩虹粗仿宋"/>
          <w:sz w:val="32"/>
          <w:szCs w:val="32"/>
          <w:highlight w:val="none"/>
          <w:lang w:val="en-US" w:eastAsia="zh-CN"/>
        </w:rPr>
        <w:t>成本分析是将科室成本核算管理系统所产出的全成本数据通过趋势分析、收支平衡分析、因素分析、比较分析和图形分析等模块将数据形象客观的展现出来，进行数据分析。在医院成本核算管理系统的基础上，从医院其他系统采集抽取相关的数据，计算医院相关各项指标，并且对指标进行对比、趋势、构成等分析。</w:t>
      </w:r>
    </w:p>
    <w:p w14:paraId="6C06FF0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4.财务管理系统</w:t>
      </w:r>
    </w:p>
    <w:p w14:paraId="0C8DDB2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彩虹粗仿宋" w:hAnsi="宋体" w:eastAsia="彩虹粗仿宋"/>
          <w:sz w:val="32"/>
          <w:szCs w:val="32"/>
          <w:highlight w:val="none"/>
          <w:lang w:val="en-US" w:eastAsia="zh-CN"/>
        </w:rPr>
      </w:pPr>
      <w:r>
        <w:rPr>
          <w:rFonts w:hint="default" w:ascii="彩虹粗仿宋" w:hAnsi="宋体" w:eastAsia="彩虹粗仿宋"/>
          <w:sz w:val="32"/>
          <w:szCs w:val="32"/>
          <w:highlight w:val="none"/>
          <w:lang w:val="en-US" w:eastAsia="zh-CN"/>
        </w:rPr>
        <w:t>根据业务建设要求，构建统一的财务管理平台，基于平台，统一医院的管理制度、数据标准、管理流程，输出标准的管理结果。所有基于业务数据的财务数据实现自动生成，可基于财务数据追踪业务；又强调智能化，减轻财务人员工作负担，转变传统财务职能。</w:t>
      </w:r>
    </w:p>
    <w:p w14:paraId="2ED07F9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三、维护工作方式（现场、热线、远程控制）。</w:t>
      </w:r>
    </w:p>
    <w:p w14:paraId="5B86409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现场和远程控制等。</w:t>
      </w:r>
    </w:p>
    <w:p w14:paraId="5CFDD18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四、故障事件级别定义及响应处理的承诺。</w:t>
      </w:r>
    </w:p>
    <w:p w14:paraId="508CE108">
      <w:pPr>
        <w:adjustRightInd w:val="0"/>
        <w:snapToGrid w:val="0"/>
        <w:spacing w:line="360" w:lineRule="auto"/>
        <w:ind w:firstLine="640" w:firstLineChars="200"/>
        <w:rPr>
          <w:rFonts w:hint="eastAsia" w:ascii="彩虹粗仿宋" w:hAnsi="宋体" w:eastAsia="彩虹粗仿宋"/>
          <w:snapToGrid w:val="0"/>
          <w:kern w:val="0"/>
          <w:sz w:val="32"/>
          <w:szCs w:val="32"/>
          <w:highlight w:val="none"/>
        </w:rPr>
      </w:pPr>
      <w:r>
        <w:rPr>
          <w:rFonts w:hint="eastAsia" w:ascii="彩虹粗仿宋" w:hAnsi="宋体" w:eastAsia="彩虹粗仿宋"/>
          <w:snapToGrid w:val="0"/>
          <w:kern w:val="0"/>
          <w:sz w:val="32"/>
          <w:szCs w:val="32"/>
          <w:highlight w:val="none"/>
        </w:rPr>
        <w:t>为保障项目售后服务质量，实施方需要提供详细的售后服务方案，内容包括但不限于服务标准、服务流程、服务方式、服务内容、售后服务网点等。售后服务团队至少包括软件工程师、测试工程师、业务顾问、项目经理不同工种的专业人员。</w:t>
      </w:r>
    </w:p>
    <w:p w14:paraId="761D9348">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彩虹粗仿宋" w:hAnsi="宋体" w:eastAsia="彩虹粗仿宋"/>
          <w:snapToGrid w:val="0"/>
          <w:kern w:val="0"/>
          <w:sz w:val="32"/>
          <w:szCs w:val="32"/>
          <w:highlight w:val="none"/>
        </w:rPr>
      </w:pPr>
      <w:r>
        <w:rPr>
          <w:rFonts w:hint="eastAsia" w:ascii="彩虹粗仿宋" w:hAnsi="宋体" w:eastAsia="彩虹粗仿宋"/>
          <w:snapToGrid w:val="0"/>
          <w:kern w:val="0"/>
          <w:sz w:val="32"/>
          <w:szCs w:val="32"/>
          <w:highlight w:val="none"/>
        </w:rPr>
        <w:t>保修期内免费升级软件和维护，每月进行1次系统安全检测，服务期内提供每年不少于4次季度深度巡检服务。服务期间</w:t>
      </w:r>
      <w:r>
        <w:rPr>
          <w:rFonts w:hint="eastAsia" w:ascii="彩虹粗仿宋" w:hAnsi="宋体" w:eastAsia="彩虹粗仿宋"/>
          <w:snapToGrid w:val="0"/>
          <w:kern w:val="0"/>
          <w:sz w:val="32"/>
          <w:szCs w:val="32"/>
          <w:highlight w:val="none"/>
          <w:lang w:eastAsia="zh-CN"/>
        </w:rPr>
        <w:t>需</w:t>
      </w:r>
      <w:r>
        <w:rPr>
          <w:rFonts w:hint="eastAsia" w:ascii="彩虹粗仿宋" w:hAnsi="宋体" w:eastAsia="彩虹粗仿宋"/>
          <w:snapToGrid w:val="0"/>
          <w:kern w:val="0"/>
          <w:sz w:val="32"/>
          <w:szCs w:val="32"/>
          <w:highlight w:val="none"/>
        </w:rPr>
        <w:t>根据院方需求，免费提供使用培训。提供不少于10次培训。服务方工程师应在30分钟内给予响应并指导院方技术人员操作，根据需要应在4小时内到达现场。</w:t>
      </w:r>
    </w:p>
    <w:p w14:paraId="23BB9A83">
      <w:pPr>
        <w:adjustRightInd w:val="0"/>
        <w:snapToGrid w:val="0"/>
        <w:spacing w:line="360" w:lineRule="auto"/>
        <w:ind w:firstLine="640" w:firstLineChars="200"/>
        <w:rPr>
          <w:rFonts w:hint="eastAsia" w:ascii="彩虹粗仿宋" w:hAnsi="宋体" w:eastAsia="彩虹粗仿宋"/>
          <w:snapToGrid w:val="0"/>
          <w:kern w:val="0"/>
          <w:sz w:val="32"/>
          <w:szCs w:val="32"/>
          <w:highlight w:val="none"/>
        </w:rPr>
      </w:pPr>
      <w:r>
        <w:rPr>
          <w:rFonts w:hint="eastAsia" w:ascii="彩虹粗仿宋" w:hAnsi="宋体" w:eastAsia="彩虹粗仿宋"/>
          <w:snapToGrid w:val="0"/>
          <w:kern w:val="0"/>
          <w:sz w:val="32"/>
          <w:szCs w:val="32"/>
          <w:highlight w:val="none"/>
        </w:rPr>
        <w:t>提供应急响应机制，当发生事故后，有完善的处理流程和汇报制度。并根据事故等级进行分级处理和汇报，在事故处理完成后，提交事故分析报告。</w:t>
      </w:r>
    </w:p>
    <w:p w14:paraId="6C10D6EE">
      <w:pPr>
        <w:adjustRightInd w:val="0"/>
        <w:snapToGrid w:val="0"/>
        <w:spacing w:line="360" w:lineRule="auto"/>
        <w:ind w:firstLine="640" w:firstLineChars="200"/>
        <w:rPr>
          <w:rFonts w:hint="eastAsia" w:ascii="彩虹粗仿宋" w:hAnsi="宋体" w:eastAsia="彩虹粗仿宋"/>
          <w:snapToGrid w:val="0"/>
          <w:kern w:val="0"/>
          <w:sz w:val="32"/>
          <w:szCs w:val="32"/>
          <w:highlight w:val="none"/>
        </w:rPr>
      </w:pPr>
      <w:r>
        <w:rPr>
          <w:rFonts w:hint="eastAsia" w:ascii="彩虹粗仿宋" w:hAnsi="宋体" w:eastAsia="彩虹粗仿宋"/>
          <w:snapToGrid w:val="0"/>
          <w:kern w:val="0"/>
          <w:sz w:val="32"/>
          <w:szCs w:val="32"/>
          <w:highlight w:val="none"/>
        </w:rPr>
        <w:t>提供定期培训，针对系统更新、功能升级和新入职员工，进行定期的系统培训；针对系统维护人员进行定期维护培训，并提供培训计划、培训文档和培训签到表。</w:t>
      </w:r>
    </w:p>
    <w:p w14:paraId="27BA496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五、供应商维护服务人员的数量、资质经验、角色等方面的要求。</w:t>
      </w:r>
    </w:p>
    <w:p w14:paraId="6A6BAC3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napToGrid w:val="0"/>
          <w:kern w:val="0"/>
          <w:sz w:val="32"/>
          <w:szCs w:val="32"/>
          <w:highlight w:val="none"/>
          <w:lang w:eastAsia="zh-CN"/>
        </w:rPr>
      </w:pPr>
      <w:r>
        <w:rPr>
          <w:rFonts w:hint="eastAsia" w:ascii="彩虹粗仿宋" w:hAnsi="宋体" w:eastAsia="彩虹粗仿宋"/>
          <w:snapToGrid w:val="0"/>
          <w:kern w:val="0"/>
          <w:sz w:val="32"/>
          <w:szCs w:val="32"/>
          <w:highlight w:val="none"/>
        </w:rPr>
        <w:t>供应商</w:t>
      </w:r>
      <w:r>
        <w:rPr>
          <w:rFonts w:hint="eastAsia" w:ascii="彩虹粗仿宋" w:hAnsi="宋体" w:eastAsia="彩虹粗仿宋"/>
          <w:snapToGrid w:val="0"/>
          <w:kern w:val="0"/>
          <w:sz w:val="32"/>
          <w:szCs w:val="32"/>
          <w:highlight w:val="none"/>
          <w:lang w:eastAsia="zh-CN"/>
        </w:rPr>
        <w:t>需提供院方出具的书面证明材料。并应同时</w:t>
      </w:r>
      <w:r>
        <w:rPr>
          <w:rFonts w:hint="eastAsia" w:ascii="彩虹粗仿宋" w:hAnsi="宋体" w:eastAsia="彩虹粗仿宋"/>
          <w:snapToGrid w:val="0"/>
          <w:kern w:val="0"/>
          <w:sz w:val="32"/>
          <w:szCs w:val="32"/>
          <w:highlight w:val="none"/>
        </w:rPr>
        <w:t>具备承接本项目的服务能力，具有计算机软件著作权登记证书</w:t>
      </w:r>
      <w:r>
        <w:rPr>
          <w:rFonts w:hint="eastAsia" w:ascii="彩虹粗仿宋" w:hAnsi="宋体" w:eastAsia="彩虹粗仿宋"/>
          <w:snapToGrid w:val="0"/>
          <w:kern w:val="0"/>
          <w:sz w:val="32"/>
          <w:szCs w:val="32"/>
          <w:highlight w:val="none"/>
          <w:lang w:eastAsia="zh-CN"/>
        </w:rPr>
        <w:t>。</w:t>
      </w:r>
    </w:p>
    <w:p w14:paraId="2403B72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1.驻场运维人员至少1名，需保证满足院方项目的工作量要求。</w:t>
      </w:r>
    </w:p>
    <w:p w14:paraId="546E450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2.资质经验：</w:t>
      </w:r>
    </w:p>
    <w:p w14:paraId="7EB76EF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 xml:space="preserve">1）全日制大学专科及以上学历，计算机相关专业  </w:t>
      </w:r>
    </w:p>
    <w:p w14:paraId="15E4E6D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 xml:space="preserve">2）同行业三年工作经验，熟悉服务器及数据库维护工作   </w:t>
      </w:r>
    </w:p>
    <w:p w14:paraId="1155E10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 xml:space="preserve">3）具有很强的责任心，做事认真负责   </w:t>
      </w:r>
    </w:p>
    <w:p w14:paraId="54880AA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 xml:space="preserve">4）具有JAVA开发相关技能，接收过相关专业培训  </w:t>
      </w:r>
    </w:p>
    <w:p w14:paraId="00DC57F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5）熟练使用SQLsever数据库，具备数据库优化能力。</w:t>
      </w:r>
    </w:p>
    <w:p w14:paraId="50B03B5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3.行为规范：</w:t>
      </w:r>
    </w:p>
    <w:p w14:paraId="6C28A07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1）严格遵守院方的工作制度。</w:t>
      </w:r>
    </w:p>
    <w:p w14:paraId="01D5518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2）与院方配合本服务细则的相关部门协同工作，紧密配合。</w:t>
      </w:r>
    </w:p>
    <w:p w14:paraId="4C85973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3）工作时间内要保持精神饱满，穿着得体，谈吐文明，举止庄重。在工作现场如遇患者咨询也须耐心给予合理的解释说明；接听电话时要文明礼貌，语言清晰明了，语气和善。</w:t>
      </w:r>
    </w:p>
    <w:p w14:paraId="26C6305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val="en-US" w:eastAsia="zh-CN"/>
        </w:rPr>
        <w:t>4）遵守保密原则。对院方的网络、系统软件等相关密码、核心参数、业务数据等负有保密责任，禁止随意复制和传播。</w:t>
      </w:r>
    </w:p>
    <w:p w14:paraId="52D1E2E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六、供应商人员与建行相关部门在系统维护工作中的关系。</w:t>
      </w:r>
    </w:p>
    <w:p w14:paraId="42D8C764">
      <w:pPr>
        <w:adjustRightInd w:val="0"/>
        <w:snapToGrid w:val="0"/>
        <w:spacing w:line="360" w:lineRule="auto"/>
        <w:ind w:firstLine="640" w:firstLineChars="200"/>
        <w:rPr>
          <w:rFonts w:hint="eastAsia" w:ascii="彩虹粗仿宋" w:hAnsi="宋体" w:eastAsia="彩虹粗仿宋"/>
          <w:snapToGrid w:val="0"/>
          <w:kern w:val="0"/>
          <w:sz w:val="32"/>
          <w:szCs w:val="32"/>
          <w:highlight w:val="none"/>
        </w:rPr>
      </w:pPr>
      <w:r>
        <w:rPr>
          <w:rFonts w:hint="eastAsia" w:ascii="彩虹粗仿宋" w:hAnsi="宋体" w:eastAsia="彩虹粗仿宋"/>
          <w:snapToGrid w:val="0"/>
          <w:kern w:val="0"/>
          <w:sz w:val="32"/>
          <w:szCs w:val="32"/>
          <w:highlight w:val="none"/>
        </w:rPr>
        <w:t>建行负责项目合作内容的实施投资，供应商负责软件系统的</w:t>
      </w:r>
      <w:r>
        <w:rPr>
          <w:rFonts w:hint="eastAsia" w:ascii="彩虹粗仿宋" w:hAnsi="宋体" w:eastAsia="彩虹粗仿宋"/>
          <w:snapToGrid w:val="0"/>
          <w:kern w:val="0"/>
          <w:sz w:val="32"/>
          <w:szCs w:val="32"/>
          <w:highlight w:val="none"/>
          <w:lang w:eastAsia="zh-CN"/>
        </w:rPr>
        <w:t>搭建及</w:t>
      </w:r>
      <w:r>
        <w:rPr>
          <w:rFonts w:hint="eastAsia" w:ascii="彩虹粗仿宋" w:hAnsi="宋体" w:eastAsia="彩虹粗仿宋"/>
          <w:snapToGrid w:val="0"/>
          <w:kern w:val="0"/>
          <w:sz w:val="32"/>
          <w:szCs w:val="32"/>
          <w:highlight w:val="none"/>
        </w:rPr>
        <w:t>维保工作，以保证软件系统能够正常运行。</w:t>
      </w:r>
    </w:p>
    <w:p w14:paraId="43168B6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七、工作成果要求，包括保密要求、最终提交文档要求、验收标准及验收流程等。</w:t>
      </w:r>
    </w:p>
    <w:p w14:paraId="2A85E670">
      <w:pPr>
        <w:adjustRightInd w:val="0"/>
        <w:snapToGrid w:val="0"/>
        <w:spacing w:line="360" w:lineRule="auto"/>
        <w:ind w:firstLine="640" w:firstLineChars="200"/>
        <w:rPr>
          <w:rFonts w:hint="eastAsia" w:ascii="彩虹粗仿宋" w:hAnsi="宋体" w:eastAsia="彩虹粗仿宋"/>
          <w:snapToGrid w:val="0"/>
          <w:kern w:val="0"/>
          <w:sz w:val="32"/>
          <w:szCs w:val="32"/>
          <w:highlight w:val="none"/>
          <w:lang w:eastAsia="zh-CN"/>
        </w:rPr>
      </w:pPr>
      <w:r>
        <w:rPr>
          <w:rFonts w:hint="eastAsia" w:ascii="彩虹粗仿宋" w:hAnsi="宋体" w:eastAsia="彩虹粗仿宋"/>
          <w:snapToGrid w:val="0"/>
          <w:kern w:val="0"/>
          <w:sz w:val="32"/>
          <w:szCs w:val="32"/>
          <w:highlight w:val="none"/>
          <w:lang w:val="en-US" w:eastAsia="zh-CN"/>
        </w:rPr>
        <w:t>1.</w:t>
      </w:r>
      <w:r>
        <w:rPr>
          <w:rFonts w:hint="eastAsia" w:ascii="彩虹粗仿宋" w:hAnsi="宋体" w:eastAsia="彩虹粗仿宋"/>
          <w:snapToGrid w:val="0"/>
          <w:kern w:val="0"/>
          <w:sz w:val="32"/>
          <w:szCs w:val="32"/>
          <w:highlight w:val="none"/>
          <w:lang w:eastAsia="zh-CN"/>
        </w:rPr>
        <w:t>天津医科大学第二医院、建行河西支行及供应商应对协议的内容和为签署协议而相互提供的资料、信息进行保密。未经书面同意，任何一方不得向其他方提供、披露协议项下各方的关系、协议的具体内容及披露方向接收方披露的任何相关信息，包括但不限于商业方案、执行计划等，但是根据有关法律法规和监管规定需要披露的除外。任一方违反本条款约定的保密义务，应对非违约方承担损害赔偿责任。本保密条款持续有效，不因协议的终止而终止。</w:t>
      </w:r>
    </w:p>
    <w:p w14:paraId="64A1FFB4">
      <w:pPr>
        <w:adjustRightInd w:val="0"/>
        <w:snapToGrid w:val="0"/>
        <w:spacing w:line="360" w:lineRule="auto"/>
        <w:ind w:firstLine="640" w:firstLineChars="200"/>
        <w:rPr>
          <w:rFonts w:hint="eastAsia" w:ascii="彩虹粗仿宋" w:hAnsi="宋体" w:eastAsia="彩虹粗仿宋"/>
          <w:snapToGrid w:val="0"/>
          <w:kern w:val="0"/>
          <w:sz w:val="32"/>
          <w:szCs w:val="32"/>
          <w:highlight w:val="none"/>
          <w:lang w:eastAsia="zh-CN"/>
        </w:rPr>
      </w:pPr>
      <w:r>
        <w:rPr>
          <w:rFonts w:hint="eastAsia" w:ascii="彩虹粗仿宋" w:hAnsi="宋体" w:eastAsia="彩虹粗仿宋"/>
          <w:snapToGrid w:val="0"/>
          <w:kern w:val="0"/>
          <w:sz w:val="32"/>
          <w:szCs w:val="32"/>
          <w:highlight w:val="none"/>
          <w:lang w:eastAsia="zh-CN"/>
        </w:rPr>
        <w:t>2.天津医科大学第二医院、建行河西支行根据服务标准确认服务效果，每次付款前需由使用方天津医科大学第二医院出具确认的维保服务验收确认函，作为验收标准及验收流程。</w:t>
      </w:r>
    </w:p>
    <w:p w14:paraId="61D385F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八、报价要求</w:t>
      </w:r>
    </w:p>
    <w:p w14:paraId="11F4840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报含税单价及总价。</w:t>
      </w:r>
    </w:p>
    <w:p w14:paraId="2B82745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九、款项支付要求</w:t>
      </w:r>
    </w:p>
    <w:p w14:paraId="21EF6A5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1.本合同项下的一切费用均以人民币结算及支付。</w:t>
      </w:r>
    </w:p>
    <w:p w14:paraId="127F0F3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2.付款方式</w:t>
      </w:r>
    </w:p>
    <w:p w14:paraId="61A9AC9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彩虹粗仿宋" w:hAnsi="宋体" w:eastAsia="彩虹粗仿宋"/>
          <w:sz w:val="32"/>
          <w:szCs w:val="32"/>
          <w:highlight w:val="none"/>
          <w:lang w:val="en-US" w:eastAsia="zh-CN"/>
        </w:rPr>
      </w:pPr>
      <w:r>
        <w:rPr>
          <w:rFonts w:hint="eastAsia" w:ascii="彩虹粗仿宋" w:hAnsi="宋体" w:eastAsia="彩虹粗仿宋"/>
          <w:sz w:val="32"/>
          <w:szCs w:val="32"/>
          <w:highlight w:val="none"/>
          <w:lang w:eastAsia="zh-CN"/>
        </w:rPr>
        <w:t>该项目服务期为</w:t>
      </w:r>
      <w:r>
        <w:rPr>
          <w:rFonts w:hint="eastAsia" w:ascii="彩虹粗仿宋" w:hAnsi="宋体" w:eastAsia="彩虹粗仿宋"/>
          <w:sz w:val="32"/>
          <w:szCs w:val="32"/>
          <w:highlight w:val="none"/>
          <w:lang w:val="en-US" w:eastAsia="zh-CN"/>
        </w:rPr>
        <w:t>5年。</w:t>
      </w:r>
      <w:r>
        <w:rPr>
          <w:rFonts w:hint="eastAsia" w:ascii="彩虹粗仿宋" w:hAnsi="宋体" w:eastAsia="彩虹粗仿宋"/>
          <w:sz w:val="32"/>
          <w:szCs w:val="32"/>
          <w:highlight w:val="none"/>
          <w:lang w:eastAsia="zh-CN"/>
        </w:rPr>
        <w:t>签订合同后，</w:t>
      </w:r>
      <w:r>
        <w:rPr>
          <w:rFonts w:hint="eastAsia" w:ascii="彩虹粗仿宋" w:hAnsi="宋体" w:eastAsia="彩虹粗仿宋"/>
          <w:sz w:val="32"/>
          <w:szCs w:val="32"/>
          <w:highlight w:val="none"/>
          <w:lang w:val="en-US" w:eastAsia="zh-CN"/>
        </w:rPr>
        <w:t>采取四次付款的方式。即第一次付款为自合同签署生效后20 个工作日内，付款金额为合同款的50%。第二次付款为自项目验收后20个工作日内，付款金额为合同款的40%。第三次付款金额为自设备稳定运行三年后20个工作日内，付款金额为合同款的5%，每次付款前需由使用方天津医科大学第二医院出具同意付款的函或验收报告。第四次付款金额为自系统稳定运行五年后20个工作日内，付款金额为合同款的5%，尾款付款前需由使用方天津医科大学第二医院出具同意付款的函或验收报告。</w:t>
      </w:r>
    </w:p>
    <w:p w14:paraId="6A2866F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十、其他要求。</w:t>
      </w:r>
    </w:p>
    <w:p w14:paraId="3EAEC0F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val="en-US" w:eastAsia="zh-CN"/>
        </w:rPr>
        <w:t>1.入选供应商应在建行开立对公结算账户及数币对公钱包（特殊情况除外），在龙集采平台办理相关手续，确保后期可以签订电子合同及电子签章。</w:t>
      </w:r>
    </w:p>
    <w:p w14:paraId="11890B1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val="en-US" w:eastAsia="zh-CN"/>
        </w:rPr>
        <w:t>2.</w:t>
      </w:r>
      <w:r>
        <w:rPr>
          <w:rFonts w:hint="eastAsia" w:ascii="彩虹粗仿宋" w:hAnsi="宋体" w:eastAsia="彩虹粗仿宋"/>
          <w:sz w:val="32"/>
          <w:szCs w:val="32"/>
          <w:highlight w:val="none"/>
          <w:lang w:eastAsia="zh-CN"/>
        </w:rPr>
        <w:t>供应商应提供数据安全承诺并加盖公章。</w:t>
      </w:r>
    </w:p>
    <w:p w14:paraId="09F2402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eastAsia="zh-CN"/>
        </w:rPr>
        <w:t>“</w:t>
      </w:r>
      <w:r>
        <w:rPr>
          <w:rFonts w:hint="eastAsia" w:ascii="彩虹粗仿宋" w:hAnsi="宋体" w:eastAsia="彩虹粗仿宋"/>
          <w:sz w:val="32"/>
          <w:szCs w:val="32"/>
          <w:highlight w:val="none"/>
          <w:lang w:val="en-US" w:eastAsia="zh-CN"/>
        </w:rPr>
        <w:t>1.</w:t>
      </w:r>
      <w:r>
        <w:rPr>
          <w:rFonts w:hint="eastAsia" w:ascii="彩虹粗仿宋" w:hAnsi="宋体" w:eastAsia="彩虹粗仿宋"/>
          <w:sz w:val="32"/>
          <w:szCs w:val="32"/>
          <w:highlight w:val="none"/>
          <w:lang w:eastAsia="zh-CN"/>
        </w:rPr>
        <w:t>本单位未发生过重大违法违规情形，或者迟报、瞒报数据安全事件和案件，或者产生过重大数据安全风险、事件、案件等。2.本单位如被确定为建行的合作机构，在签订合同时，需同意建行在协议正文或以附件形式添加《数据安全条款》。若在建行进行驻场，会组织人员签署《第三方合作人员数据安全承诺书》。”</w:t>
      </w:r>
    </w:p>
    <w:p w14:paraId="08EF36D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彩虹粗仿宋" w:hAnsi="宋体" w:eastAsia="彩虹粗仿宋"/>
          <w:sz w:val="32"/>
          <w:szCs w:val="32"/>
          <w:highlight w:val="none"/>
          <w:lang w:eastAsia="zh-CN"/>
        </w:rPr>
      </w:pPr>
      <w:r>
        <w:rPr>
          <w:rFonts w:hint="eastAsia" w:ascii="彩虹粗仿宋" w:hAnsi="宋体" w:eastAsia="彩虹粗仿宋"/>
          <w:sz w:val="32"/>
          <w:szCs w:val="32"/>
          <w:highlight w:val="none"/>
          <w:lang w:val="en-US" w:eastAsia="zh-CN"/>
        </w:rPr>
        <w:t>3.</w:t>
      </w:r>
      <w:r>
        <w:rPr>
          <w:rFonts w:hint="eastAsia" w:ascii="彩虹粗仿宋" w:hAnsi="宋体" w:eastAsia="彩虹粗仿宋"/>
          <w:sz w:val="32"/>
          <w:szCs w:val="32"/>
          <w:highlight w:val="none"/>
          <w:lang w:eastAsia="zh-CN"/>
        </w:rPr>
        <w:t>中标</w:t>
      </w:r>
      <w:r>
        <w:rPr>
          <w:rFonts w:hint="eastAsia" w:ascii="彩虹粗仿宋" w:hAnsi="宋体" w:eastAsia="彩虹粗仿宋"/>
          <w:sz w:val="32"/>
          <w:szCs w:val="32"/>
          <w:highlight w:val="none"/>
          <w:lang w:val="en-US" w:eastAsia="zh-CN"/>
        </w:rPr>
        <w:t>供应商需</w:t>
      </w:r>
      <w:r>
        <w:rPr>
          <w:rFonts w:hint="eastAsia" w:ascii="彩虹粗仿宋" w:hAnsi="宋体" w:eastAsia="彩虹粗仿宋"/>
          <w:sz w:val="32"/>
          <w:szCs w:val="32"/>
          <w:highlight w:val="none"/>
          <w:lang w:eastAsia="zh-CN"/>
        </w:rPr>
        <w:t>制定数据安全事件应急预案并定期开展数据安全相关培训、检查、演练工作。</w:t>
      </w:r>
    </w:p>
    <w:p w14:paraId="4A4BD473">
      <w:pPr>
        <w:keepNext w:val="0"/>
        <w:keepLines w:val="0"/>
        <w:pageBreakBefore w:val="0"/>
        <w:widowControl w:val="0"/>
        <w:kinsoku/>
        <w:wordWrap/>
        <w:overflowPunct/>
        <w:topLinePunct w:val="0"/>
        <w:autoSpaceDE/>
        <w:autoSpaceDN/>
        <w:bidi w:val="0"/>
        <w:spacing w:line="240" w:lineRule="auto"/>
        <w:jc w:val="left"/>
        <w:textAlignment w:val="auto"/>
        <w:rPr>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EDD230"/>
    <w:rsid w:val="17EF3CDC"/>
    <w:rsid w:val="1EEB1601"/>
    <w:rsid w:val="1FFA834C"/>
    <w:rsid w:val="2F5EA069"/>
    <w:rsid w:val="2FEF6D60"/>
    <w:rsid w:val="3079C675"/>
    <w:rsid w:val="35AE0B29"/>
    <w:rsid w:val="35FF0AB5"/>
    <w:rsid w:val="386668F3"/>
    <w:rsid w:val="3DBB4C75"/>
    <w:rsid w:val="3E0DB830"/>
    <w:rsid w:val="3F56319E"/>
    <w:rsid w:val="3FF513AF"/>
    <w:rsid w:val="437D09DB"/>
    <w:rsid w:val="47EB99AE"/>
    <w:rsid w:val="4BF3624D"/>
    <w:rsid w:val="4E42650A"/>
    <w:rsid w:val="4FD62160"/>
    <w:rsid w:val="4FF5A777"/>
    <w:rsid w:val="4FFB082B"/>
    <w:rsid w:val="51AFA6B4"/>
    <w:rsid w:val="52E57905"/>
    <w:rsid w:val="54CC47DB"/>
    <w:rsid w:val="59DF2B0F"/>
    <w:rsid w:val="5B3DB3DE"/>
    <w:rsid w:val="5B740EFC"/>
    <w:rsid w:val="5B97491B"/>
    <w:rsid w:val="5D5E753F"/>
    <w:rsid w:val="5DAFE40F"/>
    <w:rsid w:val="5DC68BB9"/>
    <w:rsid w:val="5DDD6825"/>
    <w:rsid w:val="5EF99208"/>
    <w:rsid w:val="5FAFC954"/>
    <w:rsid w:val="5FAFD57F"/>
    <w:rsid w:val="5FF94C2C"/>
    <w:rsid w:val="63FE6AD3"/>
    <w:rsid w:val="650D851F"/>
    <w:rsid w:val="65FDE53B"/>
    <w:rsid w:val="66FF7DB6"/>
    <w:rsid w:val="679BE9AF"/>
    <w:rsid w:val="67EBEAF0"/>
    <w:rsid w:val="67FFF7C9"/>
    <w:rsid w:val="69EBE887"/>
    <w:rsid w:val="6DDF0D5B"/>
    <w:rsid w:val="6DFFA19F"/>
    <w:rsid w:val="6EFEA5D9"/>
    <w:rsid w:val="6F1FCDE8"/>
    <w:rsid w:val="6F3F048A"/>
    <w:rsid w:val="6F772C02"/>
    <w:rsid w:val="6FEE59B7"/>
    <w:rsid w:val="6FFF8DC4"/>
    <w:rsid w:val="71F953C1"/>
    <w:rsid w:val="73FC306B"/>
    <w:rsid w:val="73FCE5E2"/>
    <w:rsid w:val="745B5B77"/>
    <w:rsid w:val="752F5482"/>
    <w:rsid w:val="759F079E"/>
    <w:rsid w:val="75A61862"/>
    <w:rsid w:val="7737E2E9"/>
    <w:rsid w:val="775AC1C5"/>
    <w:rsid w:val="775DA98D"/>
    <w:rsid w:val="77939450"/>
    <w:rsid w:val="77AFC36E"/>
    <w:rsid w:val="77BB7297"/>
    <w:rsid w:val="77DAEFE2"/>
    <w:rsid w:val="77DB6A23"/>
    <w:rsid w:val="77F7D16B"/>
    <w:rsid w:val="77FFE5AC"/>
    <w:rsid w:val="7B5D1CE8"/>
    <w:rsid w:val="7B6F5092"/>
    <w:rsid w:val="7B7BEDA5"/>
    <w:rsid w:val="7BFC2AF1"/>
    <w:rsid w:val="7BFFC64D"/>
    <w:rsid w:val="7CBE3A74"/>
    <w:rsid w:val="7CF89CAC"/>
    <w:rsid w:val="7D9FB85E"/>
    <w:rsid w:val="7DEFFFA9"/>
    <w:rsid w:val="7DFDC560"/>
    <w:rsid w:val="7DFF8CCB"/>
    <w:rsid w:val="7E3B3960"/>
    <w:rsid w:val="7E6F5A94"/>
    <w:rsid w:val="7EB5A15D"/>
    <w:rsid w:val="7F0FF096"/>
    <w:rsid w:val="7F4F5A3C"/>
    <w:rsid w:val="7F5569FF"/>
    <w:rsid w:val="7F7C97C0"/>
    <w:rsid w:val="7F7F3782"/>
    <w:rsid w:val="7FA74C77"/>
    <w:rsid w:val="7FCD7E99"/>
    <w:rsid w:val="7FE3E1E3"/>
    <w:rsid w:val="7FED6C80"/>
    <w:rsid w:val="7FF2404B"/>
    <w:rsid w:val="7FF65867"/>
    <w:rsid w:val="7FFB042B"/>
    <w:rsid w:val="7FFC1525"/>
    <w:rsid w:val="7FFF66E4"/>
    <w:rsid w:val="9E649BE1"/>
    <w:rsid w:val="A1ADBA04"/>
    <w:rsid w:val="ACE7F0F7"/>
    <w:rsid w:val="ADEFB213"/>
    <w:rsid w:val="AF7FB0FD"/>
    <w:rsid w:val="B7F354CE"/>
    <w:rsid w:val="B9E3A675"/>
    <w:rsid w:val="BB73336F"/>
    <w:rsid w:val="BB7D5704"/>
    <w:rsid w:val="BD5FE445"/>
    <w:rsid w:val="BEEE5F83"/>
    <w:rsid w:val="BFB758B4"/>
    <w:rsid w:val="BFF8B020"/>
    <w:rsid w:val="CFDB5532"/>
    <w:rsid w:val="D9AB135B"/>
    <w:rsid w:val="DBFBB6C5"/>
    <w:rsid w:val="DDA738BB"/>
    <w:rsid w:val="DF6CCE3B"/>
    <w:rsid w:val="DF7F3AB5"/>
    <w:rsid w:val="DFF3B2FE"/>
    <w:rsid w:val="DFFBE2E6"/>
    <w:rsid w:val="DFFE9588"/>
    <w:rsid w:val="DFFFC7AC"/>
    <w:rsid w:val="E2B6D5EA"/>
    <w:rsid w:val="E79B0918"/>
    <w:rsid w:val="EA73CDDB"/>
    <w:rsid w:val="EBE32B87"/>
    <w:rsid w:val="EEFD1DC6"/>
    <w:rsid w:val="EF7F8EF0"/>
    <w:rsid w:val="EFE70F73"/>
    <w:rsid w:val="EFF1B9D3"/>
    <w:rsid w:val="EFFFEE66"/>
    <w:rsid w:val="F1773F29"/>
    <w:rsid w:val="F27FC5B2"/>
    <w:rsid w:val="F3EE1C9F"/>
    <w:rsid w:val="F4FF17D7"/>
    <w:rsid w:val="F57E453E"/>
    <w:rsid w:val="F5F2CEAC"/>
    <w:rsid w:val="F5F7E74C"/>
    <w:rsid w:val="F69E3426"/>
    <w:rsid w:val="F6BFF53D"/>
    <w:rsid w:val="F6DB8FA5"/>
    <w:rsid w:val="F73FF661"/>
    <w:rsid w:val="F767BDBA"/>
    <w:rsid w:val="F76F3F7E"/>
    <w:rsid w:val="F7F76563"/>
    <w:rsid w:val="F7FB234B"/>
    <w:rsid w:val="F7FFA35A"/>
    <w:rsid w:val="F9EFA1A0"/>
    <w:rsid w:val="FAEE5A59"/>
    <w:rsid w:val="FB7D71AD"/>
    <w:rsid w:val="FB9F5E75"/>
    <w:rsid w:val="FBEE0058"/>
    <w:rsid w:val="FBFF6D36"/>
    <w:rsid w:val="FD7E85F6"/>
    <w:rsid w:val="FDCD9C5B"/>
    <w:rsid w:val="FDE7D3A3"/>
    <w:rsid w:val="FDF6D410"/>
    <w:rsid w:val="FEAA06A3"/>
    <w:rsid w:val="FEAF7B2F"/>
    <w:rsid w:val="FED93C2F"/>
    <w:rsid w:val="FEEE64C4"/>
    <w:rsid w:val="FEFF451E"/>
    <w:rsid w:val="FF87C458"/>
    <w:rsid w:val="FF8B583E"/>
    <w:rsid w:val="FFD194AA"/>
    <w:rsid w:val="FFD502B0"/>
    <w:rsid w:val="FFD90D25"/>
    <w:rsid w:val="FFE93B76"/>
    <w:rsid w:val="FFEF745E"/>
    <w:rsid w:val="FFF24756"/>
    <w:rsid w:val="FFFDEFB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Style w:val="2"/>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Office_12.8.2.17134_F1E327BC-269C-435d-A152-05C5408002CA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2025-09-13T02:02:16Z</dcterms:created>
  <dc:creator>ccb</dc:creator>
  <cp:lastModifiedBy>马越</cp:lastModifiedBy>
  <cp:lastPrinted>2025-09-24T06:42:00Z</cp:lastPrinted>
  <dcterms:modified xsi:type="dcterms:W3CDTF">2025-11-19T09:10:39Z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2052-12.8.2.17134</vt:lpwstr>
  </property>
  <property fmtid="{D5CDD505-2E9C-101B-9397-08002B2CF9AE}" pid="3" name="ICV">
    <vt:lpwstr>AE7229D85F5441CC8113AF9394D376B3_13</vt:lpwstr>
  </property>
</Properties>
</file>