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jc w:val="center"/>
        <w:rPr>
          <w:rFonts w:hint="eastAsia" w:ascii="仿宋" w:hAnsi="仿宋" w:eastAsia="仿宋" w:cs="宋体"/>
          <w:b/>
          <w:color w:val="FF0000"/>
          <w:spacing w:val="40"/>
          <w:sz w:val="36"/>
          <w:szCs w:val="36"/>
          <w:highlight w:val="none"/>
          <w:lang w:val="en-US" w:eastAsia="zh-CN"/>
        </w:rPr>
      </w:pPr>
      <w:r>
        <w:rPr>
          <w:rFonts w:hint="eastAsia" w:ascii="仿宋" w:hAnsi="仿宋" w:eastAsia="仿宋" w:cs="宋体"/>
          <w:b/>
          <w:color w:val="auto"/>
          <w:spacing w:val="40"/>
          <w:sz w:val="36"/>
          <w:szCs w:val="36"/>
          <w:highlight w:val="none"/>
          <w:lang w:eastAsia="zh-CN"/>
        </w:rPr>
        <w:t>中国人民财产保险股份有限公司连云港市分公司2025年-2028年律师库入围服务项目</w:t>
      </w:r>
    </w:p>
    <w:p>
      <w:pPr>
        <w:jc w:val="center"/>
        <w:rPr>
          <w:rFonts w:hint="eastAsia" w:ascii="仿宋" w:hAnsi="仿宋" w:eastAsia="仿宋" w:cs="宋体"/>
          <w:b/>
          <w:color w:val="000000"/>
          <w:spacing w:val="40"/>
          <w:sz w:val="36"/>
          <w:szCs w:val="36"/>
          <w:highlight w:val="none"/>
        </w:rPr>
      </w:pPr>
    </w:p>
    <w:p>
      <w:pPr>
        <w:jc w:val="center"/>
        <w:rPr>
          <w:rFonts w:hint="eastAsia" w:ascii="仿宋" w:hAnsi="仿宋" w:eastAsia="仿宋" w:cs="宋体"/>
          <w:b/>
          <w:color w:val="000000"/>
          <w:sz w:val="28"/>
          <w:szCs w:val="28"/>
          <w:highlight w:val="none"/>
        </w:rPr>
      </w:pPr>
    </w:p>
    <w:p>
      <w:pPr>
        <w:jc w:val="center"/>
        <w:rPr>
          <w:rFonts w:hint="eastAsia" w:ascii="仿宋" w:hAnsi="仿宋" w:eastAsia="仿宋" w:cs="宋体"/>
          <w:b/>
          <w:color w:val="000000"/>
          <w:sz w:val="28"/>
          <w:szCs w:val="28"/>
          <w:highlight w:val="none"/>
        </w:rPr>
      </w:pPr>
    </w:p>
    <w:p>
      <w:pPr>
        <w:jc w:val="center"/>
        <w:rPr>
          <w:rFonts w:hint="eastAsia" w:ascii="仿宋" w:hAnsi="仿宋" w:eastAsia="仿宋" w:cs="宋体"/>
          <w:b/>
          <w:color w:val="FF0000"/>
          <w:sz w:val="28"/>
          <w:szCs w:val="28"/>
          <w:highlight w:val="none"/>
          <w:u w:val="single"/>
          <w:lang w:eastAsia="zh-CN"/>
        </w:rPr>
      </w:pPr>
      <w:r>
        <w:rPr>
          <w:rFonts w:hint="eastAsia" w:ascii="仿宋" w:hAnsi="仿宋" w:eastAsia="仿宋" w:cs="宋体"/>
          <w:b/>
          <w:color w:val="auto"/>
          <w:sz w:val="28"/>
          <w:szCs w:val="28"/>
          <w:highlight w:val="none"/>
        </w:rPr>
        <w:t>招标代理项目编号：</w:t>
      </w:r>
      <w:r>
        <w:rPr>
          <w:rFonts w:hint="eastAsia" w:ascii="仿宋" w:hAnsi="仿宋" w:eastAsia="仿宋" w:cs="宋体"/>
          <w:b/>
          <w:color w:val="auto"/>
          <w:sz w:val="28"/>
          <w:szCs w:val="28"/>
          <w:highlight w:val="none"/>
          <w:lang w:eastAsia="zh-CN"/>
        </w:rPr>
        <w:t>DL066025R2ZC01215</w:t>
      </w:r>
    </w:p>
    <w:p>
      <w:pPr>
        <w:jc w:val="center"/>
        <w:rPr>
          <w:rFonts w:hint="eastAsia" w:ascii="仿宋" w:hAnsi="仿宋" w:eastAsia="仿宋" w:cs="宋体"/>
          <w:b/>
          <w:color w:val="000000"/>
          <w:sz w:val="28"/>
          <w:szCs w:val="28"/>
          <w:highlight w:val="none"/>
          <w:u w:val="single"/>
        </w:rPr>
      </w:pPr>
    </w:p>
    <w:p>
      <w:pPr>
        <w:jc w:val="center"/>
        <w:rPr>
          <w:rFonts w:hint="eastAsia" w:ascii="仿宋" w:hAnsi="仿宋" w:eastAsia="仿宋" w:cs="宋体"/>
          <w:b/>
          <w:color w:val="000000"/>
          <w:sz w:val="28"/>
          <w:szCs w:val="28"/>
          <w:highlight w:val="none"/>
          <w:u w:val="single"/>
        </w:rPr>
      </w:pPr>
    </w:p>
    <w:p>
      <w:pPr>
        <w:jc w:val="center"/>
        <w:rPr>
          <w:rFonts w:hint="eastAsia" w:ascii="仿宋" w:hAnsi="仿宋" w:eastAsia="仿宋" w:cs="宋体"/>
          <w:b/>
          <w:color w:val="000000"/>
          <w:spacing w:val="40"/>
          <w:sz w:val="72"/>
          <w:szCs w:val="72"/>
          <w:highlight w:val="none"/>
        </w:rPr>
      </w:pPr>
      <w:r>
        <w:rPr>
          <w:rFonts w:hint="eastAsia" w:ascii="仿宋" w:hAnsi="仿宋" w:eastAsia="仿宋" w:cs="宋体"/>
          <w:b/>
          <w:color w:val="000000"/>
          <w:spacing w:val="40"/>
          <w:sz w:val="72"/>
          <w:szCs w:val="72"/>
          <w:highlight w:val="none"/>
        </w:rPr>
        <w:t>招标文件</w:t>
      </w:r>
    </w:p>
    <w:p>
      <w:pPr>
        <w:spacing w:after="120" w:line="400" w:lineRule="exact"/>
        <w:jc w:val="center"/>
        <w:rPr>
          <w:rFonts w:hint="eastAsia" w:ascii="仿宋" w:hAnsi="仿宋" w:eastAsia="仿宋" w:cs="宋体"/>
          <w:b/>
          <w:color w:val="000000"/>
          <w:sz w:val="28"/>
          <w:szCs w:val="28"/>
          <w:highlight w:val="none"/>
        </w:rPr>
      </w:pPr>
    </w:p>
    <w:p>
      <w:pPr>
        <w:spacing w:after="120" w:line="400" w:lineRule="exact"/>
        <w:jc w:val="center"/>
        <w:rPr>
          <w:rFonts w:hint="eastAsia" w:ascii="仿宋" w:hAnsi="仿宋" w:eastAsia="仿宋" w:cs="宋体"/>
          <w:b/>
          <w:color w:val="000000"/>
          <w:sz w:val="28"/>
          <w:szCs w:val="28"/>
          <w:highlight w:val="none"/>
        </w:rPr>
      </w:pPr>
    </w:p>
    <w:p>
      <w:pPr>
        <w:spacing w:after="120" w:line="400" w:lineRule="exact"/>
        <w:jc w:val="center"/>
        <w:rPr>
          <w:rFonts w:hint="eastAsia" w:ascii="仿宋" w:hAnsi="仿宋" w:eastAsia="仿宋" w:cs="宋体"/>
          <w:b/>
          <w:color w:val="000000"/>
          <w:sz w:val="28"/>
          <w:szCs w:val="28"/>
          <w:highlight w:val="none"/>
        </w:rPr>
      </w:pPr>
    </w:p>
    <w:p>
      <w:pPr>
        <w:spacing w:after="120" w:line="400" w:lineRule="exact"/>
        <w:jc w:val="center"/>
        <w:rPr>
          <w:rFonts w:hint="eastAsia" w:ascii="仿宋" w:hAnsi="仿宋" w:eastAsia="仿宋" w:cs="宋体"/>
          <w:b/>
          <w:color w:val="000000"/>
          <w:sz w:val="28"/>
          <w:szCs w:val="28"/>
          <w:highlight w:val="none"/>
        </w:rPr>
      </w:pPr>
    </w:p>
    <w:p>
      <w:pPr>
        <w:spacing w:after="120" w:line="400" w:lineRule="exact"/>
        <w:jc w:val="center"/>
        <w:rPr>
          <w:rFonts w:hint="eastAsia" w:ascii="仿宋" w:hAnsi="仿宋" w:eastAsia="仿宋" w:cs="宋体"/>
          <w:b/>
          <w:color w:val="000000"/>
          <w:sz w:val="28"/>
          <w:szCs w:val="28"/>
          <w:highlight w:val="none"/>
        </w:rPr>
      </w:pPr>
    </w:p>
    <w:p>
      <w:pPr>
        <w:spacing w:after="120" w:line="400" w:lineRule="exact"/>
        <w:jc w:val="center"/>
        <w:rPr>
          <w:rFonts w:hint="eastAsia" w:ascii="仿宋" w:hAnsi="仿宋" w:eastAsia="仿宋" w:cs="宋体"/>
          <w:b/>
          <w:color w:val="000000"/>
          <w:sz w:val="28"/>
          <w:szCs w:val="28"/>
          <w:highlight w:val="none"/>
        </w:rPr>
      </w:pPr>
    </w:p>
    <w:p>
      <w:pPr>
        <w:spacing w:after="120" w:line="400" w:lineRule="exact"/>
        <w:jc w:val="center"/>
        <w:rPr>
          <w:rFonts w:hint="eastAsia" w:ascii="仿宋" w:hAnsi="仿宋" w:eastAsia="仿宋" w:cs="宋体"/>
          <w:b/>
          <w:color w:val="000000"/>
          <w:sz w:val="28"/>
          <w:szCs w:val="28"/>
          <w:highlight w:val="none"/>
        </w:rPr>
      </w:pPr>
    </w:p>
    <w:p>
      <w:pPr>
        <w:spacing w:after="120" w:line="400" w:lineRule="exact"/>
        <w:jc w:val="center"/>
        <w:rPr>
          <w:rFonts w:hint="eastAsia" w:ascii="仿宋" w:hAnsi="仿宋" w:eastAsia="仿宋" w:cs="宋体"/>
          <w:b/>
          <w:color w:val="auto"/>
          <w:sz w:val="32"/>
          <w:szCs w:val="32"/>
          <w:highlight w:val="none"/>
          <w:lang w:val="en-US" w:eastAsia="zh-CN"/>
        </w:rPr>
      </w:pPr>
      <w:r>
        <w:rPr>
          <w:rFonts w:hint="eastAsia" w:ascii="仿宋" w:hAnsi="仿宋" w:eastAsia="仿宋" w:cs="宋体"/>
          <w:b/>
          <w:color w:val="auto"/>
          <w:sz w:val="32"/>
          <w:szCs w:val="32"/>
          <w:highlight w:val="none"/>
        </w:rPr>
        <w:t>招标人：</w:t>
      </w:r>
      <w:r>
        <w:rPr>
          <w:rFonts w:hint="eastAsia" w:ascii="仿宋" w:hAnsi="仿宋" w:eastAsia="仿宋" w:cs="宋体"/>
          <w:b/>
          <w:color w:val="auto"/>
          <w:sz w:val="32"/>
          <w:szCs w:val="32"/>
          <w:highlight w:val="none"/>
          <w:lang w:eastAsia="zh-CN"/>
        </w:rPr>
        <w:t>中国人民财产保险股份有限公司连云港市分公司</w:t>
      </w:r>
    </w:p>
    <w:p>
      <w:pPr>
        <w:spacing w:after="120" w:line="400" w:lineRule="exact"/>
        <w:jc w:val="center"/>
        <w:rPr>
          <w:rFonts w:hint="eastAsia" w:ascii="仿宋" w:hAnsi="仿宋" w:eastAsia="仿宋" w:cs="宋体"/>
          <w:b/>
          <w:color w:val="auto"/>
          <w:sz w:val="32"/>
          <w:szCs w:val="32"/>
          <w:highlight w:val="none"/>
        </w:rPr>
      </w:pPr>
      <w:r>
        <w:rPr>
          <w:rFonts w:hint="eastAsia" w:ascii="仿宋" w:hAnsi="仿宋" w:eastAsia="仿宋" w:cs="宋体"/>
          <w:b/>
          <w:color w:val="auto"/>
          <w:sz w:val="32"/>
          <w:szCs w:val="32"/>
          <w:highlight w:val="none"/>
        </w:rPr>
        <w:t>招标代理机构：江苏省设备成套股份有限公司</w:t>
      </w:r>
    </w:p>
    <w:p>
      <w:pPr>
        <w:spacing w:after="120" w:line="400" w:lineRule="exact"/>
        <w:jc w:val="center"/>
        <w:rPr>
          <w:rFonts w:hint="eastAsia" w:ascii="仿宋" w:hAnsi="仿宋" w:eastAsia="仿宋" w:cs="宋体"/>
          <w:b/>
          <w:color w:val="FF0000"/>
          <w:sz w:val="32"/>
          <w:szCs w:val="32"/>
          <w:highlight w:val="none"/>
        </w:rPr>
        <w:sectPr>
          <w:footerReference r:id="rId7" w:type="first"/>
          <w:headerReference r:id="rId5" w:type="default"/>
          <w:footerReference r:id="rId6" w:type="default"/>
          <w:pgSz w:w="11906" w:h="16838"/>
          <w:pgMar w:top="1417" w:right="1134" w:bottom="1134" w:left="1134" w:header="851" w:footer="992" w:gutter="0"/>
          <w:cols w:space="720" w:num="1"/>
          <w:titlePg/>
          <w:docGrid w:type="lines" w:linePitch="312" w:charSpace="0"/>
        </w:sectPr>
      </w:pPr>
      <w:r>
        <w:rPr>
          <w:rFonts w:hint="eastAsia" w:ascii="仿宋" w:hAnsi="仿宋" w:eastAsia="仿宋" w:cs="宋体"/>
          <w:b/>
          <w:color w:val="auto"/>
          <w:sz w:val="32"/>
          <w:szCs w:val="32"/>
          <w:highlight w:val="none"/>
        </w:rPr>
        <w:t>日期： 20</w:t>
      </w:r>
      <w:r>
        <w:rPr>
          <w:rFonts w:hint="eastAsia" w:ascii="仿宋" w:hAnsi="仿宋" w:eastAsia="仿宋" w:cs="宋体"/>
          <w:b/>
          <w:color w:val="auto"/>
          <w:sz w:val="32"/>
          <w:szCs w:val="32"/>
          <w:highlight w:val="none"/>
          <w:lang w:val="en-US" w:eastAsia="zh-CN"/>
        </w:rPr>
        <w:t>25</w:t>
      </w:r>
      <w:r>
        <w:rPr>
          <w:rFonts w:hint="eastAsia" w:ascii="仿宋" w:hAnsi="仿宋" w:eastAsia="仿宋" w:cs="宋体"/>
          <w:b/>
          <w:color w:val="auto"/>
          <w:sz w:val="32"/>
          <w:szCs w:val="32"/>
          <w:highlight w:val="none"/>
        </w:rPr>
        <w:t>年</w:t>
      </w:r>
      <w:r>
        <w:rPr>
          <w:rFonts w:hint="eastAsia" w:ascii="仿宋" w:hAnsi="仿宋" w:eastAsia="仿宋" w:cs="宋体"/>
          <w:b/>
          <w:color w:val="auto"/>
          <w:sz w:val="32"/>
          <w:szCs w:val="32"/>
          <w:highlight w:val="none"/>
          <w:lang w:val="en-US" w:eastAsia="zh-CN"/>
        </w:rPr>
        <w:t>9</w:t>
      </w:r>
      <w:r>
        <w:rPr>
          <w:rFonts w:hint="eastAsia" w:ascii="仿宋" w:hAnsi="仿宋" w:eastAsia="仿宋" w:cs="宋体"/>
          <w:b/>
          <w:color w:val="auto"/>
          <w:sz w:val="32"/>
          <w:szCs w:val="32"/>
          <w:highlight w:val="none"/>
        </w:rPr>
        <w:t>月</w:t>
      </w:r>
    </w:p>
    <w:p>
      <w:pPr>
        <w:tabs>
          <w:tab w:val="right" w:leader="dot" w:pos="8296"/>
        </w:tabs>
        <w:spacing w:line="240" w:lineRule="auto"/>
        <w:jc w:val="center"/>
        <w:rPr>
          <w:rFonts w:hint="eastAsia" w:ascii="仿宋" w:hAnsi="仿宋" w:cs="宋体"/>
          <w:color w:val="000000"/>
          <w:highlight w:val="none"/>
        </w:rPr>
      </w:pPr>
      <w:bookmarkStart w:id="0" w:name="_Toc9208"/>
      <w:bookmarkStart w:id="1" w:name="_Toc9649"/>
      <w:bookmarkStart w:id="2" w:name="_Toc14796"/>
      <w:bookmarkStart w:id="3" w:name="_Toc8790"/>
      <w:bookmarkStart w:id="4" w:name="_Toc7914"/>
      <w:bookmarkStart w:id="5" w:name="_Toc109124222"/>
      <w:bookmarkStart w:id="6" w:name="_Toc65682912"/>
      <w:r>
        <w:rPr>
          <w:rFonts w:hint="eastAsia" w:ascii="仿宋" w:hAnsi="仿宋" w:cs="宋体"/>
          <w:b/>
          <w:bCs/>
          <w:color w:val="000000"/>
          <w:highlight w:val="none"/>
        </w:rPr>
        <w:t xml:space="preserve"> </w:t>
      </w:r>
      <w:bookmarkEnd w:id="0"/>
      <w:bookmarkEnd w:id="1"/>
      <w:bookmarkEnd w:id="2"/>
      <w:r>
        <w:rPr>
          <w:rFonts w:hint="eastAsia" w:ascii="仿宋" w:hAnsi="仿宋" w:cs="宋体"/>
          <w:b/>
          <w:bCs/>
          <w:color w:val="000000"/>
          <w:highlight w:val="none"/>
        </w:rPr>
        <w:t>招标公告</w:t>
      </w:r>
      <w:bookmarkEnd w:id="3"/>
      <w:bookmarkEnd w:id="4"/>
      <w:bookmarkEnd w:id="5"/>
      <w:bookmarkEnd w:id="6"/>
    </w:p>
    <w:p>
      <w:pPr>
        <w:pStyle w:val="3"/>
        <w:rPr>
          <w:rFonts w:hint="eastAsia" w:ascii="仿宋" w:hAnsi="仿宋" w:cs="宋体"/>
          <w:color w:val="000000"/>
          <w:szCs w:val="24"/>
          <w:highlight w:val="none"/>
        </w:rPr>
      </w:pPr>
      <w:bookmarkStart w:id="7" w:name="_Toc10131"/>
      <w:bookmarkStart w:id="8" w:name="_Toc25200"/>
      <w:bookmarkStart w:id="9" w:name="_Toc24950"/>
      <w:bookmarkStart w:id="10" w:name="_Toc65682913"/>
      <w:bookmarkStart w:id="11" w:name="_Toc109124223"/>
      <w:bookmarkStart w:id="12" w:name="_Toc13923"/>
      <w:bookmarkStart w:id="13" w:name="_Toc23271"/>
      <w:r>
        <w:rPr>
          <w:rFonts w:hint="eastAsia" w:ascii="仿宋" w:hAnsi="仿宋" w:cs="宋体"/>
          <w:color w:val="000000"/>
          <w:szCs w:val="24"/>
          <w:highlight w:val="none"/>
        </w:rPr>
        <w:t>一、</w:t>
      </w:r>
      <w:bookmarkEnd w:id="7"/>
      <w:bookmarkEnd w:id="8"/>
      <w:bookmarkEnd w:id="9"/>
      <w:r>
        <w:rPr>
          <w:rFonts w:hint="eastAsia" w:ascii="仿宋" w:hAnsi="仿宋" w:cs="宋体"/>
          <w:color w:val="000000"/>
          <w:szCs w:val="24"/>
          <w:highlight w:val="none"/>
        </w:rPr>
        <w:t>招标条件</w:t>
      </w:r>
      <w:bookmarkEnd w:id="10"/>
      <w:bookmarkEnd w:id="11"/>
      <w:bookmarkEnd w:id="12"/>
      <w:bookmarkEnd w:id="13"/>
    </w:p>
    <w:p>
      <w:pPr>
        <w:wordWrap w:val="0"/>
        <w:spacing w:line="360" w:lineRule="auto"/>
        <w:ind w:firstLine="480" w:firstLineChars="200"/>
        <w:textAlignment w:val="baseline"/>
        <w:rPr>
          <w:rFonts w:hint="eastAsia" w:ascii="仿宋" w:hAnsi="仿宋" w:eastAsia="仿宋" w:cs="宋体"/>
          <w:color w:val="000000"/>
          <w:sz w:val="24"/>
          <w:szCs w:val="24"/>
          <w:highlight w:val="none"/>
        </w:rPr>
      </w:pPr>
      <w:r>
        <w:rPr>
          <w:rFonts w:hint="eastAsia" w:ascii="仿宋" w:hAnsi="仿宋" w:eastAsia="仿宋" w:cs="宋体"/>
          <w:color w:val="auto"/>
          <w:sz w:val="24"/>
          <w:szCs w:val="24"/>
          <w:highlight w:val="none"/>
        </w:rPr>
        <w:t>本招标项目</w:t>
      </w:r>
      <w:r>
        <w:rPr>
          <w:rFonts w:hint="eastAsia" w:ascii="仿宋" w:hAnsi="仿宋" w:eastAsia="仿宋" w:cs="宋体"/>
          <w:color w:val="auto"/>
          <w:sz w:val="24"/>
          <w:szCs w:val="24"/>
          <w:highlight w:val="none"/>
          <w:u w:val="single"/>
          <w:lang w:eastAsia="zh-CN"/>
        </w:rPr>
        <w:t>中国人民财产保险股份有限公司连云港市分公司2025年-2028年律师库入围服务项目</w:t>
      </w:r>
      <w:r>
        <w:rPr>
          <w:rFonts w:hint="eastAsia" w:ascii="仿宋" w:hAnsi="仿宋" w:eastAsia="仿宋" w:cs="宋体"/>
          <w:color w:val="auto"/>
          <w:sz w:val="24"/>
          <w:szCs w:val="24"/>
          <w:highlight w:val="none"/>
        </w:rPr>
        <w:t>（</w:t>
      </w:r>
      <w:r>
        <w:rPr>
          <w:rFonts w:hint="eastAsia" w:ascii="仿宋" w:hAnsi="仿宋" w:eastAsia="仿宋" w:cs="宋体"/>
          <w:color w:val="auto"/>
          <w:sz w:val="24"/>
          <w:highlight w:val="none"/>
        </w:rPr>
        <w:t>招标代理</w:t>
      </w:r>
      <w:r>
        <w:rPr>
          <w:rFonts w:hint="eastAsia" w:ascii="仿宋" w:hAnsi="仿宋" w:eastAsia="仿宋" w:cs="宋体"/>
          <w:color w:val="auto"/>
          <w:sz w:val="24"/>
          <w:szCs w:val="24"/>
          <w:highlight w:val="none"/>
        </w:rPr>
        <w:t>项目编号：</w:t>
      </w:r>
      <w:r>
        <w:rPr>
          <w:rFonts w:hint="eastAsia" w:ascii="仿宋" w:hAnsi="仿宋" w:eastAsia="仿宋" w:cs="宋体"/>
          <w:color w:val="auto"/>
          <w:sz w:val="24"/>
          <w:szCs w:val="24"/>
          <w:highlight w:val="none"/>
          <w:lang w:eastAsia="zh-CN"/>
        </w:rPr>
        <w:t>DL066025R2ZC01215</w:t>
      </w:r>
      <w:r>
        <w:rPr>
          <w:rFonts w:hint="eastAsia" w:ascii="仿宋" w:hAnsi="仿宋" w:eastAsia="仿宋" w:cs="宋体"/>
          <w:color w:val="auto"/>
          <w:sz w:val="24"/>
          <w:szCs w:val="24"/>
          <w:highlight w:val="none"/>
        </w:rPr>
        <w:t>）</w:t>
      </w:r>
      <w:bookmarkStart w:id="14" w:name="_Hlk69906010"/>
      <w:r>
        <w:rPr>
          <w:rFonts w:hint="eastAsia" w:ascii="仿宋" w:hAnsi="仿宋" w:eastAsia="仿宋" w:cs="宋体"/>
          <w:color w:val="auto"/>
          <w:sz w:val="24"/>
          <w:szCs w:val="24"/>
          <w:highlight w:val="none"/>
        </w:rPr>
        <w:t>由</w:t>
      </w:r>
      <w:r>
        <w:rPr>
          <w:rFonts w:hint="eastAsia" w:ascii="仿宋" w:hAnsi="仿宋" w:eastAsia="仿宋" w:cs="宋体"/>
          <w:color w:val="auto"/>
          <w:sz w:val="24"/>
          <w:szCs w:val="24"/>
          <w:highlight w:val="none"/>
          <w:u w:val="single"/>
          <w:lang w:eastAsia="zh-CN"/>
        </w:rPr>
        <w:t>中国人民财产保险股份有限公司连云港市分公司</w:t>
      </w:r>
      <w:r>
        <w:rPr>
          <w:rFonts w:hint="eastAsia" w:ascii="仿宋" w:hAnsi="仿宋" w:eastAsia="仿宋" w:cs="宋体"/>
          <w:color w:val="000000"/>
          <w:sz w:val="24"/>
          <w:szCs w:val="24"/>
          <w:highlight w:val="none"/>
        </w:rPr>
        <w:t>（以下简称“招标人”）</w:t>
      </w:r>
      <w:r>
        <w:rPr>
          <w:rFonts w:hint="eastAsia" w:ascii="仿宋" w:hAnsi="仿宋" w:eastAsia="仿宋" w:cs="仿宋"/>
          <w:color w:val="000000"/>
          <w:sz w:val="24"/>
          <w:szCs w:val="24"/>
          <w:highlight w:val="none"/>
        </w:rPr>
        <w:t>批准并落实资金，</w:t>
      </w:r>
      <w:r>
        <w:rPr>
          <w:rFonts w:hint="eastAsia" w:ascii="仿宋" w:hAnsi="仿宋" w:eastAsia="仿宋" w:cs="宋体"/>
          <w:color w:val="000000"/>
          <w:sz w:val="24"/>
          <w:szCs w:val="24"/>
          <w:highlight w:val="none"/>
        </w:rPr>
        <w:t>组织本项目的相关招标工作，采</w:t>
      </w:r>
      <w:r>
        <w:rPr>
          <w:rFonts w:hint="eastAsia" w:ascii="仿宋" w:hAnsi="仿宋" w:eastAsia="仿宋" w:cs="宋体"/>
          <w:color w:val="auto"/>
          <w:sz w:val="24"/>
          <w:szCs w:val="24"/>
          <w:highlight w:val="none"/>
        </w:rPr>
        <w:t>购合同由</w:t>
      </w:r>
      <w:r>
        <w:rPr>
          <w:rFonts w:hint="eastAsia" w:ascii="仿宋" w:hAnsi="仿宋" w:eastAsia="仿宋" w:cs="宋体"/>
          <w:color w:val="auto"/>
          <w:sz w:val="24"/>
          <w:szCs w:val="24"/>
          <w:highlight w:val="none"/>
          <w:u w:val="single"/>
          <w:lang w:eastAsia="zh-CN"/>
        </w:rPr>
        <w:t>中国人民财产保险股份有限公司连云港市分公司</w:t>
      </w:r>
      <w:r>
        <w:rPr>
          <w:rFonts w:hint="eastAsia" w:ascii="仿宋" w:hAnsi="仿宋" w:eastAsia="仿宋" w:cs="宋体"/>
          <w:color w:val="auto"/>
          <w:sz w:val="24"/>
          <w:szCs w:val="24"/>
          <w:highlight w:val="none"/>
        </w:rPr>
        <w:t>（以下简称“</w:t>
      </w:r>
      <w:r>
        <w:rPr>
          <w:rFonts w:hint="eastAsia" w:ascii="仿宋" w:hAnsi="仿宋" w:eastAsia="仿宋" w:cs="宋体"/>
          <w:color w:val="auto"/>
          <w:sz w:val="24"/>
          <w:szCs w:val="24"/>
          <w:highlight w:val="none"/>
          <w:lang w:eastAsia="zh-CN"/>
        </w:rPr>
        <w:t>人保财险宿迁市分公司</w:t>
      </w:r>
      <w:r>
        <w:rPr>
          <w:rFonts w:hint="eastAsia" w:ascii="仿宋" w:hAnsi="仿宋" w:eastAsia="仿宋" w:cs="宋体"/>
          <w:color w:val="auto"/>
          <w:sz w:val="24"/>
          <w:szCs w:val="24"/>
          <w:highlight w:val="none"/>
        </w:rPr>
        <w:t>”）</w:t>
      </w:r>
      <w:r>
        <w:rPr>
          <w:rFonts w:hint="eastAsia" w:ascii="仿宋" w:hAnsi="仿宋" w:eastAsia="仿宋" w:cs="宋体"/>
          <w:color w:val="000000"/>
          <w:sz w:val="24"/>
          <w:szCs w:val="24"/>
          <w:highlight w:val="none"/>
        </w:rPr>
        <w:t>根据中标结果与中标人签署。</w:t>
      </w:r>
      <w:bookmarkEnd w:id="14"/>
      <w:r>
        <w:rPr>
          <w:rFonts w:hint="eastAsia" w:ascii="仿宋" w:hAnsi="仿宋" w:eastAsia="仿宋" w:cs="宋体"/>
          <w:color w:val="000000"/>
          <w:sz w:val="24"/>
          <w:szCs w:val="24"/>
          <w:highlight w:val="none"/>
        </w:rPr>
        <w:t>现委</w:t>
      </w:r>
      <w:r>
        <w:rPr>
          <w:rFonts w:hint="eastAsia" w:ascii="仿宋" w:hAnsi="仿宋" w:eastAsia="仿宋" w:cs="宋体"/>
          <w:color w:val="auto"/>
          <w:sz w:val="24"/>
          <w:szCs w:val="24"/>
          <w:highlight w:val="none"/>
        </w:rPr>
        <w:t>托</w:t>
      </w:r>
      <w:r>
        <w:rPr>
          <w:rFonts w:hint="eastAsia" w:ascii="仿宋" w:hAnsi="仿宋" w:eastAsia="仿宋" w:cs="宋体"/>
          <w:color w:val="auto"/>
          <w:sz w:val="24"/>
          <w:szCs w:val="24"/>
          <w:highlight w:val="none"/>
          <w:u w:val="single"/>
        </w:rPr>
        <w:t>江苏省设备成套股份有限公司</w:t>
      </w:r>
      <w:r>
        <w:rPr>
          <w:rFonts w:hint="eastAsia" w:ascii="仿宋" w:hAnsi="仿宋" w:eastAsia="仿宋" w:cs="宋体"/>
          <w:color w:val="000000"/>
          <w:sz w:val="24"/>
          <w:szCs w:val="24"/>
          <w:highlight w:val="none"/>
        </w:rPr>
        <w:t>（以下简称“招标代理机构”）进行公开招标，有意向且具有提供标的物能力的潜在投标人（以下简称“投标人”）可前来投标。</w:t>
      </w:r>
    </w:p>
    <w:p>
      <w:pPr>
        <w:pStyle w:val="3"/>
        <w:rPr>
          <w:rFonts w:hint="eastAsia" w:ascii="仿宋" w:hAnsi="仿宋" w:cs="宋体"/>
          <w:color w:val="000000"/>
          <w:szCs w:val="24"/>
          <w:highlight w:val="none"/>
        </w:rPr>
      </w:pPr>
      <w:bookmarkStart w:id="15" w:name="_Toc18478"/>
      <w:bookmarkStart w:id="16" w:name="_Toc65682914"/>
      <w:bookmarkStart w:id="17" w:name="_Toc30531"/>
      <w:bookmarkStart w:id="18" w:name="_Toc109124224"/>
      <w:r>
        <w:rPr>
          <w:rFonts w:hint="eastAsia" w:ascii="仿宋" w:hAnsi="仿宋" w:cs="宋体"/>
          <w:color w:val="000000"/>
          <w:szCs w:val="24"/>
          <w:highlight w:val="none"/>
        </w:rPr>
        <w:t>二、项目概况与招标范围</w:t>
      </w:r>
      <w:bookmarkEnd w:id="15"/>
      <w:bookmarkEnd w:id="16"/>
      <w:bookmarkEnd w:id="17"/>
      <w:bookmarkEnd w:id="18"/>
    </w:p>
    <w:p>
      <w:pPr>
        <w:spacing w:line="360" w:lineRule="auto"/>
        <w:ind w:firstLine="480" w:firstLineChars="200"/>
        <w:textAlignment w:val="baseline"/>
        <w:rPr>
          <w:rFonts w:hint="eastAsia" w:ascii="仿宋" w:hAnsi="仿宋" w:eastAsia="仿宋" w:cs="宋体"/>
          <w:color w:val="000000"/>
          <w:sz w:val="24"/>
          <w:szCs w:val="24"/>
          <w:highlight w:val="none"/>
        </w:rPr>
      </w:pPr>
      <w:bookmarkStart w:id="19" w:name="_Toc109124225"/>
      <w:bookmarkStart w:id="20" w:name="_Toc17299"/>
      <w:bookmarkStart w:id="21" w:name="_Toc6528"/>
      <w:bookmarkStart w:id="22" w:name="_Toc65682915"/>
      <w:r>
        <w:rPr>
          <w:rFonts w:hint="eastAsia" w:ascii="仿宋" w:hAnsi="仿宋" w:eastAsia="仿宋" w:cs="宋体"/>
          <w:color w:val="000000"/>
          <w:sz w:val="24"/>
          <w:szCs w:val="24"/>
          <w:highlight w:val="none"/>
        </w:rPr>
        <w:t>2.1项目名称：</w:t>
      </w:r>
      <w:r>
        <w:rPr>
          <w:rFonts w:hint="eastAsia" w:ascii="仿宋" w:hAnsi="仿宋" w:eastAsia="仿宋" w:cs="宋体"/>
          <w:color w:val="000000"/>
          <w:sz w:val="24"/>
          <w:szCs w:val="24"/>
          <w:highlight w:val="none"/>
          <w:lang w:eastAsia="zh-CN"/>
        </w:rPr>
        <w:t>中国人民财产保险股份有限公司连云港市分公司2025年-2028年律师库入围服务项目</w:t>
      </w:r>
      <w:r>
        <w:rPr>
          <w:rFonts w:hint="eastAsia" w:ascii="仿宋" w:hAnsi="仿宋" w:eastAsia="仿宋" w:cs="宋体"/>
          <w:color w:val="000000"/>
          <w:sz w:val="24"/>
          <w:szCs w:val="24"/>
          <w:highlight w:val="none"/>
        </w:rPr>
        <w:t>。</w:t>
      </w:r>
      <w:bookmarkStart w:id="44" w:name="_GoBack"/>
      <w:bookmarkEnd w:id="44"/>
    </w:p>
    <w:p>
      <w:pPr>
        <w:spacing w:line="360" w:lineRule="auto"/>
        <w:ind w:firstLine="480" w:firstLineChars="200"/>
        <w:textAlignment w:val="baseline"/>
        <w:rPr>
          <w:rFonts w:hint="eastAsia" w:ascii="仿宋" w:hAnsi="仿宋" w:eastAsia="仿宋" w:cs="宋体"/>
          <w:color w:val="000000"/>
          <w:sz w:val="24"/>
          <w:szCs w:val="24"/>
          <w:highlight w:val="none"/>
        </w:rPr>
      </w:pPr>
      <w:r>
        <w:rPr>
          <w:rFonts w:hint="eastAsia" w:ascii="仿宋" w:hAnsi="仿宋" w:eastAsia="仿宋" w:cs="宋体"/>
          <w:color w:val="000000"/>
          <w:sz w:val="24"/>
          <w:szCs w:val="24"/>
          <w:highlight w:val="none"/>
        </w:rPr>
        <w:t>2.2招标范围：本项目拟通过公开招标的方式组建诉讼律师库，为招标人供法律咨询、民商事诉讼项目或招标人委托开展的其他法律项目。具体内容及要求见招标文件第五章技术规范书。</w:t>
      </w:r>
    </w:p>
    <w:p>
      <w:pPr>
        <w:spacing w:line="360" w:lineRule="auto"/>
        <w:ind w:firstLine="480" w:firstLineChars="200"/>
        <w:textAlignment w:val="baseline"/>
        <w:rPr>
          <w:rFonts w:hint="eastAsia" w:ascii="仿宋" w:hAnsi="仿宋" w:eastAsia="仿宋" w:cs="宋体"/>
          <w:color w:val="000000"/>
          <w:sz w:val="24"/>
          <w:szCs w:val="24"/>
          <w:highlight w:val="none"/>
        </w:rPr>
      </w:pPr>
      <w:r>
        <w:rPr>
          <w:rFonts w:hint="eastAsia" w:ascii="仿宋" w:hAnsi="仿宋" w:eastAsia="仿宋" w:cs="宋体"/>
          <w:color w:val="000000"/>
          <w:sz w:val="24"/>
          <w:szCs w:val="24"/>
          <w:highlight w:val="none"/>
        </w:rPr>
        <w:t>2.3项目性质：服务。</w:t>
      </w:r>
    </w:p>
    <w:p>
      <w:pPr>
        <w:spacing w:line="360" w:lineRule="auto"/>
        <w:ind w:firstLine="480" w:firstLineChars="200"/>
        <w:textAlignment w:val="baseline"/>
        <w:rPr>
          <w:rFonts w:hint="eastAsia" w:ascii="仿宋" w:hAnsi="仿宋" w:eastAsia="仿宋" w:cs="宋体"/>
          <w:color w:val="000000"/>
          <w:sz w:val="24"/>
          <w:szCs w:val="24"/>
          <w:highlight w:val="none"/>
        </w:rPr>
      </w:pPr>
      <w:r>
        <w:rPr>
          <w:rFonts w:hint="eastAsia" w:ascii="仿宋" w:hAnsi="仿宋" w:eastAsia="仿宋" w:cs="宋体"/>
          <w:color w:val="000000"/>
          <w:sz w:val="24"/>
          <w:szCs w:val="24"/>
          <w:highlight w:val="none"/>
        </w:rPr>
        <w:t>2.4标包划分：本项目划分</w:t>
      </w:r>
      <w:r>
        <w:rPr>
          <w:rFonts w:hint="eastAsia" w:ascii="仿宋" w:hAnsi="仿宋" w:eastAsia="仿宋" w:cs="宋体"/>
          <w:color w:val="000000"/>
          <w:sz w:val="24"/>
          <w:szCs w:val="24"/>
          <w:highlight w:val="none"/>
          <w:lang w:val="en-US" w:eastAsia="zh-CN"/>
        </w:rPr>
        <w:t>1个</w:t>
      </w:r>
      <w:r>
        <w:rPr>
          <w:rFonts w:hint="eastAsia" w:ascii="仿宋" w:hAnsi="仿宋" w:eastAsia="仿宋" w:cs="宋体"/>
          <w:color w:val="000000"/>
          <w:sz w:val="24"/>
          <w:szCs w:val="24"/>
          <w:highlight w:val="none"/>
        </w:rPr>
        <w:t>标包</w:t>
      </w:r>
      <w:r>
        <w:rPr>
          <w:rFonts w:hint="eastAsia" w:ascii="仿宋" w:hAnsi="仿宋" w:eastAsia="仿宋" w:cs="宋体"/>
          <w:color w:val="000000"/>
          <w:sz w:val="24"/>
          <w:szCs w:val="24"/>
          <w:highlight w:val="none"/>
          <w:lang w:eastAsia="zh-CN"/>
        </w:rPr>
        <w:t>，</w:t>
      </w:r>
      <w:r>
        <w:rPr>
          <w:rFonts w:hint="eastAsia" w:ascii="仿宋" w:hAnsi="仿宋" w:eastAsia="仿宋" w:cs="宋体"/>
          <w:color w:val="000000"/>
          <w:sz w:val="24"/>
          <w:szCs w:val="24"/>
          <w:highlight w:val="none"/>
          <w:lang w:val="en-US" w:eastAsia="zh-CN"/>
        </w:rPr>
        <w:t>拟成交10家律师事务所形成律师服务库（</w:t>
      </w:r>
      <w:r>
        <w:rPr>
          <w:rFonts w:hint="eastAsia" w:ascii="仿宋" w:hAnsi="仿宋" w:eastAsia="仿宋" w:cs="宋体"/>
          <w:color w:val="000000"/>
          <w:sz w:val="24"/>
          <w:szCs w:val="24"/>
          <w:highlight w:val="none"/>
          <w:lang w:eastAsia="zh-CN"/>
        </w:rPr>
        <w:t>有效供应商数量少于</w:t>
      </w:r>
      <w:r>
        <w:rPr>
          <w:rFonts w:hint="eastAsia" w:ascii="仿宋" w:hAnsi="仿宋" w:eastAsia="仿宋" w:cs="宋体"/>
          <w:color w:val="000000"/>
          <w:sz w:val="24"/>
          <w:szCs w:val="24"/>
          <w:highlight w:val="none"/>
          <w:lang w:val="en-US" w:eastAsia="zh-CN"/>
        </w:rPr>
        <w:t>15</w:t>
      </w:r>
      <w:r>
        <w:rPr>
          <w:rFonts w:hint="eastAsia" w:ascii="仿宋" w:hAnsi="仿宋" w:eastAsia="仿宋" w:cs="宋体"/>
          <w:color w:val="000000"/>
          <w:sz w:val="24"/>
          <w:szCs w:val="24"/>
          <w:highlight w:val="none"/>
          <w:lang w:eastAsia="zh-CN"/>
        </w:rPr>
        <w:t>家，</w:t>
      </w:r>
      <w:r>
        <w:rPr>
          <w:rFonts w:hint="eastAsia" w:ascii="仿宋" w:hAnsi="仿宋" w:eastAsia="仿宋" w:cs="宋体"/>
          <w:color w:val="000000"/>
          <w:sz w:val="24"/>
          <w:szCs w:val="24"/>
          <w:highlight w:val="none"/>
          <w:lang w:val="en-US" w:eastAsia="zh-CN"/>
        </w:rPr>
        <w:t>该标包</w:t>
      </w:r>
      <w:r>
        <w:rPr>
          <w:rFonts w:hint="eastAsia" w:ascii="仿宋" w:hAnsi="仿宋" w:eastAsia="仿宋" w:cs="宋体"/>
          <w:color w:val="000000"/>
          <w:sz w:val="24"/>
          <w:szCs w:val="24"/>
          <w:highlight w:val="none"/>
          <w:lang w:eastAsia="zh-CN"/>
        </w:rPr>
        <w:t>将重新组织招标）</w:t>
      </w:r>
      <w:r>
        <w:rPr>
          <w:rFonts w:hint="eastAsia" w:ascii="仿宋" w:hAnsi="仿宋" w:eastAsia="仿宋" w:cs="宋体"/>
          <w:color w:val="000000"/>
          <w:sz w:val="24"/>
          <w:szCs w:val="24"/>
          <w:highlight w:val="none"/>
          <w:lang w:val="en-US" w:eastAsia="zh-CN"/>
        </w:rPr>
        <w:t>。</w:t>
      </w:r>
    </w:p>
    <w:p>
      <w:pPr>
        <w:spacing w:line="360" w:lineRule="auto"/>
        <w:ind w:firstLine="480" w:firstLineChars="200"/>
        <w:textAlignment w:val="baseline"/>
        <w:rPr>
          <w:rFonts w:hint="eastAsia" w:ascii="仿宋" w:hAnsi="仿宋" w:eastAsia="仿宋" w:cs="宋体"/>
          <w:color w:val="000000"/>
          <w:sz w:val="24"/>
          <w:szCs w:val="24"/>
          <w:highlight w:val="none"/>
        </w:rPr>
      </w:pPr>
      <w:r>
        <w:rPr>
          <w:rFonts w:hint="eastAsia" w:ascii="仿宋" w:hAnsi="仿宋" w:eastAsia="仿宋" w:cs="宋体"/>
          <w:color w:val="000000"/>
          <w:sz w:val="24"/>
          <w:szCs w:val="24"/>
          <w:highlight w:val="none"/>
        </w:rPr>
        <w:t>2.5服务期限：自服务合同签订之日起三年。合作期限内（包括续签期间）中标人不得以任何理由要求调价。具体代理事宜可由招标人及其内部各部门、中心及下属分支机构委派。</w:t>
      </w:r>
    </w:p>
    <w:p>
      <w:pPr>
        <w:spacing w:line="360" w:lineRule="auto"/>
        <w:ind w:firstLine="480" w:firstLineChars="200"/>
        <w:textAlignment w:val="baseline"/>
        <w:rPr>
          <w:rFonts w:hint="eastAsia" w:ascii="仿宋" w:hAnsi="仿宋" w:eastAsia="仿宋" w:cs="宋体"/>
          <w:color w:val="000000"/>
          <w:sz w:val="24"/>
          <w:szCs w:val="24"/>
          <w:highlight w:val="none"/>
        </w:rPr>
      </w:pPr>
      <w:r>
        <w:rPr>
          <w:rFonts w:hint="eastAsia" w:ascii="仿宋" w:hAnsi="仿宋" w:eastAsia="仿宋" w:cs="宋体"/>
          <w:color w:val="000000"/>
          <w:sz w:val="24"/>
          <w:szCs w:val="24"/>
          <w:highlight w:val="none"/>
        </w:rPr>
        <w:t>2.6服务地点：招标人指定地点。</w:t>
      </w:r>
    </w:p>
    <w:p>
      <w:pPr>
        <w:spacing w:line="360" w:lineRule="auto"/>
        <w:ind w:firstLine="480" w:firstLineChars="200"/>
        <w:textAlignment w:val="baseline"/>
        <w:rPr>
          <w:rFonts w:hint="eastAsia" w:ascii="仿宋" w:hAnsi="仿宋" w:eastAsia="仿宋" w:cs="宋体"/>
          <w:color w:val="000000"/>
          <w:sz w:val="24"/>
          <w:szCs w:val="24"/>
          <w:highlight w:val="none"/>
          <w:lang w:val="en-US" w:eastAsia="zh-CN"/>
        </w:rPr>
      </w:pPr>
      <w:r>
        <w:rPr>
          <w:rFonts w:hint="eastAsia" w:ascii="仿宋" w:hAnsi="仿宋" w:eastAsia="仿宋" w:cs="宋体"/>
          <w:color w:val="000000"/>
          <w:sz w:val="24"/>
          <w:szCs w:val="24"/>
          <w:highlight w:val="none"/>
        </w:rPr>
        <w:t>2.7</w:t>
      </w:r>
      <w:r>
        <w:rPr>
          <w:rFonts w:hint="eastAsia" w:ascii="仿宋" w:hAnsi="仿宋" w:eastAsia="仿宋" w:cs="宋体"/>
          <w:color w:val="000000"/>
          <w:sz w:val="24"/>
          <w:szCs w:val="24"/>
          <w:highlight w:val="none"/>
          <w:lang w:val="en-US" w:eastAsia="zh-CN"/>
        </w:rPr>
        <w:t>项目预算及限价：</w:t>
      </w:r>
    </w:p>
    <w:tbl>
      <w:tblPr>
        <w:tblStyle w:val="11"/>
        <w:tblW w:w="498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8"/>
        <w:gridCol w:w="2157"/>
        <w:gridCol w:w="933"/>
        <w:gridCol w:w="45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9" w:type="pct"/>
            <w:vAlign w:val="center"/>
          </w:tcPr>
          <w:p>
            <w:pPr>
              <w:spacing w:line="360" w:lineRule="auto"/>
              <w:jc w:val="center"/>
              <w:textAlignment w:val="baseline"/>
              <w:rPr>
                <w:rFonts w:hint="default" w:ascii="仿宋" w:hAnsi="仿宋" w:eastAsia="仿宋" w:cs="宋体"/>
                <w:color w:val="000000"/>
                <w:sz w:val="21"/>
                <w:szCs w:val="21"/>
                <w:highlight w:val="none"/>
                <w:lang w:val="en-US" w:eastAsia="zh-CN"/>
              </w:rPr>
            </w:pPr>
            <w:r>
              <w:rPr>
                <w:rFonts w:hint="eastAsia" w:ascii="仿宋" w:hAnsi="仿宋" w:eastAsia="仿宋" w:cs="宋体"/>
                <w:color w:val="000000"/>
                <w:sz w:val="21"/>
                <w:szCs w:val="21"/>
                <w:highlight w:val="none"/>
                <w:lang w:val="en-US" w:eastAsia="zh-CN"/>
              </w:rPr>
              <w:t>标包号</w:t>
            </w:r>
          </w:p>
        </w:tc>
        <w:tc>
          <w:tcPr>
            <w:tcW w:w="1270" w:type="pct"/>
            <w:vAlign w:val="center"/>
          </w:tcPr>
          <w:p>
            <w:pPr>
              <w:spacing w:line="360" w:lineRule="auto"/>
              <w:jc w:val="center"/>
              <w:textAlignment w:val="baseline"/>
              <w:rPr>
                <w:rFonts w:hint="default" w:ascii="仿宋" w:hAnsi="仿宋" w:eastAsia="仿宋" w:cs="宋体"/>
                <w:color w:val="000000"/>
                <w:sz w:val="21"/>
                <w:szCs w:val="21"/>
                <w:highlight w:val="none"/>
                <w:lang w:val="en-US" w:eastAsia="zh-CN"/>
              </w:rPr>
            </w:pPr>
            <w:r>
              <w:rPr>
                <w:rFonts w:hint="eastAsia" w:ascii="仿宋" w:hAnsi="仿宋" w:eastAsia="仿宋" w:cs="宋体"/>
                <w:color w:val="000000"/>
                <w:sz w:val="21"/>
                <w:szCs w:val="21"/>
                <w:highlight w:val="none"/>
                <w:lang w:val="en-US" w:eastAsia="zh-CN"/>
              </w:rPr>
              <w:t>标包名称</w:t>
            </w:r>
          </w:p>
        </w:tc>
        <w:tc>
          <w:tcPr>
            <w:tcW w:w="549" w:type="pct"/>
            <w:vAlign w:val="center"/>
          </w:tcPr>
          <w:p>
            <w:pPr>
              <w:spacing w:line="360" w:lineRule="auto"/>
              <w:jc w:val="center"/>
              <w:textAlignment w:val="baseline"/>
              <w:rPr>
                <w:rFonts w:hint="default" w:ascii="仿宋" w:hAnsi="仿宋" w:eastAsia="仿宋" w:cs="宋体"/>
                <w:color w:val="000000"/>
                <w:sz w:val="21"/>
                <w:szCs w:val="21"/>
                <w:highlight w:val="none"/>
                <w:lang w:val="en-US" w:eastAsia="zh-CN"/>
              </w:rPr>
            </w:pPr>
            <w:r>
              <w:rPr>
                <w:rFonts w:hint="eastAsia" w:ascii="仿宋" w:hAnsi="仿宋" w:eastAsia="仿宋" w:cs="宋体"/>
                <w:color w:val="000000"/>
                <w:sz w:val="21"/>
                <w:szCs w:val="21"/>
                <w:highlight w:val="none"/>
                <w:lang w:val="en-US" w:eastAsia="zh-CN"/>
              </w:rPr>
              <w:t>标包预算</w:t>
            </w:r>
          </w:p>
        </w:tc>
        <w:tc>
          <w:tcPr>
            <w:tcW w:w="2680" w:type="pct"/>
            <w:vAlign w:val="center"/>
          </w:tcPr>
          <w:p>
            <w:pPr>
              <w:spacing w:line="360" w:lineRule="auto"/>
              <w:jc w:val="center"/>
              <w:textAlignment w:val="baseline"/>
              <w:rPr>
                <w:rFonts w:hint="default" w:ascii="仿宋" w:hAnsi="仿宋" w:eastAsia="仿宋" w:cs="宋体"/>
                <w:color w:val="000000"/>
                <w:sz w:val="21"/>
                <w:szCs w:val="21"/>
                <w:highlight w:val="none"/>
                <w:lang w:val="en-US" w:eastAsia="zh-CN"/>
              </w:rPr>
            </w:pPr>
            <w:r>
              <w:rPr>
                <w:rFonts w:hint="eastAsia" w:ascii="仿宋" w:hAnsi="仿宋" w:eastAsia="仿宋" w:cs="宋体"/>
                <w:color w:val="000000"/>
                <w:sz w:val="21"/>
                <w:szCs w:val="21"/>
                <w:highlight w:val="none"/>
                <w:lang w:val="en-US" w:eastAsia="zh-CN"/>
              </w:rPr>
              <w:t>最高限价（含税）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9" w:type="pct"/>
            <w:vMerge w:val="restart"/>
            <w:vAlign w:val="center"/>
          </w:tcPr>
          <w:p>
            <w:pPr>
              <w:spacing w:line="360" w:lineRule="auto"/>
              <w:jc w:val="center"/>
              <w:textAlignment w:val="baseline"/>
              <w:rPr>
                <w:rFonts w:hint="eastAsia" w:ascii="仿宋" w:hAnsi="仿宋" w:eastAsia="仿宋" w:cs="宋体"/>
                <w:color w:val="000000"/>
                <w:sz w:val="21"/>
                <w:szCs w:val="21"/>
                <w:highlight w:val="none"/>
                <w:lang w:val="en-US" w:eastAsia="zh-CN"/>
              </w:rPr>
            </w:pPr>
          </w:p>
          <w:p>
            <w:pPr>
              <w:spacing w:line="360" w:lineRule="auto"/>
              <w:jc w:val="center"/>
              <w:textAlignment w:val="baseline"/>
              <w:rPr>
                <w:rFonts w:hint="eastAsia" w:ascii="仿宋" w:hAnsi="仿宋" w:eastAsia="仿宋" w:cs="宋体"/>
                <w:color w:val="000000"/>
                <w:sz w:val="21"/>
                <w:szCs w:val="21"/>
                <w:highlight w:val="none"/>
                <w:lang w:val="en-US" w:eastAsia="zh-CN"/>
              </w:rPr>
            </w:pPr>
          </w:p>
          <w:p>
            <w:pPr>
              <w:spacing w:line="360" w:lineRule="auto"/>
              <w:jc w:val="center"/>
              <w:textAlignment w:val="baseline"/>
              <w:rPr>
                <w:rFonts w:hint="eastAsia" w:ascii="仿宋" w:hAnsi="仿宋" w:eastAsia="仿宋" w:cs="宋体"/>
                <w:color w:val="000000"/>
                <w:sz w:val="21"/>
                <w:szCs w:val="21"/>
                <w:highlight w:val="none"/>
                <w:lang w:val="en-US" w:eastAsia="zh-CN"/>
              </w:rPr>
            </w:pPr>
          </w:p>
          <w:p>
            <w:pPr>
              <w:spacing w:line="360" w:lineRule="auto"/>
              <w:jc w:val="center"/>
              <w:textAlignment w:val="baseline"/>
              <w:rPr>
                <w:rFonts w:hint="eastAsia" w:ascii="仿宋" w:hAnsi="仿宋" w:eastAsia="仿宋" w:cs="宋体"/>
                <w:color w:val="000000"/>
                <w:sz w:val="21"/>
                <w:szCs w:val="21"/>
                <w:highlight w:val="none"/>
                <w:lang w:val="en-US" w:eastAsia="zh-CN"/>
              </w:rPr>
            </w:pPr>
          </w:p>
          <w:p>
            <w:pPr>
              <w:spacing w:line="360" w:lineRule="auto"/>
              <w:jc w:val="center"/>
              <w:textAlignment w:val="baseline"/>
              <w:rPr>
                <w:rFonts w:hint="eastAsia" w:ascii="仿宋" w:hAnsi="仿宋" w:eastAsia="仿宋" w:cs="宋体"/>
                <w:color w:val="000000"/>
                <w:sz w:val="21"/>
                <w:szCs w:val="21"/>
                <w:highlight w:val="none"/>
                <w:lang w:val="en-US" w:eastAsia="zh-CN"/>
              </w:rPr>
            </w:pPr>
          </w:p>
          <w:p>
            <w:pPr>
              <w:spacing w:line="360" w:lineRule="auto"/>
              <w:jc w:val="center"/>
              <w:textAlignment w:val="baseline"/>
              <w:rPr>
                <w:rFonts w:hint="eastAsia" w:ascii="仿宋" w:hAnsi="仿宋" w:eastAsia="仿宋" w:cs="宋体"/>
                <w:color w:val="000000"/>
                <w:sz w:val="21"/>
                <w:szCs w:val="21"/>
                <w:highlight w:val="none"/>
                <w:lang w:val="en-US" w:eastAsia="zh-CN"/>
              </w:rPr>
            </w:pPr>
          </w:p>
          <w:p>
            <w:pPr>
              <w:spacing w:line="360" w:lineRule="auto"/>
              <w:jc w:val="center"/>
              <w:textAlignment w:val="baseline"/>
              <w:rPr>
                <w:rFonts w:hint="eastAsia" w:ascii="仿宋" w:hAnsi="仿宋" w:eastAsia="仿宋" w:cs="宋体"/>
                <w:color w:val="000000"/>
                <w:sz w:val="21"/>
                <w:szCs w:val="21"/>
                <w:highlight w:val="none"/>
                <w:lang w:val="en-US" w:eastAsia="zh-CN"/>
              </w:rPr>
            </w:pPr>
          </w:p>
          <w:p>
            <w:pPr>
              <w:spacing w:line="360" w:lineRule="auto"/>
              <w:jc w:val="center"/>
              <w:textAlignment w:val="baseline"/>
              <w:rPr>
                <w:rFonts w:hint="eastAsia" w:ascii="仿宋" w:hAnsi="仿宋" w:eastAsia="仿宋" w:cs="宋体"/>
                <w:color w:val="000000"/>
                <w:sz w:val="21"/>
                <w:szCs w:val="21"/>
                <w:highlight w:val="none"/>
                <w:lang w:val="en-US" w:eastAsia="zh-CN"/>
              </w:rPr>
            </w:pPr>
          </w:p>
          <w:p>
            <w:pPr>
              <w:spacing w:line="360" w:lineRule="auto"/>
              <w:jc w:val="center"/>
              <w:textAlignment w:val="baseline"/>
              <w:rPr>
                <w:rFonts w:hint="eastAsia" w:ascii="仿宋" w:hAnsi="仿宋" w:eastAsia="仿宋" w:cs="宋体"/>
                <w:color w:val="000000"/>
                <w:sz w:val="21"/>
                <w:szCs w:val="21"/>
                <w:highlight w:val="none"/>
                <w:lang w:val="en-US" w:eastAsia="zh-CN"/>
              </w:rPr>
            </w:pPr>
          </w:p>
          <w:p>
            <w:pPr>
              <w:spacing w:line="360" w:lineRule="auto"/>
              <w:jc w:val="center"/>
              <w:textAlignment w:val="baseline"/>
              <w:rPr>
                <w:rFonts w:hint="eastAsia" w:ascii="仿宋" w:hAnsi="仿宋" w:eastAsia="仿宋" w:cs="宋体"/>
                <w:color w:val="000000"/>
                <w:sz w:val="21"/>
                <w:szCs w:val="21"/>
                <w:highlight w:val="none"/>
                <w:lang w:val="en-US" w:eastAsia="zh-CN"/>
              </w:rPr>
            </w:pPr>
          </w:p>
          <w:p>
            <w:pPr>
              <w:spacing w:line="360" w:lineRule="auto"/>
              <w:jc w:val="center"/>
              <w:textAlignment w:val="baseline"/>
              <w:rPr>
                <w:rFonts w:hint="eastAsia" w:ascii="仿宋" w:hAnsi="仿宋" w:eastAsia="仿宋" w:cs="宋体"/>
                <w:color w:val="000000"/>
                <w:sz w:val="21"/>
                <w:szCs w:val="21"/>
                <w:highlight w:val="none"/>
                <w:lang w:val="en-US" w:eastAsia="zh-CN"/>
              </w:rPr>
            </w:pPr>
          </w:p>
          <w:p>
            <w:pPr>
              <w:spacing w:line="360" w:lineRule="auto"/>
              <w:jc w:val="center"/>
              <w:textAlignment w:val="baseline"/>
              <w:rPr>
                <w:rFonts w:hint="eastAsia" w:ascii="仿宋" w:hAnsi="仿宋" w:eastAsia="仿宋" w:cs="宋体"/>
                <w:color w:val="000000"/>
                <w:sz w:val="21"/>
                <w:szCs w:val="21"/>
                <w:highlight w:val="none"/>
                <w:lang w:val="en-US" w:eastAsia="zh-CN"/>
              </w:rPr>
            </w:pPr>
            <w:r>
              <w:rPr>
                <w:rFonts w:hint="eastAsia" w:ascii="仿宋" w:hAnsi="仿宋" w:eastAsia="仿宋" w:cs="宋体"/>
                <w:color w:val="000000"/>
                <w:sz w:val="21"/>
                <w:szCs w:val="21"/>
                <w:highlight w:val="none"/>
                <w:lang w:val="en-US" w:eastAsia="zh-CN"/>
              </w:rPr>
              <w:t>标包1</w:t>
            </w:r>
          </w:p>
        </w:tc>
        <w:tc>
          <w:tcPr>
            <w:tcW w:w="1270" w:type="pct"/>
            <w:vMerge w:val="restart"/>
            <w:vAlign w:val="center"/>
          </w:tcPr>
          <w:p>
            <w:pPr>
              <w:spacing w:line="360" w:lineRule="auto"/>
              <w:jc w:val="center"/>
              <w:textAlignment w:val="baseline"/>
              <w:rPr>
                <w:rFonts w:hint="eastAsia" w:ascii="仿宋" w:hAnsi="仿宋" w:eastAsia="仿宋" w:cs="宋体"/>
                <w:color w:val="000000"/>
                <w:sz w:val="21"/>
                <w:szCs w:val="21"/>
                <w:highlight w:val="none"/>
                <w:lang w:val="en-US" w:eastAsia="zh-CN"/>
              </w:rPr>
            </w:pPr>
          </w:p>
          <w:p>
            <w:pPr>
              <w:spacing w:line="360" w:lineRule="auto"/>
              <w:jc w:val="center"/>
              <w:textAlignment w:val="baseline"/>
              <w:rPr>
                <w:rFonts w:hint="eastAsia" w:ascii="仿宋" w:hAnsi="仿宋" w:eastAsia="仿宋" w:cs="宋体"/>
                <w:color w:val="000000"/>
                <w:sz w:val="21"/>
                <w:szCs w:val="21"/>
                <w:highlight w:val="none"/>
                <w:lang w:val="en-US" w:eastAsia="zh-CN"/>
              </w:rPr>
            </w:pPr>
          </w:p>
          <w:p>
            <w:pPr>
              <w:spacing w:line="360" w:lineRule="auto"/>
              <w:jc w:val="center"/>
              <w:textAlignment w:val="baseline"/>
              <w:rPr>
                <w:rFonts w:hint="eastAsia" w:ascii="仿宋" w:hAnsi="仿宋" w:eastAsia="仿宋" w:cs="宋体"/>
                <w:color w:val="000000"/>
                <w:sz w:val="21"/>
                <w:szCs w:val="21"/>
                <w:highlight w:val="none"/>
                <w:lang w:val="en-US" w:eastAsia="zh-CN"/>
              </w:rPr>
            </w:pPr>
          </w:p>
          <w:p>
            <w:pPr>
              <w:spacing w:line="360" w:lineRule="auto"/>
              <w:jc w:val="center"/>
              <w:textAlignment w:val="baseline"/>
              <w:rPr>
                <w:rFonts w:hint="eastAsia" w:ascii="仿宋" w:hAnsi="仿宋" w:eastAsia="仿宋" w:cs="宋体"/>
                <w:color w:val="000000"/>
                <w:sz w:val="21"/>
                <w:szCs w:val="21"/>
                <w:highlight w:val="none"/>
                <w:lang w:val="en-US" w:eastAsia="zh-CN"/>
              </w:rPr>
            </w:pPr>
          </w:p>
          <w:p>
            <w:pPr>
              <w:spacing w:line="360" w:lineRule="auto"/>
              <w:jc w:val="center"/>
              <w:textAlignment w:val="baseline"/>
              <w:rPr>
                <w:rFonts w:hint="eastAsia" w:ascii="仿宋" w:hAnsi="仿宋" w:eastAsia="仿宋" w:cs="宋体"/>
                <w:color w:val="000000"/>
                <w:sz w:val="21"/>
                <w:szCs w:val="21"/>
                <w:highlight w:val="none"/>
                <w:lang w:val="en-US" w:eastAsia="zh-CN"/>
              </w:rPr>
            </w:pPr>
          </w:p>
          <w:p>
            <w:pPr>
              <w:spacing w:line="360" w:lineRule="auto"/>
              <w:jc w:val="center"/>
              <w:textAlignment w:val="baseline"/>
              <w:rPr>
                <w:rFonts w:hint="eastAsia" w:ascii="仿宋" w:hAnsi="仿宋" w:eastAsia="仿宋" w:cs="宋体"/>
                <w:color w:val="000000"/>
                <w:sz w:val="21"/>
                <w:szCs w:val="21"/>
                <w:highlight w:val="none"/>
                <w:lang w:val="en-US" w:eastAsia="zh-CN"/>
              </w:rPr>
            </w:pPr>
          </w:p>
          <w:p>
            <w:pPr>
              <w:spacing w:line="360" w:lineRule="auto"/>
              <w:jc w:val="center"/>
              <w:textAlignment w:val="baseline"/>
              <w:rPr>
                <w:rFonts w:hint="eastAsia" w:ascii="仿宋" w:hAnsi="仿宋" w:eastAsia="仿宋" w:cs="宋体"/>
                <w:color w:val="000000"/>
                <w:sz w:val="21"/>
                <w:szCs w:val="21"/>
                <w:highlight w:val="none"/>
                <w:lang w:val="en-US" w:eastAsia="zh-CN"/>
              </w:rPr>
            </w:pPr>
          </w:p>
          <w:p>
            <w:pPr>
              <w:spacing w:line="360" w:lineRule="auto"/>
              <w:jc w:val="center"/>
              <w:textAlignment w:val="baseline"/>
              <w:rPr>
                <w:rFonts w:hint="eastAsia" w:ascii="仿宋" w:hAnsi="仿宋" w:eastAsia="仿宋" w:cs="宋体"/>
                <w:color w:val="000000"/>
                <w:sz w:val="21"/>
                <w:szCs w:val="21"/>
                <w:highlight w:val="none"/>
                <w:lang w:val="en-US" w:eastAsia="zh-CN"/>
              </w:rPr>
            </w:pPr>
          </w:p>
          <w:p>
            <w:pPr>
              <w:spacing w:line="360" w:lineRule="auto"/>
              <w:jc w:val="center"/>
              <w:textAlignment w:val="baseline"/>
              <w:rPr>
                <w:rFonts w:hint="eastAsia" w:ascii="仿宋" w:hAnsi="仿宋" w:eastAsia="仿宋" w:cs="宋体"/>
                <w:color w:val="000000"/>
                <w:sz w:val="21"/>
                <w:szCs w:val="21"/>
                <w:highlight w:val="none"/>
                <w:lang w:val="en-US" w:eastAsia="zh-CN"/>
              </w:rPr>
            </w:pPr>
          </w:p>
          <w:p>
            <w:pPr>
              <w:spacing w:line="360" w:lineRule="auto"/>
              <w:jc w:val="center"/>
              <w:textAlignment w:val="baseline"/>
              <w:rPr>
                <w:rFonts w:hint="eastAsia" w:ascii="仿宋" w:hAnsi="仿宋" w:eastAsia="仿宋" w:cs="宋体"/>
                <w:color w:val="000000"/>
                <w:sz w:val="21"/>
                <w:szCs w:val="21"/>
                <w:highlight w:val="none"/>
                <w:lang w:val="en-US" w:eastAsia="zh-CN"/>
              </w:rPr>
            </w:pPr>
          </w:p>
          <w:p>
            <w:pPr>
              <w:spacing w:line="360" w:lineRule="auto"/>
              <w:jc w:val="center"/>
              <w:textAlignment w:val="baseline"/>
              <w:rPr>
                <w:rFonts w:hint="eastAsia" w:ascii="仿宋" w:hAnsi="仿宋" w:eastAsia="仿宋" w:cs="宋体"/>
                <w:color w:val="000000"/>
                <w:sz w:val="21"/>
                <w:szCs w:val="21"/>
                <w:highlight w:val="none"/>
                <w:lang w:val="en-US" w:eastAsia="zh-CN"/>
              </w:rPr>
            </w:pPr>
            <w:r>
              <w:rPr>
                <w:rFonts w:hint="eastAsia" w:ascii="仿宋" w:hAnsi="仿宋" w:eastAsia="仿宋" w:cs="宋体"/>
                <w:color w:val="000000"/>
                <w:sz w:val="21"/>
                <w:szCs w:val="21"/>
                <w:highlight w:val="none"/>
                <w:lang w:val="en-US" w:eastAsia="zh-CN"/>
              </w:rPr>
              <w:t>中国人民财产保险股份有限公司连云港市分公司2025年-2028年律师库入围服务项目</w:t>
            </w:r>
          </w:p>
        </w:tc>
        <w:tc>
          <w:tcPr>
            <w:tcW w:w="549" w:type="pct"/>
            <w:vMerge w:val="restart"/>
            <w:vAlign w:val="center"/>
          </w:tcPr>
          <w:p>
            <w:pPr>
              <w:spacing w:line="360" w:lineRule="auto"/>
              <w:jc w:val="center"/>
              <w:textAlignment w:val="baseline"/>
              <w:rPr>
                <w:rFonts w:hint="eastAsia" w:ascii="仿宋" w:hAnsi="仿宋" w:eastAsia="仿宋" w:cs="宋体"/>
                <w:color w:val="000000"/>
                <w:sz w:val="21"/>
                <w:szCs w:val="21"/>
                <w:highlight w:val="none"/>
                <w:lang w:val="en-US" w:eastAsia="zh-CN"/>
              </w:rPr>
            </w:pPr>
          </w:p>
          <w:p>
            <w:pPr>
              <w:spacing w:line="360" w:lineRule="auto"/>
              <w:jc w:val="center"/>
              <w:textAlignment w:val="baseline"/>
              <w:rPr>
                <w:rFonts w:hint="eastAsia" w:ascii="仿宋" w:hAnsi="仿宋" w:eastAsia="仿宋" w:cs="宋体"/>
                <w:color w:val="000000"/>
                <w:sz w:val="21"/>
                <w:szCs w:val="21"/>
                <w:highlight w:val="none"/>
                <w:lang w:val="en-US" w:eastAsia="zh-CN"/>
              </w:rPr>
            </w:pPr>
          </w:p>
          <w:p>
            <w:pPr>
              <w:spacing w:line="360" w:lineRule="auto"/>
              <w:jc w:val="center"/>
              <w:textAlignment w:val="baseline"/>
              <w:rPr>
                <w:rFonts w:hint="eastAsia" w:ascii="仿宋" w:hAnsi="仿宋" w:eastAsia="仿宋" w:cs="宋体"/>
                <w:color w:val="000000"/>
                <w:sz w:val="21"/>
                <w:szCs w:val="21"/>
                <w:highlight w:val="none"/>
                <w:lang w:val="en-US" w:eastAsia="zh-CN"/>
              </w:rPr>
            </w:pPr>
          </w:p>
          <w:p>
            <w:pPr>
              <w:spacing w:line="360" w:lineRule="auto"/>
              <w:jc w:val="center"/>
              <w:textAlignment w:val="baseline"/>
              <w:rPr>
                <w:rFonts w:hint="eastAsia" w:ascii="仿宋" w:hAnsi="仿宋" w:eastAsia="仿宋" w:cs="宋体"/>
                <w:color w:val="000000"/>
                <w:sz w:val="21"/>
                <w:szCs w:val="21"/>
                <w:highlight w:val="none"/>
                <w:lang w:val="en-US" w:eastAsia="zh-CN"/>
              </w:rPr>
            </w:pPr>
          </w:p>
          <w:p>
            <w:pPr>
              <w:spacing w:line="360" w:lineRule="auto"/>
              <w:jc w:val="center"/>
              <w:textAlignment w:val="baseline"/>
              <w:rPr>
                <w:rFonts w:hint="eastAsia" w:ascii="仿宋" w:hAnsi="仿宋" w:eastAsia="仿宋" w:cs="宋体"/>
                <w:color w:val="000000"/>
                <w:sz w:val="21"/>
                <w:szCs w:val="21"/>
                <w:highlight w:val="none"/>
                <w:lang w:val="en-US" w:eastAsia="zh-CN"/>
              </w:rPr>
            </w:pPr>
          </w:p>
          <w:p>
            <w:pPr>
              <w:spacing w:line="360" w:lineRule="auto"/>
              <w:jc w:val="center"/>
              <w:textAlignment w:val="baseline"/>
              <w:rPr>
                <w:rFonts w:hint="eastAsia" w:ascii="仿宋" w:hAnsi="仿宋" w:eastAsia="仿宋" w:cs="宋体"/>
                <w:color w:val="000000"/>
                <w:sz w:val="21"/>
                <w:szCs w:val="21"/>
                <w:highlight w:val="none"/>
                <w:lang w:val="en-US" w:eastAsia="zh-CN"/>
              </w:rPr>
            </w:pPr>
          </w:p>
          <w:p>
            <w:pPr>
              <w:spacing w:line="360" w:lineRule="auto"/>
              <w:jc w:val="center"/>
              <w:textAlignment w:val="baseline"/>
              <w:rPr>
                <w:rFonts w:hint="eastAsia" w:ascii="仿宋" w:hAnsi="仿宋" w:eastAsia="仿宋" w:cs="宋体"/>
                <w:color w:val="000000"/>
                <w:sz w:val="21"/>
                <w:szCs w:val="21"/>
                <w:highlight w:val="none"/>
                <w:lang w:val="en-US" w:eastAsia="zh-CN"/>
              </w:rPr>
            </w:pPr>
          </w:p>
          <w:p>
            <w:pPr>
              <w:spacing w:line="360" w:lineRule="auto"/>
              <w:jc w:val="center"/>
              <w:textAlignment w:val="baseline"/>
              <w:rPr>
                <w:rFonts w:hint="eastAsia" w:ascii="仿宋" w:hAnsi="仿宋" w:eastAsia="仿宋" w:cs="宋体"/>
                <w:color w:val="000000"/>
                <w:sz w:val="21"/>
                <w:szCs w:val="21"/>
                <w:highlight w:val="none"/>
                <w:lang w:val="en-US" w:eastAsia="zh-CN"/>
              </w:rPr>
            </w:pPr>
          </w:p>
          <w:p>
            <w:pPr>
              <w:spacing w:line="360" w:lineRule="auto"/>
              <w:jc w:val="center"/>
              <w:textAlignment w:val="baseline"/>
              <w:rPr>
                <w:rFonts w:hint="eastAsia" w:ascii="仿宋" w:hAnsi="仿宋" w:eastAsia="仿宋" w:cs="宋体"/>
                <w:color w:val="000000"/>
                <w:sz w:val="21"/>
                <w:szCs w:val="21"/>
                <w:highlight w:val="none"/>
                <w:lang w:val="en-US" w:eastAsia="zh-CN"/>
              </w:rPr>
            </w:pPr>
          </w:p>
          <w:p>
            <w:pPr>
              <w:spacing w:line="360" w:lineRule="auto"/>
              <w:jc w:val="center"/>
              <w:textAlignment w:val="baseline"/>
              <w:rPr>
                <w:rFonts w:hint="eastAsia" w:ascii="仿宋" w:hAnsi="仿宋" w:eastAsia="仿宋" w:cs="宋体"/>
                <w:color w:val="000000"/>
                <w:sz w:val="21"/>
                <w:szCs w:val="21"/>
                <w:highlight w:val="none"/>
                <w:lang w:val="en-US" w:eastAsia="zh-CN"/>
              </w:rPr>
            </w:pPr>
          </w:p>
          <w:p>
            <w:pPr>
              <w:spacing w:line="360" w:lineRule="auto"/>
              <w:jc w:val="center"/>
              <w:textAlignment w:val="baseline"/>
              <w:rPr>
                <w:rFonts w:hint="eastAsia" w:ascii="仿宋" w:hAnsi="仿宋" w:eastAsia="仿宋" w:cs="宋体"/>
                <w:color w:val="000000"/>
                <w:sz w:val="21"/>
                <w:szCs w:val="21"/>
                <w:highlight w:val="none"/>
                <w:lang w:val="en-US" w:eastAsia="zh-CN"/>
              </w:rPr>
            </w:pPr>
          </w:p>
          <w:p>
            <w:pPr>
              <w:spacing w:line="360" w:lineRule="auto"/>
              <w:jc w:val="center"/>
              <w:textAlignment w:val="baseline"/>
              <w:rPr>
                <w:rFonts w:hint="eastAsia" w:ascii="仿宋" w:hAnsi="仿宋" w:eastAsia="仿宋" w:cs="宋体"/>
                <w:color w:val="000000"/>
                <w:sz w:val="21"/>
                <w:szCs w:val="21"/>
                <w:highlight w:val="none"/>
                <w:lang w:val="en-US" w:eastAsia="zh-CN"/>
              </w:rPr>
            </w:pPr>
            <w:r>
              <w:rPr>
                <w:rFonts w:hint="eastAsia" w:ascii="仿宋" w:hAnsi="仿宋" w:eastAsia="仿宋" w:cs="宋体"/>
                <w:color w:val="000000"/>
                <w:sz w:val="21"/>
                <w:szCs w:val="21"/>
                <w:highlight w:val="none"/>
                <w:lang w:val="en-US" w:eastAsia="zh-CN"/>
              </w:rPr>
              <w:t>300万元</w:t>
            </w:r>
          </w:p>
        </w:tc>
        <w:tc>
          <w:tcPr>
            <w:tcW w:w="2680" w:type="pct"/>
            <w:vAlign w:val="center"/>
          </w:tcPr>
          <w:p>
            <w:pPr>
              <w:spacing w:line="360" w:lineRule="auto"/>
              <w:jc w:val="center"/>
              <w:textAlignment w:val="baseline"/>
              <w:rPr>
                <w:rFonts w:hint="eastAsia" w:ascii="仿宋" w:hAnsi="仿宋" w:eastAsia="仿宋" w:cs="宋体"/>
                <w:color w:val="000000"/>
                <w:sz w:val="21"/>
                <w:szCs w:val="21"/>
                <w:highlight w:val="none"/>
                <w:lang w:val="en-US" w:eastAsia="zh-CN"/>
              </w:rPr>
            </w:pPr>
            <w:r>
              <w:rPr>
                <w:rFonts w:hint="eastAsia" w:ascii="仿宋" w:hAnsi="仿宋" w:eastAsia="仿宋" w:cs="宋体"/>
                <w:b/>
                <w:bCs/>
                <w:color w:val="000000"/>
                <w:sz w:val="21"/>
                <w:szCs w:val="21"/>
                <w:highlight w:val="none"/>
                <w:lang w:val="en-US" w:eastAsia="zh-CN"/>
              </w:rPr>
              <w:t>固定收费</w:t>
            </w:r>
            <w:r>
              <w:rPr>
                <w:rFonts w:hint="eastAsia" w:ascii="仿宋" w:hAnsi="仿宋" w:eastAsia="仿宋" w:cs="宋体"/>
                <w:color w:val="000000"/>
                <w:sz w:val="21"/>
                <w:szCs w:val="21"/>
                <w:highlight w:val="none"/>
                <w:lang w:val="en-US" w:eastAsia="zh-CN"/>
              </w:rPr>
              <w:t>：在参照江苏省物价局和司法厅规定的政府指导价收费标准（计时收费除外）的85%以下确定单项法律事务的固定收费标准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9" w:type="pct"/>
            <w:vMerge w:val="continue"/>
            <w:vAlign w:val="center"/>
          </w:tcPr>
          <w:p>
            <w:pPr>
              <w:spacing w:line="360" w:lineRule="auto"/>
              <w:jc w:val="center"/>
              <w:textAlignment w:val="baseline"/>
              <w:rPr>
                <w:rFonts w:hint="eastAsia" w:ascii="仿宋" w:hAnsi="仿宋" w:eastAsia="仿宋" w:cs="宋体"/>
                <w:color w:val="000000"/>
                <w:sz w:val="21"/>
                <w:szCs w:val="21"/>
                <w:highlight w:val="none"/>
                <w:lang w:val="en-US" w:eastAsia="zh-CN"/>
              </w:rPr>
            </w:pPr>
          </w:p>
        </w:tc>
        <w:tc>
          <w:tcPr>
            <w:tcW w:w="1270" w:type="pct"/>
            <w:vMerge w:val="continue"/>
            <w:vAlign w:val="center"/>
          </w:tcPr>
          <w:p>
            <w:pPr>
              <w:spacing w:line="360" w:lineRule="auto"/>
              <w:jc w:val="center"/>
              <w:textAlignment w:val="baseline"/>
              <w:rPr>
                <w:rFonts w:hint="eastAsia" w:ascii="仿宋" w:hAnsi="仿宋" w:eastAsia="仿宋" w:cs="宋体"/>
                <w:color w:val="000000"/>
                <w:sz w:val="21"/>
                <w:szCs w:val="21"/>
                <w:highlight w:val="none"/>
                <w:lang w:val="en-US" w:eastAsia="zh-CN"/>
              </w:rPr>
            </w:pPr>
          </w:p>
        </w:tc>
        <w:tc>
          <w:tcPr>
            <w:tcW w:w="549" w:type="pct"/>
            <w:vMerge w:val="continue"/>
            <w:vAlign w:val="center"/>
          </w:tcPr>
          <w:p>
            <w:pPr>
              <w:spacing w:line="360" w:lineRule="auto"/>
              <w:jc w:val="center"/>
              <w:textAlignment w:val="baseline"/>
              <w:rPr>
                <w:rFonts w:hint="eastAsia" w:ascii="仿宋" w:hAnsi="仿宋" w:eastAsia="仿宋" w:cs="宋体"/>
                <w:color w:val="000000"/>
                <w:sz w:val="21"/>
                <w:szCs w:val="21"/>
                <w:highlight w:val="none"/>
                <w:lang w:val="en-US" w:eastAsia="zh-CN"/>
              </w:rPr>
            </w:pPr>
          </w:p>
        </w:tc>
        <w:tc>
          <w:tcPr>
            <w:tcW w:w="2680" w:type="pct"/>
            <w:vAlign w:val="center"/>
          </w:tcPr>
          <w:p>
            <w:pPr>
              <w:spacing w:line="360" w:lineRule="auto"/>
              <w:jc w:val="center"/>
              <w:textAlignment w:val="baseline"/>
              <w:rPr>
                <w:rFonts w:hint="eastAsia" w:ascii="仿宋" w:hAnsi="仿宋" w:eastAsia="仿宋" w:cs="宋体"/>
                <w:color w:val="000000"/>
                <w:sz w:val="21"/>
                <w:szCs w:val="21"/>
                <w:highlight w:val="none"/>
                <w:lang w:val="en-US" w:eastAsia="zh-CN"/>
              </w:rPr>
            </w:pPr>
            <w:r>
              <w:rPr>
                <w:rFonts w:hint="eastAsia" w:ascii="仿宋" w:hAnsi="仿宋" w:eastAsia="仿宋" w:cs="宋体"/>
                <w:b/>
                <w:bCs/>
                <w:color w:val="000000"/>
                <w:sz w:val="21"/>
                <w:szCs w:val="21"/>
                <w:highlight w:val="none"/>
                <w:lang w:val="en-US" w:eastAsia="zh-CN"/>
              </w:rPr>
              <w:t>基本代理费（含差旅费）</w:t>
            </w:r>
            <w:r>
              <w:rPr>
                <w:rFonts w:hint="eastAsia" w:ascii="仿宋" w:hAnsi="仿宋" w:eastAsia="仿宋" w:cs="宋体"/>
                <w:color w:val="000000"/>
                <w:sz w:val="21"/>
                <w:szCs w:val="21"/>
                <w:highlight w:val="none"/>
                <w:lang w:val="en-US" w:eastAsia="zh-CN"/>
              </w:rPr>
              <w:t>：由律师事务所所在市法院（含仲裁机构，下同）审理的案件，基本代理费不超过3000元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9" w:type="pct"/>
            <w:vMerge w:val="continue"/>
            <w:vAlign w:val="center"/>
          </w:tcPr>
          <w:p>
            <w:pPr>
              <w:spacing w:line="360" w:lineRule="auto"/>
              <w:jc w:val="center"/>
              <w:textAlignment w:val="baseline"/>
              <w:rPr>
                <w:rFonts w:hint="eastAsia" w:ascii="仿宋" w:hAnsi="仿宋" w:eastAsia="仿宋" w:cs="宋体"/>
                <w:color w:val="000000"/>
                <w:sz w:val="21"/>
                <w:szCs w:val="21"/>
                <w:highlight w:val="none"/>
                <w:lang w:val="en-US" w:eastAsia="zh-CN"/>
              </w:rPr>
            </w:pPr>
          </w:p>
        </w:tc>
        <w:tc>
          <w:tcPr>
            <w:tcW w:w="1270" w:type="pct"/>
            <w:vMerge w:val="continue"/>
            <w:vAlign w:val="center"/>
          </w:tcPr>
          <w:p>
            <w:pPr>
              <w:spacing w:line="360" w:lineRule="auto"/>
              <w:jc w:val="center"/>
              <w:textAlignment w:val="baseline"/>
              <w:rPr>
                <w:rFonts w:hint="eastAsia" w:ascii="仿宋" w:hAnsi="仿宋" w:eastAsia="仿宋" w:cs="宋体"/>
                <w:color w:val="000000"/>
                <w:sz w:val="21"/>
                <w:szCs w:val="21"/>
                <w:highlight w:val="none"/>
                <w:lang w:val="en-US" w:eastAsia="zh-CN"/>
              </w:rPr>
            </w:pPr>
          </w:p>
        </w:tc>
        <w:tc>
          <w:tcPr>
            <w:tcW w:w="549" w:type="pct"/>
            <w:vMerge w:val="continue"/>
            <w:vAlign w:val="center"/>
          </w:tcPr>
          <w:p>
            <w:pPr>
              <w:spacing w:line="360" w:lineRule="auto"/>
              <w:jc w:val="center"/>
              <w:textAlignment w:val="baseline"/>
              <w:rPr>
                <w:rFonts w:hint="eastAsia" w:ascii="仿宋" w:hAnsi="仿宋" w:eastAsia="仿宋" w:cs="宋体"/>
                <w:color w:val="000000"/>
                <w:sz w:val="21"/>
                <w:szCs w:val="21"/>
                <w:highlight w:val="none"/>
                <w:lang w:val="en-US" w:eastAsia="zh-CN"/>
              </w:rPr>
            </w:pPr>
          </w:p>
        </w:tc>
        <w:tc>
          <w:tcPr>
            <w:tcW w:w="2680" w:type="pct"/>
            <w:vAlign w:val="center"/>
          </w:tcPr>
          <w:p>
            <w:pPr>
              <w:spacing w:line="360" w:lineRule="auto"/>
              <w:jc w:val="center"/>
              <w:textAlignment w:val="baseline"/>
              <w:rPr>
                <w:rFonts w:hint="eastAsia" w:ascii="仿宋" w:hAnsi="仿宋" w:eastAsia="仿宋" w:cs="宋体"/>
                <w:color w:val="000000"/>
                <w:sz w:val="21"/>
                <w:szCs w:val="21"/>
                <w:highlight w:val="none"/>
                <w:lang w:val="en-US" w:eastAsia="zh-CN"/>
              </w:rPr>
            </w:pPr>
            <w:r>
              <w:rPr>
                <w:rFonts w:hint="eastAsia" w:ascii="仿宋" w:hAnsi="仿宋" w:eastAsia="仿宋" w:cs="宋体"/>
                <w:b/>
                <w:bCs/>
                <w:color w:val="000000"/>
                <w:sz w:val="21"/>
                <w:szCs w:val="21"/>
                <w:highlight w:val="none"/>
                <w:lang w:val="en-US" w:eastAsia="zh-CN"/>
              </w:rPr>
              <w:t>基本代理费（含差旅费）</w:t>
            </w:r>
            <w:r>
              <w:rPr>
                <w:rFonts w:hint="eastAsia" w:ascii="仿宋" w:hAnsi="仿宋" w:eastAsia="仿宋" w:cs="宋体"/>
                <w:color w:val="000000"/>
                <w:sz w:val="21"/>
                <w:szCs w:val="21"/>
                <w:highlight w:val="none"/>
                <w:lang w:val="en-US" w:eastAsia="zh-CN"/>
              </w:rPr>
              <w:t>：由律师事务所所在省份其他城市审理的，代理费不超过6000元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9" w:type="pct"/>
            <w:vMerge w:val="continue"/>
            <w:vAlign w:val="center"/>
          </w:tcPr>
          <w:p>
            <w:pPr>
              <w:spacing w:line="360" w:lineRule="auto"/>
              <w:jc w:val="center"/>
              <w:textAlignment w:val="baseline"/>
              <w:rPr>
                <w:rFonts w:hint="eastAsia" w:ascii="仿宋" w:hAnsi="仿宋" w:eastAsia="仿宋" w:cs="宋体"/>
                <w:color w:val="000000"/>
                <w:sz w:val="21"/>
                <w:szCs w:val="21"/>
                <w:highlight w:val="none"/>
                <w:lang w:val="en-US" w:eastAsia="zh-CN"/>
              </w:rPr>
            </w:pPr>
          </w:p>
        </w:tc>
        <w:tc>
          <w:tcPr>
            <w:tcW w:w="1270" w:type="pct"/>
            <w:vMerge w:val="continue"/>
            <w:vAlign w:val="center"/>
          </w:tcPr>
          <w:p>
            <w:pPr>
              <w:spacing w:line="360" w:lineRule="auto"/>
              <w:jc w:val="center"/>
              <w:textAlignment w:val="baseline"/>
              <w:rPr>
                <w:rFonts w:hint="eastAsia" w:ascii="仿宋" w:hAnsi="仿宋" w:eastAsia="仿宋" w:cs="宋体"/>
                <w:color w:val="000000"/>
                <w:sz w:val="21"/>
                <w:szCs w:val="21"/>
                <w:highlight w:val="none"/>
                <w:lang w:val="en-US" w:eastAsia="zh-CN"/>
              </w:rPr>
            </w:pPr>
          </w:p>
        </w:tc>
        <w:tc>
          <w:tcPr>
            <w:tcW w:w="549" w:type="pct"/>
            <w:vMerge w:val="continue"/>
            <w:vAlign w:val="center"/>
          </w:tcPr>
          <w:p>
            <w:pPr>
              <w:spacing w:line="360" w:lineRule="auto"/>
              <w:jc w:val="center"/>
              <w:textAlignment w:val="baseline"/>
              <w:rPr>
                <w:rFonts w:hint="eastAsia" w:ascii="仿宋" w:hAnsi="仿宋" w:eastAsia="仿宋" w:cs="宋体"/>
                <w:color w:val="000000"/>
                <w:sz w:val="21"/>
                <w:szCs w:val="21"/>
                <w:highlight w:val="none"/>
                <w:lang w:val="en-US" w:eastAsia="zh-CN"/>
              </w:rPr>
            </w:pPr>
          </w:p>
        </w:tc>
        <w:tc>
          <w:tcPr>
            <w:tcW w:w="2680" w:type="pct"/>
            <w:vAlign w:val="center"/>
          </w:tcPr>
          <w:p>
            <w:pPr>
              <w:spacing w:line="360" w:lineRule="auto"/>
              <w:jc w:val="center"/>
              <w:textAlignment w:val="baseline"/>
              <w:rPr>
                <w:rFonts w:hint="eastAsia" w:ascii="仿宋" w:hAnsi="仿宋" w:eastAsia="仿宋" w:cs="宋体"/>
                <w:color w:val="000000"/>
                <w:sz w:val="21"/>
                <w:szCs w:val="21"/>
                <w:highlight w:val="none"/>
                <w:lang w:val="en-US" w:eastAsia="zh-CN"/>
              </w:rPr>
            </w:pPr>
            <w:r>
              <w:rPr>
                <w:rFonts w:hint="eastAsia" w:ascii="仿宋" w:hAnsi="仿宋" w:eastAsia="仿宋" w:cs="宋体"/>
                <w:b/>
                <w:bCs/>
                <w:color w:val="000000"/>
                <w:sz w:val="21"/>
                <w:szCs w:val="21"/>
                <w:highlight w:val="none"/>
                <w:lang w:val="en-US" w:eastAsia="zh-CN"/>
              </w:rPr>
              <w:t>基本代理费（含差旅费）</w:t>
            </w:r>
            <w:r>
              <w:rPr>
                <w:rFonts w:hint="eastAsia" w:ascii="仿宋" w:hAnsi="仿宋" w:eastAsia="仿宋" w:cs="宋体"/>
                <w:color w:val="000000"/>
                <w:sz w:val="21"/>
                <w:szCs w:val="21"/>
                <w:highlight w:val="none"/>
                <w:lang w:val="en-US" w:eastAsia="zh-CN"/>
              </w:rPr>
              <w:t>：由律师事务所所在地省外法院审理的，基本代理费不超过15000元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9" w:type="pct"/>
            <w:vMerge w:val="continue"/>
            <w:vAlign w:val="center"/>
          </w:tcPr>
          <w:p>
            <w:pPr>
              <w:spacing w:line="360" w:lineRule="auto"/>
              <w:jc w:val="center"/>
              <w:textAlignment w:val="baseline"/>
              <w:rPr>
                <w:rFonts w:hint="eastAsia" w:ascii="仿宋" w:hAnsi="仿宋" w:eastAsia="仿宋" w:cs="宋体"/>
                <w:color w:val="000000"/>
                <w:sz w:val="21"/>
                <w:szCs w:val="21"/>
                <w:highlight w:val="none"/>
                <w:lang w:val="en-US" w:eastAsia="zh-CN"/>
              </w:rPr>
            </w:pPr>
          </w:p>
        </w:tc>
        <w:tc>
          <w:tcPr>
            <w:tcW w:w="1270" w:type="pct"/>
            <w:vMerge w:val="continue"/>
            <w:vAlign w:val="center"/>
          </w:tcPr>
          <w:p>
            <w:pPr>
              <w:spacing w:line="360" w:lineRule="auto"/>
              <w:jc w:val="center"/>
              <w:textAlignment w:val="baseline"/>
              <w:rPr>
                <w:rFonts w:hint="eastAsia" w:ascii="仿宋" w:hAnsi="仿宋" w:eastAsia="仿宋" w:cs="宋体"/>
                <w:color w:val="000000"/>
                <w:sz w:val="21"/>
                <w:szCs w:val="21"/>
                <w:highlight w:val="none"/>
                <w:lang w:val="en-US" w:eastAsia="zh-CN"/>
              </w:rPr>
            </w:pPr>
          </w:p>
        </w:tc>
        <w:tc>
          <w:tcPr>
            <w:tcW w:w="549" w:type="pct"/>
            <w:vMerge w:val="continue"/>
            <w:vAlign w:val="center"/>
          </w:tcPr>
          <w:p>
            <w:pPr>
              <w:spacing w:line="360" w:lineRule="auto"/>
              <w:jc w:val="center"/>
              <w:textAlignment w:val="baseline"/>
              <w:rPr>
                <w:rFonts w:hint="eastAsia" w:ascii="仿宋" w:hAnsi="仿宋" w:eastAsia="仿宋" w:cs="宋体"/>
                <w:color w:val="000000"/>
                <w:sz w:val="21"/>
                <w:szCs w:val="21"/>
                <w:highlight w:val="none"/>
                <w:lang w:val="en-US" w:eastAsia="zh-CN"/>
              </w:rPr>
            </w:pPr>
          </w:p>
        </w:tc>
        <w:tc>
          <w:tcPr>
            <w:tcW w:w="2680" w:type="pct"/>
            <w:vAlign w:val="center"/>
          </w:tcPr>
          <w:p>
            <w:pPr>
              <w:spacing w:line="360" w:lineRule="auto"/>
              <w:jc w:val="center"/>
              <w:textAlignment w:val="baseline"/>
              <w:rPr>
                <w:rFonts w:hint="eastAsia" w:ascii="仿宋" w:hAnsi="仿宋" w:eastAsia="仿宋" w:cs="宋体"/>
                <w:color w:val="000000"/>
                <w:sz w:val="21"/>
                <w:szCs w:val="21"/>
                <w:highlight w:val="none"/>
                <w:lang w:val="en-US" w:eastAsia="zh-CN"/>
              </w:rPr>
            </w:pPr>
            <w:r>
              <w:rPr>
                <w:rFonts w:hint="eastAsia" w:ascii="仿宋" w:hAnsi="仿宋" w:eastAsia="仿宋" w:cs="宋体"/>
                <w:b/>
                <w:bCs/>
                <w:color w:val="000000"/>
                <w:sz w:val="21"/>
                <w:szCs w:val="21"/>
                <w:highlight w:val="none"/>
                <w:lang w:val="en-US" w:eastAsia="zh-CN"/>
              </w:rPr>
              <w:t>风险代理费</w:t>
            </w:r>
            <w:r>
              <w:rPr>
                <w:rFonts w:hint="eastAsia" w:ascii="仿宋" w:hAnsi="仿宋" w:eastAsia="仿宋" w:cs="宋体"/>
                <w:color w:val="000000"/>
                <w:sz w:val="21"/>
                <w:szCs w:val="21"/>
                <w:highlight w:val="none"/>
                <w:lang w:val="en-US" w:eastAsia="zh-CN"/>
              </w:rPr>
              <w:t>：不超过减损金额（含追偿到帐金额、核定减损金额，诉讼、仲裁案件核定减损金额=招标人核定金额—最终判调或和解金额，下同）的10%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9" w:type="pct"/>
            <w:vMerge w:val="continue"/>
            <w:vAlign w:val="center"/>
          </w:tcPr>
          <w:p>
            <w:pPr>
              <w:spacing w:line="360" w:lineRule="auto"/>
              <w:jc w:val="center"/>
              <w:textAlignment w:val="baseline"/>
              <w:rPr>
                <w:rFonts w:hint="eastAsia" w:ascii="仿宋" w:hAnsi="仿宋" w:eastAsia="仿宋" w:cs="宋体"/>
                <w:color w:val="000000"/>
                <w:sz w:val="21"/>
                <w:szCs w:val="21"/>
                <w:highlight w:val="none"/>
                <w:lang w:val="en-US" w:eastAsia="zh-CN"/>
              </w:rPr>
            </w:pPr>
          </w:p>
        </w:tc>
        <w:tc>
          <w:tcPr>
            <w:tcW w:w="1270" w:type="pct"/>
            <w:vMerge w:val="continue"/>
            <w:vAlign w:val="center"/>
          </w:tcPr>
          <w:p>
            <w:pPr>
              <w:spacing w:line="360" w:lineRule="auto"/>
              <w:jc w:val="center"/>
              <w:textAlignment w:val="baseline"/>
              <w:rPr>
                <w:rFonts w:hint="eastAsia" w:ascii="仿宋" w:hAnsi="仿宋" w:eastAsia="仿宋" w:cs="宋体"/>
                <w:color w:val="000000"/>
                <w:sz w:val="21"/>
                <w:szCs w:val="21"/>
                <w:highlight w:val="none"/>
                <w:lang w:val="en-US" w:eastAsia="zh-CN"/>
              </w:rPr>
            </w:pPr>
          </w:p>
        </w:tc>
        <w:tc>
          <w:tcPr>
            <w:tcW w:w="549" w:type="pct"/>
            <w:vMerge w:val="continue"/>
            <w:vAlign w:val="center"/>
          </w:tcPr>
          <w:p>
            <w:pPr>
              <w:spacing w:line="360" w:lineRule="auto"/>
              <w:jc w:val="center"/>
              <w:textAlignment w:val="baseline"/>
              <w:rPr>
                <w:rFonts w:hint="eastAsia" w:ascii="仿宋" w:hAnsi="仿宋" w:eastAsia="仿宋" w:cs="宋体"/>
                <w:color w:val="000000"/>
                <w:sz w:val="21"/>
                <w:szCs w:val="21"/>
                <w:highlight w:val="none"/>
                <w:lang w:val="en-US" w:eastAsia="zh-CN"/>
              </w:rPr>
            </w:pPr>
          </w:p>
        </w:tc>
        <w:tc>
          <w:tcPr>
            <w:tcW w:w="2680" w:type="pct"/>
            <w:vAlign w:val="center"/>
          </w:tcPr>
          <w:p>
            <w:pPr>
              <w:spacing w:line="360" w:lineRule="auto"/>
              <w:jc w:val="center"/>
              <w:textAlignment w:val="baseline"/>
              <w:rPr>
                <w:rFonts w:hint="eastAsia" w:ascii="仿宋" w:hAnsi="仿宋" w:eastAsia="仿宋" w:cs="宋体"/>
                <w:b/>
                <w:bCs/>
                <w:color w:val="000000"/>
                <w:sz w:val="21"/>
                <w:szCs w:val="21"/>
                <w:highlight w:val="none"/>
                <w:lang w:val="en-US" w:eastAsia="zh-CN"/>
              </w:rPr>
            </w:pPr>
            <w:r>
              <w:rPr>
                <w:rFonts w:hint="eastAsia" w:ascii="仿宋" w:hAnsi="仿宋" w:eastAsia="仿宋" w:cs="宋体"/>
                <w:b/>
                <w:bCs/>
                <w:color w:val="000000"/>
                <w:sz w:val="21"/>
                <w:szCs w:val="21"/>
                <w:highlight w:val="none"/>
                <w:lang w:val="en-US" w:eastAsia="zh-CN"/>
              </w:rPr>
              <w:t>总代理费（含固定收费）</w:t>
            </w:r>
            <w:r>
              <w:rPr>
                <w:rFonts w:hint="eastAsia" w:ascii="仿宋" w:hAnsi="仿宋" w:eastAsia="仿宋" w:cs="宋体"/>
                <w:color w:val="000000"/>
                <w:sz w:val="21"/>
                <w:szCs w:val="21"/>
                <w:highlight w:val="none"/>
                <w:lang w:val="en-US" w:eastAsia="zh-CN"/>
              </w:rPr>
              <w:t>：基本代理费与风险代理收费合计不超过减损金额的15%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9" w:type="pct"/>
            <w:vMerge w:val="continue"/>
            <w:vAlign w:val="center"/>
          </w:tcPr>
          <w:p>
            <w:pPr>
              <w:spacing w:line="360" w:lineRule="auto"/>
              <w:jc w:val="center"/>
              <w:textAlignment w:val="baseline"/>
              <w:rPr>
                <w:rFonts w:hint="eastAsia" w:ascii="仿宋" w:hAnsi="仿宋" w:eastAsia="仿宋" w:cs="宋体"/>
                <w:color w:val="000000"/>
                <w:sz w:val="21"/>
                <w:szCs w:val="21"/>
                <w:highlight w:val="none"/>
                <w:lang w:val="en-US" w:eastAsia="zh-CN"/>
              </w:rPr>
            </w:pPr>
          </w:p>
        </w:tc>
        <w:tc>
          <w:tcPr>
            <w:tcW w:w="1270" w:type="pct"/>
            <w:vMerge w:val="continue"/>
            <w:vAlign w:val="center"/>
          </w:tcPr>
          <w:p>
            <w:pPr>
              <w:spacing w:line="360" w:lineRule="auto"/>
              <w:jc w:val="center"/>
              <w:textAlignment w:val="baseline"/>
              <w:rPr>
                <w:rFonts w:hint="eastAsia" w:ascii="仿宋" w:hAnsi="仿宋" w:eastAsia="仿宋" w:cs="宋体"/>
                <w:color w:val="000000"/>
                <w:sz w:val="21"/>
                <w:szCs w:val="21"/>
                <w:highlight w:val="none"/>
                <w:lang w:val="en-US" w:eastAsia="zh-CN"/>
              </w:rPr>
            </w:pPr>
          </w:p>
        </w:tc>
        <w:tc>
          <w:tcPr>
            <w:tcW w:w="549" w:type="pct"/>
            <w:vMerge w:val="continue"/>
            <w:vAlign w:val="center"/>
          </w:tcPr>
          <w:p>
            <w:pPr>
              <w:spacing w:line="360" w:lineRule="auto"/>
              <w:jc w:val="center"/>
              <w:textAlignment w:val="baseline"/>
              <w:rPr>
                <w:rFonts w:hint="eastAsia" w:ascii="仿宋" w:hAnsi="仿宋" w:eastAsia="仿宋" w:cs="宋体"/>
                <w:color w:val="000000"/>
                <w:sz w:val="21"/>
                <w:szCs w:val="21"/>
                <w:highlight w:val="none"/>
                <w:lang w:val="en-US" w:eastAsia="zh-CN"/>
              </w:rPr>
            </w:pPr>
          </w:p>
        </w:tc>
        <w:tc>
          <w:tcPr>
            <w:tcW w:w="2680" w:type="pct"/>
            <w:vAlign w:val="center"/>
          </w:tcPr>
          <w:p>
            <w:pPr>
              <w:spacing w:line="360" w:lineRule="auto"/>
              <w:jc w:val="center"/>
              <w:textAlignment w:val="baseline"/>
              <w:rPr>
                <w:rFonts w:hint="eastAsia" w:ascii="仿宋" w:hAnsi="仿宋" w:eastAsia="仿宋" w:cs="宋体"/>
                <w:b/>
                <w:bCs/>
                <w:color w:val="000000"/>
                <w:sz w:val="21"/>
                <w:szCs w:val="21"/>
                <w:highlight w:val="none"/>
                <w:lang w:val="en-US" w:eastAsia="zh-CN"/>
              </w:rPr>
            </w:pPr>
            <w:r>
              <w:rPr>
                <w:rFonts w:hint="eastAsia" w:ascii="仿宋" w:hAnsi="仿宋" w:eastAsia="仿宋" w:cs="宋体"/>
                <w:b/>
                <w:bCs/>
                <w:color w:val="000000"/>
                <w:sz w:val="21"/>
                <w:szCs w:val="21"/>
                <w:highlight w:val="none"/>
                <w:lang w:val="en-US" w:eastAsia="zh-CN"/>
              </w:rPr>
              <w:t>纯风险代理收费</w:t>
            </w:r>
            <w:r>
              <w:rPr>
                <w:rFonts w:hint="eastAsia" w:ascii="仿宋" w:hAnsi="仿宋" w:eastAsia="仿宋" w:cs="宋体"/>
                <w:color w:val="000000"/>
                <w:sz w:val="21"/>
                <w:szCs w:val="21"/>
                <w:highlight w:val="none"/>
                <w:lang w:val="en-US" w:eastAsia="zh-CN"/>
              </w:rPr>
              <w:t>：采用纯风险代理的，风险代理不超过减损金额的15%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9" w:type="pct"/>
            <w:vMerge w:val="continue"/>
            <w:vAlign w:val="center"/>
          </w:tcPr>
          <w:p>
            <w:pPr>
              <w:spacing w:line="360" w:lineRule="auto"/>
              <w:jc w:val="center"/>
              <w:textAlignment w:val="baseline"/>
              <w:rPr>
                <w:rFonts w:hint="eastAsia" w:ascii="仿宋" w:hAnsi="仿宋" w:eastAsia="仿宋" w:cs="宋体"/>
                <w:color w:val="000000"/>
                <w:sz w:val="21"/>
                <w:szCs w:val="21"/>
                <w:highlight w:val="none"/>
                <w:lang w:val="en-US" w:eastAsia="zh-CN"/>
              </w:rPr>
            </w:pPr>
          </w:p>
        </w:tc>
        <w:tc>
          <w:tcPr>
            <w:tcW w:w="1270" w:type="pct"/>
            <w:vMerge w:val="continue"/>
            <w:vAlign w:val="center"/>
          </w:tcPr>
          <w:p>
            <w:pPr>
              <w:spacing w:line="360" w:lineRule="auto"/>
              <w:jc w:val="center"/>
              <w:textAlignment w:val="baseline"/>
              <w:rPr>
                <w:rFonts w:hint="eastAsia" w:ascii="仿宋" w:hAnsi="仿宋" w:eastAsia="仿宋" w:cs="宋体"/>
                <w:color w:val="000000"/>
                <w:sz w:val="21"/>
                <w:szCs w:val="21"/>
                <w:highlight w:val="none"/>
                <w:lang w:val="en-US" w:eastAsia="zh-CN"/>
              </w:rPr>
            </w:pPr>
          </w:p>
        </w:tc>
        <w:tc>
          <w:tcPr>
            <w:tcW w:w="549" w:type="pct"/>
            <w:vMerge w:val="continue"/>
            <w:vAlign w:val="center"/>
          </w:tcPr>
          <w:p>
            <w:pPr>
              <w:spacing w:line="360" w:lineRule="auto"/>
              <w:jc w:val="center"/>
              <w:textAlignment w:val="baseline"/>
              <w:rPr>
                <w:rFonts w:hint="eastAsia" w:ascii="仿宋" w:hAnsi="仿宋" w:eastAsia="仿宋" w:cs="宋体"/>
                <w:color w:val="000000"/>
                <w:sz w:val="21"/>
                <w:szCs w:val="21"/>
                <w:highlight w:val="none"/>
                <w:lang w:val="en-US" w:eastAsia="zh-CN"/>
              </w:rPr>
            </w:pPr>
          </w:p>
        </w:tc>
        <w:tc>
          <w:tcPr>
            <w:tcW w:w="2680" w:type="pct"/>
            <w:vAlign w:val="center"/>
          </w:tcPr>
          <w:p>
            <w:pPr>
              <w:spacing w:line="360" w:lineRule="auto"/>
              <w:jc w:val="center"/>
              <w:textAlignment w:val="baseline"/>
              <w:rPr>
                <w:rFonts w:hint="eastAsia" w:ascii="仿宋" w:hAnsi="仿宋" w:eastAsia="仿宋" w:cs="宋体"/>
                <w:b/>
                <w:bCs/>
                <w:color w:val="000000"/>
                <w:sz w:val="21"/>
                <w:szCs w:val="21"/>
                <w:highlight w:val="none"/>
                <w:lang w:val="en-US" w:eastAsia="zh-CN"/>
              </w:rPr>
            </w:pPr>
            <w:r>
              <w:rPr>
                <w:rFonts w:hint="eastAsia" w:ascii="仿宋" w:hAnsi="仿宋" w:eastAsia="仿宋" w:cs="宋体"/>
                <w:b/>
                <w:bCs/>
                <w:color w:val="000000"/>
                <w:sz w:val="21"/>
                <w:szCs w:val="21"/>
                <w:highlight w:val="none"/>
                <w:lang w:val="en-US" w:eastAsia="zh-CN"/>
              </w:rPr>
              <w:t>小时收费</w:t>
            </w:r>
            <w:r>
              <w:rPr>
                <w:rFonts w:hint="eastAsia" w:ascii="仿宋" w:hAnsi="仿宋" w:eastAsia="仿宋" w:cs="宋体"/>
                <w:color w:val="000000"/>
                <w:sz w:val="21"/>
                <w:szCs w:val="21"/>
                <w:highlight w:val="none"/>
                <w:lang w:val="en-US" w:eastAsia="zh-CN"/>
              </w:rPr>
              <w:t>：参照原2017年江苏省律师服务收费标准为基础，每小时收费不超过1200元</w:t>
            </w:r>
          </w:p>
        </w:tc>
      </w:tr>
    </w:tbl>
    <w:p>
      <w:pPr>
        <w:pStyle w:val="3"/>
        <w:rPr>
          <w:rFonts w:hint="eastAsia" w:ascii="仿宋" w:hAnsi="仿宋" w:eastAsia="仿宋" w:cs="宋体"/>
          <w:color w:val="000000"/>
          <w:szCs w:val="24"/>
          <w:highlight w:val="none"/>
          <w:lang w:eastAsia="zh-CN"/>
        </w:rPr>
      </w:pPr>
      <w:r>
        <w:rPr>
          <w:rFonts w:hint="eastAsia" w:ascii="仿宋" w:hAnsi="仿宋" w:cs="宋体"/>
          <w:color w:val="000000"/>
          <w:szCs w:val="24"/>
          <w:highlight w:val="none"/>
        </w:rPr>
        <w:t>三、投标人资格要求</w:t>
      </w:r>
      <w:bookmarkEnd w:id="19"/>
      <w:bookmarkEnd w:id="20"/>
      <w:bookmarkEnd w:id="21"/>
      <w:bookmarkEnd w:id="22"/>
    </w:p>
    <w:p>
      <w:pPr>
        <w:spacing w:line="360" w:lineRule="auto"/>
        <w:ind w:firstLine="480" w:firstLineChars="200"/>
        <w:textAlignment w:val="baseline"/>
        <w:rPr>
          <w:rFonts w:hint="default" w:ascii="仿宋" w:hAnsi="仿宋" w:eastAsia="仿宋" w:cs="宋体"/>
          <w:color w:val="000000"/>
          <w:sz w:val="24"/>
          <w:szCs w:val="24"/>
          <w:highlight w:val="none"/>
          <w:lang w:val="en-US"/>
        </w:rPr>
      </w:pPr>
      <w:r>
        <w:rPr>
          <w:rFonts w:hint="eastAsia" w:ascii="仿宋" w:hAnsi="仿宋" w:eastAsia="仿宋" w:cs="宋体"/>
          <w:color w:val="000000"/>
          <w:sz w:val="24"/>
          <w:szCs w:val="24"/>
          <w:highlight w:val="none"/>
          <w:lang w:val="en-US" w:eastAsia="zh-CN"/>
        </w:rPr>
        <w:t>3.1</w:t>
      </w:r>
      <w:r>
        <w:rPr>
          <w:rFonts w:hint="default" w:ascii="仿宋" w:hAnsi="仿宋" w:eastAsia="仿宋" w:cs="宋体"/>
          <w:color w:val="000000"/>
          <w:sz w:val="24"/>
          <w:szCs w:val="24"/>
          <w:highlight w:val="none"/>
          <w:lang w:val="en-US"/>
        </w:rPr>
        <w:t>在中华人民共和国境内依法登记的法人，具有独立承担民事责任的能力，合法运作并独立于采购人和招标代理机构，需提供合法有效的营业执照复印件。</w:t>
      </w:r>
    </w:p>
    <w:p>
      <w:pPr>
        <w:spacing w:line="360" w:lineRule="auto"/>
        <w:ind w:firstLine="480" w:firstLineChars="200"/>
        <w:textAlignment w:val="baseline"/>
        <w:rPr>
          <w:rFonts w:hint="default" w:ascii="仿宋" w:hAnsi="仿宋" w:eastAsia="仿宋" w:cs="宋体"/>
          <w:color w:val="000000"/>
          <w:sz w:val="24"/>
          <w:szCs w:val="24"/>
          <w:highlight w:val="none"/>
          <w:lang w:val="en-US"/>
        </w:rPr>
      </w:pPr>
      <w:r>
        <w:rPr>
          <w:rFonts w:hint="eastAsia" w:ascii="仿宋" w:hAnsi="仿宋" w:eastAsia="仿宋" w:cs="宋体"/>
          <w:color w:val="000000"/>
          <w:sz w:val="24"/>
          <w:szCs w:val="24"/>
          <w:highlight w:val="none"/>
          <w:lang w:val="en-US" w:eastAsia="zh-CN"/>
        </w:rPr>
        <w:t>3.2具有良好的商业信誉和健全的财务会计制度，需提供2024年度经会计师事务所或审计机构审计的财务审计报告及财务报表（至少包含会计师事务所或审计机构签章页、资产负债表、现金流量表、损益表/利润表）或提供响应文件递交截止日前6个月内开具的银行资信证明。</w:t>
      </w:r>
    </w:p>
    <w:p>
      <w:pPr>
        <w:spacing w:line="360" w:lineRule="auto"/>
        <w:ind w:firstLine="480" w:firstLineChars="200"/>
        <w:textAlignment w:val="baseline"/>
        <w:rPr>
          <w:rFonts w:hint="default" w:ascii="仿宋" w:hAnsi="仿宋" w:eastAsia="仿宋" w:cs="宋体"/>
          <w:color w:val="000000"/>
          <w:sz w:val="24"/>
          <w:szCs w:val="24"/>
          <w:highlight w:val="none"/>
          <w:lang w:val="en-US"/>
        </w:rPr>
      </w:pPr>
      <w:r>
        <w:rPr>
          <w:rFonts w:hint="eastAsia" w:ascii="仿宋" w:hAnsi="仿宋" w:eastAsia="仿宋" w:cs="宋体"/>
          <w:color w:val="000000"/>
          <w:sz w:val="24"/>
          <w:szCs w:val="24"/>
          <w:highlight w:val="none"/>
          <w:lang w:val="en-US" w:eastAsia="zh-CN"/>
        </w:rPr>
        <w:t>3.3</w:t>
      </w:r>
      <w:r>
        <w:rPr>
          <w:rFonts w:hint="default" w:ascii="仿宋" w:hAnsi="仿宋" w:eastAsia="仿宋" w:cs="宋体"/>
          <w:color w:val="000000"/>
          <w:sz w:val="24"/>
          <w:szCs w:val="24"/>
          <w:highlight w:val="none"/>
          <w:lang w:val="en-US"/>
        </w:rPr>
        <w:t>投标人应具有履行合同所必需的设备和专业技术能力（提供承诺函）。</w:t>
      </w:r>
    </w:p>
    <w:p>
      <w:pPr>
        <w:spacing w:line="360" w:lineRule="auto"/>
        <w:ind w:firstLine="480" w:firstLineChars="200"/>
        <w:textAlignment w:val="baseline"/>
        <w:rPr>
          <w:rFonts w:hint="default" w:ascii="仿宋" w:hAnsi="仿宋" w:eastAsia="仿宋" w:cs="宋体"/>
          <w:color w:val="000000"/>
          <w:sz w:val="24"/>
          <w:szCs w:val="24"/>
          <w:highlight w:val="none"/>
          <w:lang w:val="en-US"/>
        </w:rPr>
      </w:pPr>
      <w:r>
        <w:rPr>
          <w:rFonts w:hint="eastAsia" w:ascii="仿宋" w:hAnsi="仿宋" w:eastAsia="仿宋" w:cs="宋体"/>
          <w:color w:val="000000"/>
          <w:sz w:val="24"/>
          <w:szCs w:val="24"/>
          <w:highlight w:val="none"/>
          <w:lang w:val="en-US" w:eastAsia="zh-CN"/>
        </w:rPr>
        <w:t>3.4具有依法缴纳税收和社会保障资金的良好记录，提供2025年3月-2025年8月的税收和社会保障资金缴纳凭证，如为新成立的律师事务所，请提供成立以来的纳税和社保缴纳证明材料。</w:t>
      </w:r>
    </w:p>
    <w:p>
      <w:pPr>
        <w:spacing w:line="360" w:lineRule="auto"/>
        <w:ind w:firstLine="480" w:firstLineChars="200"/>
        <w:textAlignment w:val="baseline"/>
        <w:rPr>
          <w:rFonts w:hint="default" w:ascii="仿宋" w:hAnsi="仿宋" w:eastAsia="仿宋" w:cs="宋体"/>
          <w:color w:val="000000"/>
          <w:sz w:val="24"/>
          <w:szCs w:val="24"/>
          <w:highlight w:val="none"/>
          <w:lang w:val="en-US"/>
        </w:rPr>
      </w:pPr>
      <w:r>
        <w:rPr>
          <w:rFonts w:hint="eastAsia" w:ascii="仿宋" w:hAnsi="仿宋" w:eastAsia="仿宋" w:cs="宋体"/>
          <w:color w:val="000000"/>
          <w:sz w:val="24"/>
          <w:szCs w:val="24"/>
          <w:highlight w:val="none"/>
          <w:lang w:val="en-US" w:eastAsia="zh-CN"/>
        </w:rPr>
        <w:t>3.5</w:t>
      </w:r>
      <w:r>
        <w:rPr>
          <w:rFonts w:hint="default" w:ascii="仿宋" w:hAnsi="仿宋" w:eastAsia="仿宋" w:cs="宋体"/>
          <w:color w:val="000000"/>
          <w:sz w:val="24"/>
          <w:szCs w:val="24"/>
          <w:highlight w:val="none"/>
          <w:lang w:val="en-US"/>
        </w:rPr>
        <w:t>投标人应经营状况良好，且近三年内（2022年</w:t>
      </w:r>
      <w:r>
        <w:rPr>
          <w:rFonts w:hint="eastAsia" w:ascii="仿宋" w:hAnsi="仿宋" w:eastAsia="仿宋" w:cs="宋体"/>
          <w:color w:val="000000"/>
          <w:sz w:val="24"/>
          <w:szCs w:val="24"/>
          <w:highlight w:val="none"/>
          <w:lang w:val="en-US" w:eastAsia="zh-CN"/>
        </w:rPr>
        <w:t>8</w:t>
      </w:r>
      <w:r>
        <w:rPr>
          <w:rFonts w:hint="default" w:ascii="仿宋" w:hAnsi="仿宋" w:eastAsia="仿宋" w:cs="宋体"/>
          <w:color w:val="000000"/>
          <w:sz w:val="24"/>
          <w:szCs w:val="24"/>
          <w:highlight w:val="none"/>
          <w:lang w:val="en-US"/>
        </w:rPr>
        <w:t>月1日至今）无违法违规记录，违法违规记录是指被“信用中国”列入失信被执行人、重大税收违法失信主体、政府采购严重违法失信行为记录名单。供应商需提供自</w:t>
      </w:r>
      <w:r>
        <w:rPr>
          <w:rFonts w:hint="eastAsia" w:ascii="仿宋" w:hAnsi="仿宋" w:eastAsia="仿宋" w:cs="宋体"/>
          <w:color w:val="000000"/>
          <w:sz w:val="24"/>
          <w:szCs w:val="24"/>
          <w:highlight w:val="none"/>
          <w:lang w:val="en-US" w:eastAsia="zh-CN"/>
        </w:rPr>
        <w:t>招标</w:t>
      </w:r>
      <w:r>
        <w:rPr>
          <w:rFonts w:hint="default" w:ascii="仿宋" w:hAnsi="仿宋" w:eastAsia="仿宋" w:cs="宋体"/>
          <w:color w:val="000000"/>
          <w:sz w:val="24"/>
          <w:szCs w:val="24"/>
          <w:highlight w:val="none"/>
          <w:lang w:val="en-US"/>
        </w:rPr>
        <w:t>公告发布之日至响应文件递交截止之日期间对以上三项内容的查询截图。</w:t>
      </w:r>
    </w:p>
    <w:p>
      <w:pPr>
        <w:spacing w:line="360" w:lineRule="auto"/>
        <w:ind w:firstLine="480" w:firstLineChars="200"/>
        <w:textAlignment w:val="baseline"/>
        <w:rPr>
          <w:rFonts w:hint="default" w:ascii="仿宋" w:hAnsi="仿宋" w:eastAsia="仿宋" w:cs="宋体"/>
          <w:color w:val="000000"/>
          <w:sz w:val="24"/>
          <w:szCs w:val="24"/>
          <w:highlight w:val="none"/>
          <w:lang w:val="en-US"/>
        </w:rPr>
      </w:pPr>
      <w:r>
        <w:rPr>
          <w:rFonts w:hint="eastAsia" w:ascii="仿宋" w:hAnsi="仿宋" w:eastAsia="仿宋" w:cs="宋体"/>
          <w:color w:val="000000"/>
          <w:sz w:val="24"/>
          <w:szCs w:val="24"/>
          <w:highlight w:val="none"/>
          <w:lang w:val="en-US" w:eastAsia="zh-CN"/>
        </w:rPr>
        <w:t>信用中国查询网址：https://www.creditchina.gov.cn/xinyongfuwu/?navPage=5</w:t>
      </w:r>
    </w:p>
    <w:p>
      <w:pPr>
        <w:spacing w:line="360" w:lineRule="auto"/>
        <w:ind w:firstLine="480" w:firstLineChars="200"/>
        <w:textAlignment w:val="baseline"/>
        <w:rPr>
          <w:rFonts w:hint="eastAsia" w:ascii="仿宋" w:hAnsi="仿宋" w:eastAsia="仿宋" w:cs="宋体"/>
          <w:color w:val="000000"/>
          <w:sz w:val="24"/>
          <w:szCs w:val="24"/>
          <w:highlight w:val="none"/>
          <w:lang w:val="en-US" w:eastAsia="zh-CN"/>
        </w:rPr>
      </w:pPr>
      <w:r>
        <w:rPr>
          <w:rFonts w:hint="eastAsia" w:ascii="仿宋" w:hAnsi="仿宋" w:eastAsia="仿宋" w:cs="宋体"/>
          <w:color w:val="000000"/>
          <w:sz w:val="24"/>
          <w:szCs w:val="24"/>
          <w:highlight w:val="none"/>
          <w:lang w:val="en-US" w:eastAsia="zh-CN"/>
        </w:rPr>
        <w:t>3.6严禁列入招标人及其所隶属的中国人民保险各级机构的供应商黑名单且在禁入期内的供应商参与采购活动</w:t>
      </w:r>
      <w:r>
        <w:rPr>
          <w:rFonts w:hint="default" w:ascii="仿宋" w:hAnsi="仿宋" w:eastAsia="仿宋" w:cs="宋体"/>
          <w:color w:val="000000"/>
          <w:sz w:val="24"/>
          <w:szCs w:val="24"/>
          <w:highlight w:val="none"/>
          <w:lang w:val="en-US"/>
        </w:rPr>
        <w:t>（提供承诺函）</w:t>
      </w:r>
      <w:r>
        <w:rPr>
          <w:rFonts w:hint="eastAsia" w:ascii="仿宋" w:hAnsi="仿宋" w:eastAsia="仿宋" w:cs="宋体"/>
          <w:color w:val="000000"/>
          <w:sz w:val="24"/>
          <w:szCs w:val="24"/>
          <w:highlight w:val="none"/>
          <w:lang w:val="en-US" w:eastAsia="zh-CN"/>
        </w:rPr>
        <w:t>。</w:t>
      </w:r>
    </w:p>
    <w:p>
      <w:pPr>
        <w:spacing w:line="360" w:lineRule="auto"/>
        <w:ind w:firstLine="480" w:firstLineChars="200"/>
        <w:textAlignment w:val="baseline"/>
        <w:rPr>
          <w:rFonts w:hint="eastAsia" w:ascii="仿宋" w:hAnsi="仿宋" w:eastAsia="仿宋" w:cs="宋体"/>
          <w:color w:val="000000"/>
          <w:sz w:val="24"/>
          <w:szCs w:val="24"/>
          <w:highlight w:val="none"/>
          <w:lang w:val="en-US" w:eastAsia="zh-CN"/>
        </w:rPr>
      </w:pPr>
      <w:r>
        <w:rPr>
          <w:rFonts w:hint="eastAsia" w:ascii="仿宋" w:hAnsi="仿宋" w:eastAsia="仿宋" w:cs="宋体"/>
          <w:color w:val="000000"/>
          <w:sz w:val="24"/>
          <w:szCs w:val="24"/>
          <w:highlight w:val="none"/>
          <w:lang w:val="en-US" w:eastAsia="zh-CN"/>
        </w:rPr>
        <w:t xml:space="preserve">3.7单位负责人为同一人或存在控股、管理关系的不同单位，不得参加同一标段/标包投标或未划分标段/标包的同一采购项目的投标，需填写《供应商控股及管理关系情况申报表》。 </w:t>
      </w:r>
    </w:p>
    <w:p>
      <w:pPr>
        <w:spacing w:line="360" w:lineRule="auto"/>
        <w:ind w:firstLine="480" w:firstLineChars="200"/>
        <w:textAlignment w:val="baseline"/>
        <w:rPr>
          <w:rFonts w:hint="default" w:ascii="仿宋" w:hAnsi="仿宋" w:eastAsia="仿宋" w:cs="宋体"/>
          <w:color w:val="000000"/>
          <w:sz w:val="24"/>
          <w:szCs w:val="24"/>
          <w:highlight w:val="none"/>
          <w:lang w:val="en-US"/>
        </w:rPr>
      </w:pPr>
      <w:r>
        <w:rPr>
          <w:rFonts w:hint="eastAsia" w:ascii="仿宋" w:hAnsi="仿宋" w:eastAsia="仿宋" w:cs="宋体"/>
          <w:color w:val="000000"/>
          <w:sz w:val="24"/>
          <w:szCs w:val="24"/>
          <w:highlight w:val="none"/>
          <w:lang w:val="en-US" w:eastAsia="zh-CN"/>
        </w:rPr>
        <w:t>3.8本项目不接受联合体投标</w:t>
      </w:r>
      <w:r>
        <w:rPr>
          <w:rFonts w:hint="default" w:ascii="仿宋" w:hAnsi="仿宋" w:eastAsia="仿宋" w:cs="宋体"/>
          <w:color w:val="000000"/>
          <w:sz w:val="24"/>
          <w:szCs w:val="24"/>
          <w:highlight w:val="none"/>
          <w:lang w:val="en-US"/>
        </w:rPr>
        <w:t>。</w:t>
      </w:r>
    </w:p>
    <w:p>
      <w:pPr>
        <w:spacing w:line="360" w:lineRule="auto"/>
        <w:ind w:firstLine="480" w:firstLineChars="200"/>
        <w:textAlignment w:val="baseline"/>
        <w:rPr>
          <w:rFonts w:hint="default" w:ascii="仿宋" w:hAnsi="仿宋" w:eastAsia="仿宋" w:cs="宋体"/>
          <w:color w:val="auto"/>
          <w:sz w:val="24"/>
          <w:szCs w:val="24"/>
          <w:highlight w:val="none"/>
          <w:lang w:val="en-US"/>
        </w:rPr>
      </w:pPr>
      <w:r>
        <w:rPr>
          <w:rFonts w:hint="eastAsia" w:ascii="仿宋" w:hAnsi="仿宋" w:eastAsia="仿宋" w:cs="宋体"/>
          <w:color w:val="000000"/>
          <w:sz w:val="24"/>
          <w:szCs w:val="24"/>
          <w:highlight w:val="none"/>
          <w:lang w:val="en-US" w:eastAsia="zh-CN"/>
        </w:rPr>
        <w:t>3.9</w:t>
      </w:r>
      <w:r>
        <w:rPr>
          <w:rFonts w:hint="default" w:ascii="仿宋" w:hAnsi="仿宋" w:eastAsia="仿宋" w:cs="宋体"/>
          <w:color w:val="000000"/>
          <w:sz w:val="24"/>
          <w:szCs w:val="24"/>
          <w:highlight w:val="none"/>
          <w:lang w:val="en-US"/>
        </w:rPr>
        <w:t>其它资格要</w:t>
      </w:r>
      <w:r>
        <w:rPr>
          <w:rFonts w:hint="default" w:ascii="仿宋" w:hAnsi="仿宋" w:eastAsia="仿宋" w:cs="宋体"/>
          <w:color w:val="auto"/>
          <w:sz w:val="24"/>
          <w:szCs w:val="24"/>
          <w:highlight w:val="none"/>
          <w:lang w:val="en-US"/>
        </w:rPr>
        <w:t>求:</w:t>
      </w:r>
    </w:p>
    <w:p>
      <w:pPr>
        <w:spacing w:line="360" w:lineRule="auto"/>
        <w:ind w:firstLine="480" w:firstLineChars="200"/>
        <w:textAlignment w:val="baseline"/>
        <w:rPr>
          <w:rFonts w:hint="default" w:ascii="仿宋" w:hAnsi="仿宋" w:eastAsia="仿宋" w:cs="宋体"/>
          <w:color w:val="auto"/>
          <w:sz w:val="24"/>
          <w:szCs w:val="24"/>
          <w:highlight w:val="none"/>
          <w:lang w:val="en-US"/>
        </w:rPr>
      </w:pPr>
      <w:r>
        <w:rPr>
          <w:rFonts w:hint="eastAsia" w:ascii="仿宋" w:hAnsi="仿宋" w:eastAsia="仿宋" w:cs="宋体"/>
          <w:color w:val="auto"/>
          <w:sz w:val="24"/>
          <w:szCs w:val="24"/>
          <w:highlight w:val="none"/>
          <w:lang w:val="en-US" w:eastAsia="zh-CN"/>
        </w:rPr>
        <w:t>3.9.1</w:t>
      </w:r>
      <w:r>
        <w:rPr>
          <w:rFonts w:hint="default" w:ascii="仿宋" w:hAnsi="仿宋" w:eastAsia="仿宋" w:cs="宋体"/>
          <w:color w:val="auto"/>
          <w:sz w:val="24"/>
          <w:szCs w:val="24"/>
          <w:highlight w:val="none"/>
          <w:lang w:val="en-US"/>
        </w:rPr>
        <w:t>投标项目团队应具有三名（含本数）以上专职律师。其中，牵头服务律师须为具有五年及以上执业资格的专职律师；其他团队成员须为具有三年及以上执业资格的专职律师。（提供律师执业证书&lt;含最近一次年检信息&gt;复印件并加盖公章，执业资格年限以律师执业证记载的执业证号所反映的首次获批律师执业资格年度为起始时间进行计算，原件备查）。</w:t>
      </w:r>
    </w:p>
    <w:p>
      <w:pPr>
        <w:spacing w:line="360" w:lineRule="auto"/>
        <w:ind w:firstLine="480" w:firstLineChars="200"/>
        <w:textAlignment w:val="baseline"/>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3.9.2投标项目团队人员中，牵头服务律师须具有保险纠纷案例（不包含银行追偿案例）代理经验。其余团队成员须至少代理过一起下述案例或项目：</w:t>
      </w:r>
    </w:p>
    <w:p>
      <w:pPr>
        <w:spacing w:line="360" w:lineRule="auto"/>
        <w:ind w:firstLine="480" w:firstLineChars="200"/>
        <w:textAlignment w:val="baseline"/>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（1）保险纠纷（含保险代位追偿等与保险业务相关的纠纷）；</w:t>
      </w:r>
    </w:p>
    <w:p>
      <w:pPr>
        <w:spacing w:line="360" w:lineRule="auto"/>
        <w:ind w:firstLine="480" w:firstLineChars="200"/>
        <w:textAlignment w:val="baseline"/>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（2）劳动仲裁纠纷；</w:t>
      </w:r>
    </w:p>
    <w:p>
      <w:pPr>
        <w:spacing w:line="360" w:lineRule="auto"/>
        <w:ind w:firstLine="480" w:firstLineChars="200"/>
        <w:textAlignment w:val="baseline"/>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（3）不动产法律服务（仅限房屋买卖合同、租赁合同纠纷诉讼案件、不动产项目&lt;房屋拆迁、置换、购买&gt;法律尽职调查）；</w:t>
      </w:r>
    </w:p>
    <w:p>
      <w:pPr>
        <w:spacing w:line="360" w:lineRule="auto"/>
        <w:ind w:firstLine="480" w:firstLineChars="200"/>
        <w:textAlignment w:val="baseline"/>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（4）涉外法律服务。</w:t>
      </w:r>
    </w:p>
    <w:p>
      <w:pPr>
        <w:spacing w:line="360" w:lineRule="auto"/>
        <w:ind w:firstLine="480" w:firstLineChars="200"/>
        <w:textAlignment w:val="baseline"/>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注：请提供代理案例裁判文书/项目服务合同复印件并加盖公章；提供案例须由投标人本次拟报的项目团队律师代理；提供的案例服务合同须体现服务内容，原件备查。</w:t>
      </w:r>
    </w:p>
    <w:p>
      <w:pPr>
        <w:spacing w:line="360" w:lineRule="auto"/>
        <w:ind w:firstLine="480" w:firstLineChars="200"/>
        <w:textAlignment w:val="baseline"/>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3.9.3投标人须承诺在以往及将来合作期内不在招标人及其分支机构作为一方当事人的新发生的案件中担任相对方的代理人，不存在其他影响为招标人提供服务的情况。（提供承诺书，格式自拟并加盖投标人公章。）</w:t>
      </w:r>
    </w:p>
    <w:p>
      <w:pPr>
        <w:spacing w:line="360" w:lineRule="auto"/>
        <w:ind w:firstLine="480" w:firstLineChars="200"/>
        <w:textAlignment w:val="baseline"/>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3.9.4投标人须承诺近三年内未受过司法行政管理机关的行政处罚和律师协会的纪律惩戒。（提供承诺书，格式自拟并加盖投标人公章。）</w:t>
      </w:r>
    </w:p>
    <w:p>
      <w:pPr>
        <w:pStyle w:val="3"/>
        <w:rPr>
          <w:rFonts w:hint="eastAsia" w:ascii="仿宋" w:hAnsi="仿宋" w:cs="宋体"/>
          <w:color w:val="000000"/>
          <w:highlight w:val="none"/>
        </w:rPr>
      </w:pPr>
      <w:bookmarkStart w:id="23" w:name="_Toc65682916"/>
      <w:bookmarkStart w:id="24" w:name="_Toc109124226"/>
      <w:bookmarkStart w:id="25" w:name="_Toc12385"/>
      <w:bookmarkStart w:id="26" w:name="_Toc21224"/>
      <w:r>
        <w:rPr>
          <w:rFonts w:hint="eastAsia" w:ascii="仿宋" w:hAnsi="仿宋" w:cs="宋体"/>
          <w:color w:val="000000"/>
          <w:highlight w:val="none"/>
        </w:rPr>
        <w:t>四、资格审查方法</w:t>
      </w:r>
      <w:bookmarkEnd w:id="23"/>
      <w:bookmarkEnd w:id="24"/>
      <w:bookmarkEnd w:id="25"/>
      <w:bookmarkEnd w:id="26"/>
    </w:p>
    <w:p>
      <w:pPr>
        <w:spacing w:line="360" w:lineRule="auto"/>
        <w:ind w:firstLine="480" w:firstLineChars="200"/>
        <w:textAlignment w:val="baseline"/>
        <w:rPr>
          <w:rFonts w:hint="eastAsia" w:ascii="仿宋" w:hAnsi="仿宋" w:eastAsia="仿宋" w:cs="宋体"/>
          <w:color w:val="000000"/>
          <w:sz w:val="24"/>
          <w:szCs w:val="24"/>
          <w:highlight w:val="none"/>
        </w:rPr>
      </w:pPr>
      <w:bookmarkStart w:id="27" w:name="_Toc65682917"/>
      <w:bookmarkStart w:id="28" w:name="_Toc32460"/>
      <w:r>
        <w:rPr>
          <w:rFonts w:hint="eastAsia" w:ascii="仿宋" w:hAnsi="仿宋" w:eastAsia="仿宋" w:cs="宋体"/>
          <w:color w:val="000000"/>
          <w:sz w:val="24"/>
          <w:szCs w:val="24"/>
          <w:highlight w:val="none"/>
        </w:rPr>
        <w:t>本项目将进行资格</w:t>
      </w:r>
      <w:r>
        <w:rPr>
          <w:rFonts w:hint="eastAsia" w:ascii="仿宋" w:hAnsi="仿宋" w:eastAsia="仿宋" w:cs="宋体"/>
          <w:color w:val="auto"/>
          <w:sz w:val="24"/>
          <w:szCs w:val="24"/>
          <w:highlight w:val="none"/>
        </w:rPr>
        <w:t>后审，资格审查方法为合格制，资格审查标准和内容见招标文件第三章“评标办法”。未通过资格后审</w:t>
      </w:r>
      <w:r>
        <w:rPr>
          <w:rFonts w:hint="eastAsia" w:ascii="仿宋" w:hAnsi="仿宋" w:eastAsia="仿宋" w:cs="宋体"/>
          <w:color w:val="000000"/>
          <w:sz w:val="24"/>
          <w:szCs w:val="24"/>
          <w:highlight w:val="none"/>
        </w:rPr>
        <w:t>的投标人，投标将被否决。</w:t>
      </w:r>
    </w:p>
    <w:p>
      <w:pPr>
        <w:pStyle w:val="3"/>
        <w:rPr>
          <w:rFonts w:hint="eastAsia" w:ascii="仿宋" w:hAnsi="仿宋" w:eastAsia="仿宋" w:cs="宋体"/>
          <w:color w:val="000000"/>
          <w:szCs w:val="24"/>
          <w:highlight w:val="none"/>
          <w:lang w:eastAsia="zh-CN"/>
        </w:rPr>
      </w:pPr>
      <w:bookmarkStart w:id="29" w:name="_Toc11877"/>
      <w:bookmarkStart w:id="30" w:name="_Toc109124227"/>
      <w:r>
        <w:rPr>
          <w:rFonts w:hint="eastAsia" w:ascii="仿宋" w:hAnsi="仿宋" w:cs="宋体"/>
          <w:color w:val="000000"/>
          <w:szCs w:val="24"/>
          <w:highlight w:val="none"/>
        </w:rPr>
        <w:t>五、招标文件的获取</w:t>
      </w:r>
      <w:bookmarkEnd w:id="27"/>
      <w:bookmarkEnd w:id="28"/>
      <w:bookmarkEnd w:id="29"/>
      <w:bookmarkEnd w:id="30"/>
      <w:r>
        <w:rPr>
          <w:rFonts w:hint="eastAsia" w:ascii="仿宋" w:hAnsi="仿宋" w:cs="宋体"/>
          <w:color w:val="000000"/>
          <w:szCs w:val="24"/>
          <w:highlight w:val="none"/>
          <w:lang w:eastAsia="zh-CN"/>
        </w:rPr>
        <w:t>（投标人如果参与多个标包投标，应按标包分别购买下载招标文件。）</w:t>
      </w:r>
    </w:p>
    <w:p>
      <w:pPr>
        <w:spacing w:line="360" w:lineRule="auto"/>
        <w:ind w:firstLine="480" w:firstLineChars="200"/>
        <w:textAlignment w:val="baseline"/>
        <w:rPr>
          <w:rFonts w:hint="eastAsia" w:ascii="仿宋" w:hAnsi="仿宋" w:eastAsia="仿宋" w:cs="宋体"/>
          <w:color w:val="000000"/>
          <w:sz w:val="24"/>
          <w:szCs w:val="24"/>
          <w:highlight w:val="none"/>
        </w:rPr>
      </w:pPr>
      <w:r>
        <w:rPr>
          <w:rFonts w:hint="eastAsia" w:ascii="仿宋" w:hAnsi="仿宋" w:eastAsia="仿宋" w:cs="宋体"/>
          <w:color w:val="000000"/>
          <w:sz w:val="24"/>
          <w:szCs w:val="24"/>
          <w:highlight w:val="none"/>
          <w:lang w:val="en-US" w:eastAsia="zh-CN"/>
        </w:rPr>
        <w:t>5.1、</w:t>
      </w:r>
      <w:r>
        <w:rPr>
          <w:rFonts w:hint="eastAsia" w:ascii="仿宋" w:hAnsi="仿宋" w:eastAsia="仿宋" w:cs="宋体"/>
          <w:color w:val="000000"/>
          <w:sz w:val="24"/>
          <w:szCs w:val="24"/>
          <w:highlight w:val="none"/>
        </w:rPr>
        <w:t>时间：2025年</w:t>
      </w:r>
      <w:r>
        <w:rPr>
          <w:rFonts w:hint="eastAsia" w:ascii="仿宋" w:hAnsi="仿宋" w:eastAsia="仿宋" w:cs="宋体"/>
          <w:color w:val="000000"/>
          <w:sz w:val="24"/>
          <w:szCs w:val="24"/>
          <w:highlight w:val="none"/>
          <w:lang w:val="en-US" w:eastAsia="zh-CN"/>
        </w:rPr>
        <w:t>09</w:t>
      </w:r>
      <w:r>
        <w:rPr>
          <w:rFonts w:hint="eastAsia" w:ascii="仿宋" w:hAnsi="仿宋" w:eastAsia="仿宋" w:cs="宋体"/>
          <w:color w:val="000000"/>
          <w:sz w:val="24"/>
          <w:szCs w:val="24"/>
          <w:highlight w:val="none"/>
        </w:rPr>
        <w:t>月</w:t>
      </w:r>
      <w:r>
        <w:rPr>
          <w:rFonts w:hint="eastAsia" w:ascii="仿宋" w:hAnsi="仿宋" w:eastAsia="仿宋" w:cs="宋体"/>
          <w:color w:val="000000"/>
          <w:sz w:val="24"/>
          <w:szCs w:val="24"/>
          <w:highlight w:val="none"/>
          <w:lang w:val="en-US" w:eastAsia="zh-CN"/>
        </w:rPr>
        <w:t>03</w:t>
      </w:r>
      <w:r>
        <w:rPr>
          <w:rFonts w:hint="eastAsia" w:ascii="仿宋" w:hAnsi="仿宋" w:eastAsia="仿宋" w:cs="宋体"/>
          <w:color w:val="000000"/>
          <w:sz w:val="24"/>
          <w:szCs w:val="24"/>
          <w:highlight w:val="none"/>
        </w:rPr>
        <w:t>日17时30分至2025年</w:t>
      </w:r>
      <w:r>
        <w:rPr>
          <w:rFonts w:hint="eastAsia" w:ascii="仿宋" w:hAnsi="仿宋" w:eastAsia="仿宋" w:cs="宋体"/>
          <w:color w:val="000000"/>
          <w:sz w:val="24"/>
          <w:szCs w:val="24"/>
          <w:highlight w:val="none"/>
          <w:lang w:val="en-US" w:eastAsia="zh-CN"/>
        </w:rPr>
        <w:t>09</w:t>
      </w:r>
      <w:r>
        <w:rPr>
          <w:rFonts w:hint="eastAsia" w:ascii="仿宋" w:hAnsi="仿宋" w:eastAsia="仿宋" w:cs="宋体"/>
          <w:color w:val="000000"/>
          <w:sz w:val="24"/>
          <w:szCs w:val="24"/>
          <w:highlight w:val="none"/>
        </w:rPr>
        <w:t>月</w:t>
      </w:r>
      <w:r>
        <w:rPr>
          <w:rFonts w:hint="eastAsia" w:ascii="仿宋" w:hAnsi="仿宋" w:eastAsia="仿宋" w:cs="宋体"/>
          <w:color w:val="000000"/>
          <w:sz w:val="24"/>
          <w:szCs w:val="24"/>
          <w:highlight w:val="none"/>
          <w:lang w:val="en-US" w:eastAsia="zh-CN"/>
        </w:rPr>
        <w:t>10</w:t>
      </w:r>
      <w:r>
        <w:rPr>
          <w:rFonts w:hint="eastAsia" w:ascii="仿宋" w:hAnsi="仿宋" w:eastAsia="仿宋" w:cs="宋体"/>
          <w:color w:val="000000"/>
          <w:sz w:val="24"/>
          <w:szCs w:val="24"/>
          <w:highlight w:val="none"/>
        </w:rPr>
        <w:t>日17时30分。</w:t>
      </w:r>
    </w:p>
    <w:p>
      <w:pPr>
        <w:spacing w:line="360" w:lineRule="auto"/>
        <w:ind w:firstLine="480" w:firstLineChars="200"/>
        <w:textAlignment w:val="baseline"/>
        <w:rPr>
          <w:rFonts w:hint="eastAsia" w:ascii="仿宋" w:hAnsi="仿宋" w:eastAsia="仿宋" w:cs="宋体"/>
          <w:color w:val="000000"/>
          <w:sz w:val="24"/>
          <w:szCs w:val="24"/>
          <w:highlight w:val="none"/>
        </w:rPr>
      </w:pPr>
      <w:r>
        <w:rPr>
          <w:rFonts w:hint="eastAsia" w:ascii="仿宋" w:hAnsi="仿宋" w:eastAsia="仿宋" w:cs="宋体"/>
          <w:color w:val="000000"/>
          <w:sz w:val="24"/>
          <w:szCs w:val="24"/>
          <w:highlight w:val="none"/>
          <w:lang w:val="en-US" w:eastAsia="zh-CN"/>
        </w:rPr>
        <w:t>5.2、</w:t>
      </w:r>
      <w:r>
        <w:rPr>
          <w:rFonts w:hint="eastAsia" w:ascii="仿宋" w:hAnsi="仿宋" w:eastAsia="仿宋" w:cs="宋体"/>
          <w:color w:val="000000"/>
          <w:sz w:val="24"/>
          <w:szCs w:val="24"/>
          <w:highlight w:val="none"/>
        </w:rPr>
        <w:t>地点：登录江苏国企阳光交易平台（网址为：https://www.jsygjy.cn）</w:t>
      </w:r>
    </w:p>
    <w:p>
      <w:pPr>
        <w:spacing w:line="360" w:lineRule="auto"/>
        <w:ind w:firstLine="480" w:firstLineChars="200"/>
        <w:textAlignment w:val="baseline"/>
        <w:rPr>
          <w:rFonts w:hint="eastAsia" w:ascii="仿宋" w:hAnsi="仿宋" w:eastAsia="仿宋" w:cs="宋体"/>
          <w:color w:val="000000"/>
          <w:sz w:val="24"/>
          <w:szCs w:val="24"/>
          <w:highlight w:val="none"/>
        </w:rPr>
      </w:pPr>
      <w:r>
        <w:rPr>
          <w:rFonts w:hint="eastAsia" w:ascii="仿宋" w:hAnsi="仿宋" w:eastAsia="仿宋" w:cs="宋体"/>
          <w:color w:val="000000"/>
          <w:sz w:val="24"/>
          <w:szCs w:val="24"/>
          <w:highlight w:val="none"/>
          <w:lang w:val="en-US" w:eastAsia="zh-CN"/>
        </w:rPr>
        <w:t>5.3、</w:t>
      </w:r>
      <w:r>
        <w:rPr>
          <w:rFonts w:hint="eastAsia" w:ascii="仿宋" w:hAnsi="仿宋" w:eastAsia="仿宋" w:cs="宋体"/>
          <w:color w:val="000000"/>
          <w:sz w:val="24"/>
          <w:szCs w:val="24"/>
          <w:highlight w:val="none"/>
        </w:rPr>
        <w:t>方式：</w:t>
      </w:r>
    </w:p>
    <w:p>
      <w:pPr>
        <w:spacing w:line="360" w:lineRule="auto"/>
        <w:ind w:firstLine="480" w:firstLineChars="200"/>
        <w:textAlignment w:val="baseline"/>
        <w:rPr>
          <w:rFonts w:hint="eastAsia" w:ascii="仿宋" w:hAnsi="仿宋" w:eastAsia="仿宋" w:cs="宋体"/>
          <w:color w:val="000000"/>
          <w:sz w:val="24"/>
          <w:szCs w:val="24"/>
          <w:highlight w:val="none"/>
        </w:rPr>
      </w:pPr>
      <w:r>
        <w:rPr>
          <w:rFonts w:hint="eastAsia" w:ascii="仿宋" w:hAnsi="仿宋" w:eastAsia="仿宋" w:cs="宋体"/>
          <w:color w:val="000000"/>
          <w:sz w:val="24"/>
          <w:szCs w:val="24"/>
          <w:highlight w:val="none"/>
        </w:rPr>
        <w:t>（一）凡有意参加响应者，请于获取时间内（北京时间，下同），登录江苏国企阳光交易平台（网址为：https://www.jsygjy.cn）按照要求进行实名会员注册、完善相关信息及选择项目、下载文件。</w:t>
      </w:r>
    </w:p>
    <w:p>
      <w:pPr>
        <w:spacing w:line="360" w:lineRule="auto"/>
        <w:ind w:firstLine="480" w:firstLineChars="200"/>
        <w:textAlignment w:val="baseline"/>
        <w:rPr>
          <w:rFonts w:hint="eastAsia" w:ascii="仿宋" w:hAnsi="仿宋" w:eastAsia="仿宋" w:cs="宋体"/>
          <w:color w:val="000000"/>
          <w:sz w:val="24"/>
          <w:szCs w:val="24"/>
          <w:highlight w:val="none"/>
        </w:rPr>
      </w:pPr>
      <w:r>
        <w:rPr>
          <w:rFonts w:hint="eastAsia" w:ascii="仿宋" w:hAnsi="仿宋" w:eastAsia="仿宋" w:cs="宋体"/>
          <w:color w:val="000000"/>
          <w:sz w:val="24"/>
          <w:szCs w:val="24"/>
          <w:highlight w:val="none"/>
        </w:rPr>
        <w:t>（二）平台网址为：https://www.jsygjy.cn。参与者首次登录平台前，须前往平台免费注册，注册成功且完善相关信息后，可以及时参与平台上所有发布的项目。</w:t>
      </w:r>
    </w:p>
    <w:p>
      <w:pPr>
        <w:spacing w:line="360" w:lineRule="auto"/>
        <w:ind w:firstLine="480" w:firstLineChars="200"/>
        <w:textAlignment w:val="baseline"/>
        <w:rPr>
          <w:rFonts w:hint="eastAsia" w:ascii="仿宋" w:hAnsi="仿宋" w:eastAsia="仿宋" w:cs="宋体"/>
          <w:color w:val="000000"/>
          <w:sz w:val="24"/>
          <w:szCs w:val="24"/>
          <w:highlight w:val="none"/>
        </w:rPr>
      </w:pPr>
      <w:r>
        <w:rPr>
          <w:rFonts w:hint="eastAsia" w:ascii="仿宋" w:hAnsi="仿宋" w:eastAsia="仿宋" w:cs="宋体"/>
          <w:color w:val="000000"/>
          <w:sz w:val="24"/>
          <w:szCs w:val="24"/>
          <w:highlight w:val="none"/>
        </w:rPr>
        <w:t>（三）参与者应充分考虑平台注册、信息检查、资料上传等所需时间。未按照本公告要求获得本项目文件的，采购代理机构不予接收其响应文件。</w:t>
      </w:r>
    </w:p>
    <w:p>
      <w:pPr>
        <w:spacing w:line="360" w:lineRule="auto"/>
        <w:ind w:firstLine="480" w:firstLineChars="200"/>
        <w:textAlignment w:val="baseline"/>
        <w:rPr>
          <w:rFonts w:hint="eastAsia" w:ascii="仿宋" w:hAnsi="仿宋" w:eastAsia="仿宋" w:cs="宋体"/>
          <w:color w:val="000000"/>
          <w:sz w:val="24"/>
          <w:szCs w:val="24"/>
          <w:highlight w:val="none"/>
        </w:rPr>
      </w:pPr>
      <w:r>
        <w:rPr>
          <w:rFonts w:hint="eastAsia" w:ascii="仿宋" w:hAnsi="仿宋" w:eastAsia="仿宋" w:cs="宋体"/>
          <w:color w:val="000000"/>
          <w:sz w:val="24"/>
          <w:szCs w:val="24"/>
          <w:highlight w:val="none"/>
        </w:rPr>
        <w:t>（四）需要发票的，可在“费用管理--发票管理”模块下载发票；平台服务费发票由江苏招采信息技术有限公司开具。非因招标代理机构或平台原因，发票一经开具不予退换。</w:t>
      </w:r>
    </w:p>
    <w:p>
      <w:pPr>
        <w:spacing w:line="360" w:lineRule="auto"/>
        <w:ind w:firstLine="480" w:firstLineChars="200"/>
        <w:textAlignment w:val="baseline"/>
        <w:rPr>
          <w:rFonts w:hint="eastAsia" w:ascii="仿宋" w:hAnsi="仿宋" w:eastAsia="仿宋" w:cs="宋体"/>
          <w:color w:val="000000"/>
          <w:sz w:val="24"/>
          <w:szCs w:val="24"/>
          <w:highlight w:val="none"/>
        </w:rPr>
      </w:pPr>
      <w:r>
        <w:rPr>
          <w:rFonts w:hint="eastAsia" w:ascii="仿宋" w:hAnsi="仿宋" w:eastAsia="仿宋" w:cs="宋体"/>
          <w:color w:val="000000"/>
          <w:sz w:val="24"/>
          <w:szCs w:val="24"/>
          <w:highlight w:val="none"/>
        </w:rPr>
        <w:t>（五）平台网站首页“帮助中心”提供操作手册，参与者可以下载并根据操作手册提示进行注册、登录等操作。供应商平台咨询电话：025-83306809（工作日8：30-11：30，13：30-17：30）。</w:t>
      </w:r>
    </w:p>
    <w:p>
      <w:pPr>
        <w:spacing w:line="360" w:lineRule="auto"/>
        <w:ind w:firstLine="480" w:firstLineChars="200"/>
        <w:textAlignment w:val="baseline"/>
        <w:rPr>
          <w:rFonts w:hint="eastAsia" w:ascii="仿宋" w:hAnsi="仿宋" w:eastAsia="仿宋" w:cs="宋体"/>
          <w:color w:val="000000"/>
          <w:sz w:val="24"/>
          <w:szCs w:val="24"/>
          <w:highlight w:val="none"/>
        </w:rPr>
      </w:pPr>
      <w:r>
        <w:rPr>
          <w:rFonts w:hint="eastAsia" w:ascii="仿宋" w:hAnsi="仿宋" w:eastAsia="仿宋" w:cs="宋体"/>
          <w:color w:val="000000"/>
          <w:sz w:val="24"/>
          <w:szCs w:val="24"/>
          <w:highlight w:val="none"/>
        </w:rPr>
        <w:t>（六）联合体响应（如允许）的，联合体各方应当指定牵头人，并授权其以自身名义在平台办理注册、下载文件等手续，其在平台的办理行为，对联合体各方均具有约束力。</w:t>
      </w:r>
    </w:p>
    <w:p>
      <w:pPr>
        <w:spacing w:line="360" w:lineRule="auto"/>
        <w:ind w:firstLine="480" w:firstLineChars="200"/>
        <w:textAlignment w:val="baseline"/>
        <w:rPr>
          <w:rFonts w:hint="eastAsia" w:ascii="仿宋" w:hAnsi="仿宋" w:eastAsia="仿宋" w:cs="宋体"/>
          <w:color w:val="000000"/>
          <w:sz w:val="24"/>
          <w:szCs w:val="24"/>
          <w:highlight w:val="none"/>
        </w:rPr>
      </w:pPr>
      <w:r>
        <w:rPr>
          <w:rFonts w:hint="eastAsia" w:ascii="仿宋" w:hAnsi="仿宋" w:eastAsia="仿宋" w:cs="宋体"/>
          <w:color w:val="000000"/>
          <w:sz w:val="24"/>
          <w:szCs w:val="24"/>
          <w:highlight w:val="none"/>
        </w:rPr>
        <w:t>5.4本项目文件售价：免费</w:t>
      </w:r>
    </w:p>
    <w:p>
      <w:pPr>
        <w:spacing w:line="360" w:lineRule="auto"/>
        <w:ind w:firstLine="480" w:firstLineChars="200"/>
        <w:textAlignment w:val="baseline"/>
        <w:rPr>
          <w:rFonts w:hint="eastAsia" w:ascii="仿宋" w:hAnsi="仿宋" w:eastAsia="仿宋" w:cs="宋体"/>
          <w:color w:val="000000"/>
          <w:sz w:val="24"/>
          <w:szCs w:val="24"/>
          <w:highlight w:val="none"/>
        </w:rPr>
      </w:pPr>
      <w:r>
        <w:rPr>
          <w:rFonts w:hint="eastAsia" w:ascii="仿宋" w:hAnsi="仿宋" w:eastAsia="仿宋" w:cs="宋体"/>
          <w:color w:val="000000"/>
          <w:sz w:val="24"/>
          <w:szCs w:val="24"/>
          <w:highlight w:val="none"/>
        </w:rPr>
        <w:t>5.5本项目收取平台服务费：</w:t>
      </w:r>
      <w:r>
        <w:rPr>
          <w:rFonts w:hint="eastAsia" w:ascii="仿宋" w:hAnsi="仿宋" w:eastAsia="仿宋" w:cs="宋体"/>
          <w:color w:val="000000"/>
          <w:sz w:val="24"/>
          <w:szCs w:val="24"/>
          <w:highlight w:val="none"/>
          <w:lang w:val="en-US" w:eastAsia="zh-CN"/>
        </w:rPr>
        <w:t>400</w:t>
      </w:r>
      <w:r>
        <w:rPr>
          <w:rFonts w:hint="eastAsia" w:ascii="仿宋" w:hAnsi="仿宋" w:eastAsia="仿宋" w:cs="宋体"/>
          <w:color w:val="000000"/>
          <w:sz w:val="24"/>
          <w:szCs w:val="24"/>
          <w:highlight w:val="none"/>
        </w:rPr>
        <w:t>元。</w:t>
      </w:r>
    </w:p>
    <w:p>
      <w:pPr>
        <w:spacing w:line="360" w:lineRule="auto"/>
        <w:ind w:firstLine="482" w:firstLineChars="200"/>
        <w:textAlignment w:val="baseline"/>
        <w:rPr>
          <w:rFonts w:hint="eastAsia" w:ascii="仿宋" w:hAnsi="仿宋" w:eastAsia="仿宋" w:cs="宋体"/>
          <w:b/>
          <w:bCs/>
          <w:color w:val="auto"/>
          <w:sz w:val="24"/>
          <w:highlight w:val="none"/>
          <w:lang w:val="en-US" w:eastAsia="zh-CN"/>
        </w:rPr>
      </w:pPr>
      <w:r>
        <w:rPr>
          <w:rFonts w:hint="eastAsia" w:ascii="仿宋" w:hAnsi="仿宋" w:eastAsia="仿宋" w:cs="宋体"/>
          <w:b/>
          <w:bCs/>
          <w:color w:val="auto"/>
          <w:sz w:val="24"/>
          <w:highlight w:val="none"/>
          <w:lang w:val="en-US" w:eastAsia="zh-CN"/>
        </w:rPr>
        <w:t>注：为保证本项目信息采集，请参与本项目的潜在投标人在2025年09月24日09时30分前进行“人保e采”外网(https://ec.picc.com/)项目供应商征集，即通过“人保e采”管理系统完成供应商入库即可。(应答文件中提供“人保e采”管理系统已注册或已入库的截图，并加盖供应商公章)</w:t>
      </w:r>
    </w:p>
    <w:p>
      <w:pPr>
        <w:spacing w:line="360" w:lineRule="auto"/>
        <w:ind w:firstLine="482" w:firstLineChars="200"/>
        <w:textAlignment w:val="baseline"/>
        <w:rPr>
          <w:rFonts w:hint="default" w:ascii="仿宋" w:hAnsi="仿宋" w:eastAsia="仿宋" w:cs="宋体"/>
          <w:color w:val="auto"/>
          <w:sz w:val="24"/>
          <w:highlight w:val="none"/>
          <w:lang w:val="en-US" w:eastAsia="zh-CN"/>
        </w:rPr>
      </w:pPr>
      <w:r>
        <w:rPr>
          <w:rFonts w:hint="eastAsia" w:ascii="仿宋" w:hAnsi="仿宋" w:eastAsia="仿宋" w:cs="宋体"/>
          <w:b/>
          <w:bCs/>
          <w:color w:val="auto"/>
          <w:sz w:val="24"/>
          <w:highlight w:val="none"/>
        </w:rPr>
        <w:t>注:“人保e采”管理系统供应商注册入库详情可在登录采购门户后查阅《人保e采管理系统供应商入库操作指南》。</w:t>
      </w:r>
    </w:p>
    <w:p>
      <w:pPr>
        <w:pStyle w:val="3"/>
        <w:rPr>
          <w:rFonts w:hint="eastAsia" w:ascii="仿宋" w:hAnsi="仿宋" w:cs="宋体"/>
          <w:color w:val="000000"/>
          <w:highlight w:val="none"/>
        </w:rPr>
      </w:pPr>
      <w:bookmarkStart w:id="31" w:name="_Toc109124228"/>
      <w:bookmarkStart w:id="32" w:name="_Toc31250"/>
      <w:bookmarkStart w:id="33" w:name="_Toc7435"/>
      <w:r>
        <w:rPr>
          <w:rFonts w:hint="eastAsia" w:ascii="仿宋" w:hAnsi="仿宋" w:cs="宋体"/>
          <w:color w:val="000000"/>
          <w:highlight w:val="none"/>
        </w:rPr>
        <w:t>六、投标文件的递交</w:t>
      </w:r>
      <w:bookmarkEnd w:id="31"/>
      <w:bookmarkEnd w:id="32"/>
      <w:bookmarkEnd w:id="33"/>
    </w:p>
    <w:p>
      <w:pPr>
        <w:spacing w:line="360" w:lineRule="auto"/>
        <w:ind w:firstLine="480" w:firstLineChars="200"/>
        <w:textAlignment w:val="baseline"/>
        <w:rPr>
          <w:rFonts w:ascii="仿宋" w:hAnsi="仿宋" w:eastAsia="仿宋" w:cs="宋体"/>
          <w:color w:val="auto"/>
          <w:sz w:val="24"/>
          <w:szCs w:val="24"/>
          <w:highlight w:val="none"/>
        </w:rPr>
      </w:pPr>
      <w:r>
        <w:rPr>
          <w:rFonts w:hint="eastAsia" w:ascii="仿宋" w:hAnsi="仿宋" w:eastAsia="仿宋" w:cs="宋体"/>
          <w:color w:val="000000"/>
          <w:sz w:val="24"/>
          <w:szCs w:val="24"/>
          <w:highlight w:val="none"/>
        </w:rPr>
        <w:t>6.1投标</w:t>
      </w:r>
      <w:r>
        <w:rPr>
          <w:rFonts w:hint="eastAsia" w:ascii="仿宋" w:hAnsi="仿宋" w:eastAsia="仿宋" w:cs="宋体"/>
          <w:color w:val="000000"/>
          <w:sz w:val="24"/>
          <w:szCs w:val="24"/>
          <w:highlight w:val="none"/>
          <w:lang w:val="en-US" w:eastAsia="zh-CN"/>
        </w:rPr>
        <w:t>文件递交</w:t>
      </w:r>
      <w:r>
        <w:rPr>
          <w:rFonts w:hint="eastAsia" w:ascii="仿宋" w:hAnsi="仿宋" w:eastAsia="仿宋" w:cs="宋体"/>
          <w:color w:val="000000"/>
          <w:sz w:val="24"/>
          <w:szCs w:val="24"/>
          <w:highlight w:val="none"/>
        </w:rPr>
        <w:t>截止时间：</w:t>
      </w:r>
      <w:r>
        <w:rPr>
          <w:rFonts w:hint="eastAsia" w:ascii="仿宋" w:hAnsi="仿宋" w:eastAsia="仿宋" w:cs="宋体"/>
          <w:color w:val="auto"/>
          <w:sz w:val="24"/>
          <w:szCs w:val="24"/>
          <w:highlight w:val="none"/>
          <w:u w:val="single"/>
        </w:rPr>
        <w:t>20</w:t>
      </w:r>
      <w:r>
        <w:rPr>
          <w:rFonts w:hint="eastAsia" w:ascii="仿宋" w:hAnsi="仿宋" w:eastAsia="仿宋" w:cs="宋体"/>
          <w:color w:val="auto"/>
          <w:sz w:val="24"/>
          <w:szCs w:val="24"/>
          <w:highlight w:val="none"/>
          <w:u w:val="single"/>
          <w:lang w:val="en-US" w:eastAsia="zh-CN"/>
        </w:rPr>
        <w:t>25</w:t>
      </w:r>
      <w:r>
        <w:rPr>
          <w:rFonts w:hint="eastAsia" w:ascii="仿宋" w:hAnsi="仿宋" w:eastAsia="仿宋" w:cs="宋体"/>
          <w:color w:val="auto"/>
          <w:sz w:val="24"/>
          <w:szCs w:val="24"/>
          <w:highlight w:val="none"/>
          <w:u w:val="single"/>
        </w:rPr>
        <w:t>年</w:t>
      </w:r>
      <w:r>
        <w:rPr>
          <w:rFonts w:hint="eastAsia" w:ascii="仿宋" w:hAnsi="仿宋" w:eastAsia="仿宋" w:cs="宋体"/>
          <w:color w:val="auto"/>
          <w:sz w:val="24"/>
          <w:szCs w:val="24"/>
          <w:highlight w:val="none"/>
          <w:u w:val="single"/>
          <w:lang w:val="en-US" w:eastAsia="zh-CN"/>
        </w:rPr>
        <w:t>09</w:t>
      </w:r>
      <w:r>
        <w:rPr>
          <w:rFonts w:hint="eastAsia" w:ascii="仿宋" w:hAnsi="仿宋" w:eastAsia="仿宋" w:cs="宋体"/>
          <w:color w:val="auto"/>
          <w:sz w:val="24"/>
          <w:szCs w:val="24"/>
          <w:highlight w:val="none"/>
          <w:u w:val="single"/>
        </w:rPr>
        <w:t>月</w:t>
      </w:r>
      <w:r>
        <w:rPr>
          <w:rFonts w:hint="eastAsia" w:ascii="仿宋" w:hAnsi="仿宋" w:eastAsia="仿宋" w:cs="宋体"/>
          <w:color w:val="auto"/>
          <w:sz w:val="24"/>
          <w:szCs w:val="24"/>
          <w:highlight w:val="none"/>
          <w:u w:val="single"/>
          <w:lang w:val="en-US" w:eastAsia="zh-CN"/>
        </w:rPr>
        <w:t>24</w:t>
      </w:r>
      <w:r>
        <w:rPr>
          <w:rFonts w:hint="eastAsia" w:ascii="仿宋" w:hAnsi="仿宋" w:eastAsia="仿宋" w:cs="宋体"/>
          <w:color w:val="auto"/>
          <w:sz w:val="24"/>
          <w:szCs w:val="24"/>
          <w:highlight w:val="none"/>
          <w:u w:val="single"/>
        </w:rPr>
        <w:t>日</w:t>
      </w:r>
      <w:r>
        <w:rPr>
          <w:rFonts w:hint="eastAsia" w:ascii="仿宋" w:hAnsi="仿宋" w:eastAsia="仿宋" w:cs="宋体"/>
          <w:color w:val="auto"/>
          <w:sz w:val="24"/>
          <w:szCs w:val="24"/>
          <w:highlight w:val="none"/>
          <w:u w:val="single"/>
          <w:lang w:val="en-US" w:eastAsia="zh-CN"/>
        </w:rPr>
        <w:t>09</w:t>
      </w:r>
      <w:r>
        <w:rPr>
          <w:rFonts w:hint="eastAsia" w:ascii="仿宋" w:hAnsi="仿宋" w:eastAsia="仿宋" w:cs="宋体"/>
          <w:color w:val="auto"/>
          <w:sz w:val="24"/>
          <w:szCs w:val="24"/>
          <w:highlight w:val="none"/>
          <w:u w:val="single"/>
        </w:rPr>
        <w:t>时</w:t>
      </w:r>
      <w:r>
        <w:rPr>
          <w:rFonts w:hint="eastAsia" w:ascii="仿宋" w:hAnsi="仿宋" w:eastAsia="仿宋" w:cs="宋体"/>
          <w:color w:val="auto"/>
          <w:sz w:val="24"/>
          <w:szCs w:val="24"/>
          <w:highlight w:val="none"/>
          <w:u w:val="single"/>
          <w:lang w:val="en-US" w:eastAsia="zh-CN"/>
        </w:rPr>
        <w:t>30</w:t>
      </w:r>
      <w:r>
        <w:rPr>
          <w:rFonts w:hint="eastAsia" w:ascii="仿宋" w:hAnsi="仿宋" w:eastAsia="仿宋" w:cs="宋体"/>
          <w:color w:val="auto"/>
          <w:sz w:val="24"/>
          <w:szCs w:val="24"/>
          <w:highlight w:val="none"/>
          <w:u w:val="single"/>
        </w:rPr>
        <w:t>分00秒</w:t>
      </w:r>
      <w:r>
        <w:rPr>
          <w:rFonts w:hint="eastAsia" w:ascii="仿宋" w:hAnsi="仿宋" w:eastAsia="仿宋" w:cs="宋体"/>
          <w:color w:val="auto"/>
          <w:sz w:val="24"/>
          <w:szCs w:val="24"/>
          <w:highlight w:val="none"/>
        </w:rPr>
        <w:t>。</w:t>
      </w:r>
    </w:p>
    <w:p>
      <w:pPr>
        <w:spacing w:line="360" w:lineRule="auto"/>
        <w:ind w:firstLine="480" w:firstLineChars="200"/>
        <w:textAlignment w:val="baseline"/>
        <w:rPr>
          <w:rFonts w:hint="eastAsia" w:ascii="仿宋" w:hAnsi="仿宋" w:eastAsia="仿宋" w:cs="宋体"/>
          <w:b/>
          <w:bCs/>
          <w:color w:val="000000"/>
          <w:sz w:val="24"/>
          <w:szCs w:val="24"/>
          <w:highlight w:val="none"/>
        </w:rPr>
      </w:pPr>
      <w:r>
        <w:rPr>
          <w:rFonts w:hint="eastAsia" w:ascii="仿宋" w:hAnsi="仿宋" w:eastAsia="仿宋" w:cs="宋体"/>
          <w:color w:val="000000"/>
          <w:sz w:val="24"/>
          <w:szCs w:val="24"/>
          <w:highlight w:val="none"/>
        </w:rPr>
        <w:t>6.2投标文件递交</w:t>
      </w:r>
      <w:r>
        <w:rPr>
          <w:rFonts w:hint="eastAsia" w:ascii="仿宋" w:hAnsi="仿宋" w:eastAsia="仿宋" w:cs="宋体"/>
          <w:color w:val="000000"/>
          <w:sz w:val="24"/>
          <w:szCs w:val="24"/>
          <w:highlight w:val="none"/>
          <w:lang w:val="en-US" w:eastAsia="zh-CN"/>
        </w:rPr>
        <w:t>地点</w:t>
      </w:r>
      <w:r>
        <w:rPr>
          <w:rFonts w:hint="eastAsia" w:ascii="仿宋" w:hAnsi="仿宋" w:eastAsia="仿宋" w:cs="宋体"/>
          <w:color w:val="000000"/>
          <w:sz w:val="24"/>
          <w:szCs w:val="24"/>
          <w:highlight w:val="none"/>
        </w:rPr>
        <w:t>：</w:t>
      </w:r>
      <w:r>
        <w:rPr>
          <w:rFonts w:hint="eastAsia" w:ascii="仿宋" w:hAnsi="仿宋" w:eastAsia="仿宋" w:cs="宋体"/>
          <w:color w:val="auto"/>
          <w:sz w:val="24"/>
          <w:szCs w:val="24"/>
          <w:highlight w:val="none"/>
        </w:rPr>
        <w:t>须现场递交至</w:t>
      </w:r>
      <w:r>
        <w:rPr>
          <w:rFonts w:hint="eastAsia" w:ascii="仿宋" w:hAnsi="仿宋" w:eastAsia="仿宋" w:cs="宋体"/>
          <w:color w:val="auto"/>
          <w:sz w:val="24"/>
          <w:szCs w:val="24"/>
          <w:highlight w:val="none"/>
          <w:lang w:val="en-US" w:eastAsia="zh-CN"/>
        </w:rPr>
        <w:t>江苏省连云港市海州区苍梧路1号3</w:t>
      </w:r>
      <w:r>
        <w:rPr>
          <w:rFonts w:hint="eastAsia" w:ascii="仿宋" w:hAnsi="仿宋" w:eastAsia="仿宋" w:cs="宋体"/>
          <w:color w:val="auto"/>
          <w:sz w:val="24"/>
          <w:szCs w:val="24"/>
          <w:highlight w:val="none"/>
          <w:lang w:eastAsia="zh-CN"/>
        </w:rPr>
        <w:t>楼会议室</w:t>
      </w:r>
      <w:r>
        <w:rPr>
          <w:rFonts w:hint="eastAsia" w:ascii="仿宋" w:hAnsi="仿宋" w:eastAsia="仿宋" w:cs="宋体"/>
          <w:color w:val="000000"/>
          <w:sz w:val="24"/>
          <w:szCs w:val="24"/>
          <w:highlight w:val="none"/>
        </w:rPr>
        <w:t>，</w:t>
      </w:r>
      <w:r>
        <w:rPr>
          <w:rFonts w:hint="eastAsia" w:ascii="仿宋" w:hAnsi="仿宋" w:eastAsia="仿宋" w:cs="宋体"/>
          <w:b/>
          <w:bCs/>
          <w:color w:val="000000"/>
          <w:sz w:val="24"/>
          <w:szCs w:val="24"/>
          <w:highlight w:val="none"/>
        </w:rPr>
        <w:t>逾期送达或者未送达指定地点或者未按照招标文件要求封装的纸质投标文件不予接收。</w:t>
      </w:r>
      <w:bookmarkStart w:id="34" w:name="_Toc109124229"/>
      <w:bookmarkStart w:id="35" w:name="_Toc3941"/>
    </w:p>
    <w:p>
      <w:pPr>
        <w:spacing w:line="360" w:lineRule="auto"/>
        <w:ind w:firstLine="480" w:firstLineChars="200"/>
        <w:textAlignment w:val="baseline"/>
        <w:rPr>
          <w:rFonts w:hint="eastAsia" w:ascii="仿宋" w:hAnsi="仿宋" w:eastAsia="仿宋" w:cs="宋体"/>
          <w:b w:val="0"/>
          <w:bCs w:val="0"/>
          <w:color w:val="000000"/>
          <w:kern w:val="2"/>
          <w:sz w:val="24"/>
          <w:szCs w:val="24"/>
          <w:highlight w:val="none"/>
          <w:lang w:val="en-US" w:eastAsia="zh-CN" w:bidi="ar-SA"/>
        </w:rPr>
      </w:pPr>
      <w:r>
        <w:rPr>
          <w:rFonts w:hint="eastAsia" w:ascii="仿宋" w:hAnsi="仿宋" w:eastAsia="仿宋" w:cs="宋体"/>
          <w:b w:val="0"/>
          <w:color w:val="000000"/>
          <w:kern w:val="2"/>
          <w:sz w:val="24"/>
          <w:szCs w:val="24"/>
          <w:highlight w:val="none"/>
          <w:lang w:val="en-US" w:eastAsia="zh-CN" w:bidi="ar-SA"/>
        </w:rPr>
        <w:t>6.3</w:t>
      </w:r>
      <w:r>
        <w:rPr>
          <w:rFonts w:hint="eastAsia" w:ascii="仿宋" w:hAnsi="仿宋" w:eastAsia="仿宋" w:cs="宋体"/>
          <w:b/>
          <w:bCs/>
          <w:color w:val="000000"/>
          <w:kern w:val="2"/>
          <w:sz w:val="24"/>
          <w:szCs w:val="24"/>
          <w:highlight w:val="none"/>
          <w:lang w:val="en-US" w:eastAsia="zh-CN" w:bidi="ar-SA"/>
        </w:rPr>
        <w:t>本项目将于上述同一时间、地点进行开标</w:t>
      </w:r>
      <w:r>
        <w:rPr>
          <w:rFonts w:hint="eastAsia" w:ascii="仿宋" w:hAnsi="仿宋" w:eastAsia="仿宋" w:cs="宋体"/>
          <w:b w:val="0"/>
          <w:bCs w:val="0"/>
          <w:color w:val="000000"/>
          <w:kern w:val="2"/>
          <w:sz w:val="24"/>
          <w:szCs w:val="24"/>
          <w:highlight w:val="none"/>
          <w:lang w:val="en-US" w:eastAsia="zh-CN" w:bidi="ar-SA"/>
        </w:rPr>
        <w:t>，投标人代表准时参加。</w:t>
      </w:r>
    </w:p>
    <w:p>
      <w:pPr>
        <w:spacing w:line="360" w:lineRule="auto"/>
        <w:ind w:firstLine="480" w:firstLineChars="200"/>
        <w:textAlignment w:val="baseline"/>
        <w:rPr>
          <w:rFonts w:hint="eastAsia" w:ascii="仿宋" w:hAnsi="仿宋" w:eastAsia="仿宋" w:cs="宋体"/>
          <w:b/>
          <w:bCs/>
          <w:color w:val="000000"/>
          <w:kern w:val="2"/>
          <w:sz w:val="24"/>
          <w:szCs w:val="24"/>
          <w:highlight w:val="none"/>
          <w:lang w:val="en-US" w:eastAsia="zh-CN" w:bidi="ar-SA"/>
        </w:rPr>
      </w:pPr>
      <w:r>
        <w:rPr>
          <w:rFonts w:hint="eastAsia" w:ascii="仿宋" w:hAnsi="仿宋" w:eastAsia="仿宋" w:cs="宋体"/>
          <w:b w:val="0"/>
          <w:color w:val="000000"/>
          <w:kern w:val="2"/>
          <w:sz w:val="24"/>
          <w:szCs w:val="24"/>
          <w:highlight w:val="none"/>
          <w:lang w:val="en-US" w:eastAsia="zh-CN" w:bidi="ar-SA"/>
        </w:rPr>
        <w:t>6.4</w:t>
      </w:r>
      <w:r>
        <w:rPr>
          <w:rFonts w:hint="eastAsia" w:ascii="仿宋" w:hAnsi="仿宋" w:eastAsia="仿宋" w:cs="宋体"/>
          <w:b/>
          <w:bCs/>
          <w:color w:val="000000"/>
          <w:kern w:val="2"/>
          <w:sz w:val="24"/>
          <w:szCs w:val="24"/>
          <w:highlight w:val="none"/>
          <w:lang w:val="en-US" w:eastAsia="zh-CN" w:bidi="ar-SA"/>
        </w:rPr>
        <w:t>出现以下情形之一时，招标人/招标代理机构不予接收投标文件：</w:t>
      </w:r>
    </w:p>
    <w:p>
      <w:pPr>
        <w:spacing w:line="360" w:lineRule="auto"/>
        <w:ind w:firstLine="480" w:firstLineChars="200"/>
        <w:textAlignment w:val="baseline"/>
        <w:rPr>
          <w:rFonts w:hint="eastAsia" w:ascii="仿宋" w:hAnsi="仿宋" w:eastAsia="仿宋" w:cs="宋体"/>
          <w:b w:val="0"/>
          <w:color w:val="000000"/>
          <w:kern w:val="2"/>
          <w:sz w:val="24"/>
          <w:szCs w:val="24"/>
          <w:highlight w:val="none"/>
          <w:lang w:val="en-US" w:eastAsia="zh-CN" w:bidi="ar-SA"/>
        </w:rPr>
      </w:pPr>
      <w:r>
        <w:rPr>
          <w:rFonts w:hint="eastAsia" w:ascii="仿宋" w:hAnsi="仿宋" w:eastAsia="仿宋" w:cs="宋体"/>
          <w:b w:val="0"/>
          <w:color w:val="000000"/>
          <w:kern w:val="2"/>
          <w:sz w:val="24"/>
          <w:szCs w:val="24"/>
          <w:highlight w:val="none"/>
          <w:lang w:val="en-US" w:eastAsia="zh-CN" w:bidi="ar-SA"/>
        </w:rPr>
        <w:t>6.4.1  逾期送达或者未送达指定地点的；</w:t>
      </w:r>
    </w:p>
    <w:p>
      <w:pPr>
        <w:spacing w:line="360" w:lineRule="auto"/>
        <w:ind w:firstLine="480" w:firstLineChars="200"/>
        <w:textAlignment w:val="baseline"/>
        <w:rPr>
          <w:rFonts w:hint="eastAsia" w:ascii="仿宋" w:hAnsi="仿宋" w:eastAsia="仿宋" w:cs="宋体"/>
          <w:b w:val="0"/>
          <w:color w:val="000000"/>
          <w:kern w:val="2"/>
          <w:sz w:val="24"/>
          <w:szCs w:val="24"/>
          <w:highlight w:val="none"/>
          <w:lang w:val="en-US" w:eastAsia="zh-CN" w:bidi="ar-SA"/>
        </w:rPr>
      </w:pPr>
      <w:r>
        <w:rPr>
          <w:rFonts w:hint="eastAsia" w:ascii="仿宋" w:hAnsi="仿宋" w:eastAsia="仿宋" w:cs="宋体"/>
          <w:b w:val="0"/>
          <w:color w:val="000000"/>
          <w:kern w:val="2"/>
          <w:sz w:val="24"/>
          <w:szCs w:val="24"/>
          <w:highlight w:val="none"/>
          <w:lang w:val="en-US" w:eastAsia="zh-CN" w:bidi="ar-SA"/>
        </w:rPr>
        <w:t>6.4.2  未按照招标文件要求密封的；</w:t>
      </w:r>
    </w:p>
    <w:p>
      <w:pPr>
        <w:spacing w:line="360" w:lineRule="auto"/>
        <w:ind w:firstLine="480" w:firstLineChars="200"/>
        <w:textAlignment w:val="baseline"/>
        <w:rPr>
          <w:rFonts w:hint="eastAsia" w:ascii="仿宋" w:hAnsi="仿宋" w:eastAsia="仿宋" w:cs="宋体"/>
          <w:color w:val="000000"/>
          <w:sz w:val="24"/>
          <w:szCs w:val="24"/>
          <w:highlight w:val="none"/>
        </w:rPr>
      </w:pPr>
      <w:r>
        <w:rPr>
          <w:rFonts w:hint="eastAsia" w:ascii="仿宋" w:hAnsi="仿宋" w:eastAsia="仿宋" w:cs="宋体"/>
          <w:b w:val="0"/>
          <w:color w:val="000000"/>
          <w:kern w:val="2"/>
          <w:sz w:val="24"/>
          <w:szCs w:val="24"/>
          <w:highlight w:val="none"/>
          <w:lang w:val="en-US" w:eastAsia="zh-CN" w:bidi="ar-SA"/>
        </w:rPr>
        <w:t>6.4.3  未按照招标公告要求获取招标文件的。</w:t>
      </w:r>
    </w:p>
    <w:p>
      <w:pPr>
        <w:pStyle w:val="3"/>
        <w:rPr>
          <w:rFonts w:hint="eastAsia" w:ascii="仿宋" w:hAnsi="仿宋" w:cs="宋体"/>
          <w:color w:val="000000"/>
          <w:highlight w:val="none"/>
        </w:rPr>
      </w:pPr>
      <w:bookmarkStart w:id="36" w:name="_Toc23758"/>
      <w:r>
        <w:rPr>
          <w:rFonts w:hint="eastAsia" w:ascii="仿宋" w:hAnsi="仿宋" w:cs="宋体"/>
          <w:color w:val="000000"/>
          <w:highlight w:val="none"/>
          <w:lang w:val="en-US" w:eastAsia="zh-CN"/>
        </w:rPr>
        <w:t>七</w:t>
      </w:r>
      <w:r>
        <w:rPr>
          <w:rFonts w:hint="eastAsia" w:ascii="仿宋" w:hAnsi="仿宋" w:cs="宋体"/>
          <w:color w:val="000000"/>
          <w:highlight w:val="none"/>
        </w:rPr>
        <w:t>、发布公告的媒介</w:t>
      </w:r>
      <w:bookmarkEnd w:id="34"/>
      <w:bookmarkEnd w:id="35"/>
      <w:bookmarkEnd w:id="36"/>
    </w:p>
    <w:p>
      <w:pPr>
        <w:spacing w:line="360" w:lineRule="auto"/>
        <w:ind w:firstLine="480" w:firstLineChars="200"/>
        <w:textAlignment w:val="baseline"/>
        <w:rPr>
          <w:rFonts w:hint="eastAsia" w:ascii="仿宋" w:hAnsi="仿宋" w:eastAsia="仿宋" w:cs="宋体"/>
          <w:color w:val="000000"/>
          <w:sz w:val="24"/>
          <w:szCs w:val="24"/>
          <w:highlight w:val="none"/>
        </w:rPr>
      </w:pPr>
      <w:r>
        <w:rPr>
          <w:rFonts w:hint="eastAsia" w:ascii="仿宋" w:hAnsi="仿宋" w:eastAsia="仿宋" w:cs="宋体"/>
          <w:color w:val="000000"/>
          <w:sz w:val="24"/>
          <w:szCs w:val="24"/>
          <w:highlight w:val="none"/>
        </w:rPr>
        <w:t>本项目招标公告同时在</w:t>
      </w:r>
      <w:r>
        <w:rPr>
          <w:rFonts w:hint="eastAsia" w:ascii="仿宋" w:hAnsi="仿宋" w:eastAsia="仿宋" w:cs="宋体"/>
          <w:color w:val="auto"/>
          <w:sz w:val="24"/>
          <w:highlight w:val="none"/>
          <w:u w:val="single"/>
        </w:rPr>
        <w:t>“人保e采”外网门户（https://ec.picc.com/）、中国招标投标公共服务平台（http：//www.cebpubservice.com/）、江苏省招标投标公共服务平台</w:t>
      </w:r>
      <w:r>
        <w:rPr>
          <w:rFonts w:hint="eastAsia" w:ascii="仿宋" w:hAnsi="仿宋" w:eastAsia="仿宋" w:cs="宋体"/>
          <w:color w:val="auto"/>
          <w:sz w:val="24"/>
          <w:highlight w:val="none"/>
          <w:u w:val="single"/>
          <w:lang w:eastAsia="zh-CN"/>
        </w:rPr>
        <w:t>（https://www.jszbtb.com）、</w:t>
      </w:r>
      <w:r>
        <w:rPr>
          <w:rFonts w:hint="eastAsia" w:ascii="仿宋" w:hAnsi="仿宋" w:eastAsia="仿宋" w:cs="宋体"/>
          <w:color w:val="auto"/>
          <w:sz w:val="24"/>
          <w:highlight w:val="none"/>
          <w:u w:val="single"/>
        </w:rPr>
        <w:t>中国金融集中采购网（http://www.cfcpn.com）</w:t>
      </w:r>
      <w:r>
        <w:rPr>
          <w:rFonts w:hint="eastAsia" w:ascii="仿宋" w:hAnsi="仿宋" w:eastAsia="仿宋" w:cs="宋体"/>
          <w:color w:val="000000"/>
          <w:sz w:val="24"/>
          <w:szCs w:val="24"/>
          <w:highlight w:val="none"/>
        </w:rPr>
        <w:t>上发布，除上述外，招标人/招标代理机构不在其他任何网站、论坛等媒介上发布任何招标采购信息，其他任何媒介上转载的、以招标人/招标代理机构为采购主体的招标采购信息均为非法转载，均为无效。对于非法转载、篡改招标公告信息的组织或个人，招标人/招标代理机构保留追究其法律责任的权利。</w:t>
      </w:r>
    </w:p>
    <w:p>
      <w:pPr>
        <w:pStyle w:val="3"/>
        <w:rPr>
          <w:rFonts w:hint="eastAsia" w:ascii="仿宋" w:hAnsi="仿宋" w:cs="宋体"/>
          <w:color w:val="000000"/>
          <w:highlight w:val="none"/>
        </w:rPr>
      </w:pPr>
      <w:bookmarkStart w:id="37" w:name="_Toc24187"/>
      <w:bookmarkStart w:id="38" w:name="_Toc24589"/>
      <w:bookmarkStart w:id="39" w:name="_Toc26408"/>
      <w:bookmarkStart w:id="40" w:name="_Toc20415"/>
      <w:bookmarkStart w:id="41" w:name="_Toc7046"/>
      <w:bookmarkStart w:id="42" w:name="_Toc109124230"/>
      <w:r>
        <w:rPr>
          <w:rFonts w:hint="eastAsia" w:ascii="仿宋" w:hAnsi="仿宋" w:cs="宋体"/>
          <w:color w:val="000000"/>
          <w:highlight w:val="none"/>
          <w:lang w:val="en-US" w:eastAsia="zh-CN"/>
        </w:rPr>
        <w:t>八</w:t>
      </w:r>
      <w:r>
        <w:rPr>
          <w:rFonts w:hint="eastAsia" w:ascii="仿宋" w:hAnsi="仿宋" w:cs="宋体"/>
          <w:color w:val="000000"/>
          <w:highlight w:val="none"/>
        </w:rPr>
        <w:t>、联系方式</w:t>
      </w:r>
      <w:bookmarkEnd w:id="37"/>
      <w:bookmarkEnd w:id="38"/>
      <w:bookmarkEnd w:id="39"/>
      <w:bookmarkEnd w:id="40"/>
      <w:bookmarkEnd w:id="41"/>
      <w:bookmarkEnd w:id="42"/>
    </w:p>
    <w:p>
      <w:pPr>
        <w:spacing w:line="360" w:lineRule="auto"/>
        <w:ind w:firstLine="480" w:firstLineChars="200"/>
        <w:textAlignment w:val="baseline"/>
        <w:rPr>
          <w:rFonts w:hint="eastAsia" w:ascii="仿宋" w:hAnsi="仿宋" w:eastAsia="仿宋" w:cs="宋体"/>
          <w:b w:val="0"/>
          <w:bCs/>
          <w:color w:val="auto"/>
          <w:sz w:val="24"/>
          <w:szCs w:val="24"/>
          <w:highlight w:val="none"/>
          <w:lang w:eastAsia="zh-CN"/>
        </w:rPr>
      </w:pPr>
      <w:r>
        <w:rPr>
          <w:rFonts w:hint="eastAsia" w:ascii="仿宋" w:hAnsi="仿宋" w:eastAsia="仿宋" w:cs="宋体"/>
          <w:b w:val="0"/>
          <w:bCs/>
          <w:color w:val="auto"/>
          <w:sz w:val="24"/>
          <w:szCs w:val="24"/>
          <w:highlight w:val="none"/>
        </w:rPr>
        <w:t>招标人：</w:t>
      </w:r>
      <w:r>
        <w:rPr>
          <w:rFonts w:hint="eastAsia" w:ascii="仿宋" w:hAnsi="仿宋" w:eastAsia="仿宋" w:cs="宋体"/>
          <w:b w:val="0"/>
          <w:bCs/>
          <w:color w:val="auto"/>
          <w:sz w:val="24"/>
          <w:szCs w:val="24"/>
          <w:highlight w:val="none"/>
          <w:lang w:eastAsia="zh-CN"/>
        </w:rPr>
        <w:t>中国人民财产保险股份有限公司连云港市分公司</w:t>
      </w:r>
    </w:p>
    <w:p>
      <w:pPr>
        <w:spacing w:line="360" w:lineRule="auto"/>
        <w:ind w:firstLine="480" w:firstLineChars="200"/>
        <w:textAlignment w:val="baseline"/>
        <w:rPr>
          <w:rFonts w:hint="eastAsia" w:ascii="仿宋" w:hAnsi="仿宋" w:eastAsia="仿宋" w:cs="宋体"/>
          <w:b w:val="0"/>
          <w:bCs/>
          <w:color w:val="auto"/>
          <w:sz w:val="24"/>
          <w:szCs w:val="24"/>
          <w:highlight w:val="none"/>
          <w:lang w:val="en-US" w:eastAsia="zh-CN"/>
        </w:rPr>
      </w:pPr>
      <w:r>
        <w:rPr>
          <w:rFonts w:hint="eastAsia" w:ascii="仿宋" w:hAnsi="仿宋" w:eastAsia="仿宋" w:cs="宋体"/>
          <w:b w:val="0"/>
          <w:bCs/>
          <w:color w:val="auto"/>
          <w:sz w:val="24"/>
          <w:szCs w:val="24"/>
          <w:highlight w:val="none"/>
          <w:lang w:eastAsia="zh-CN"/>
        </w:rPr>
        <w:t>地址：</w:t>
      </w:r>
      <w:r>
        <w:rPr>
          <w:rFonts w:hint="eastAsia" w:ascii="仿宋" w:hAnsi="仿宋" w:eastAsia="仿宋" w:cs="宋体"/>
          <w:b w:val="0"/>
          <w:bCs/>
          <w:color w:val="auto"/>
          <w:sz w:val="24"/>
          <w:szCs w:val="24"/>
          <w:highlight w:val="none"/>
          <w:lang w:val="en-US" w:eastAsia="zh-CN"/>
        </w:rPr>
        <w:t>江苏省连云港市海州区苍梧路1号</w:t>
      </w:r>
    </w:p>
    <w:p>
      <w:pPr>
        <w:spacing w:line="360" w:lineRule="auto"/>
        <w:ind w:firstLine="480" w:firstLineChars="200"/>
        <w:textAlignment w:val="baseline"/>
        <w:rPr>
          <w:rFonts w:hint="default"/>
          <w:highlight w:val="none"/>
          <w:lang w:val="en-US" w:eastAsia="zh-CN"/>
        </w:rPr>
      </w:pPr>
      <w:r>
        <w:rPr>
          <w:rFonts w:hint="eastAsia" w:ascii="仿宋" w:hAnsi="仿宋" w:eastAsia="仿宋" w:cs="宋体"/>
          <w:color w:val="auto"/>
          <w:sz w:val="24"/>
          <w:szCs w:val="24"/>
          <w:highlight w:val="none"/>
        </w:rPr>
        <w:t>电话：</w:t>
      </w:r>
      <w:r>
        <w:rPr>
          <w:rFonts w:hint="eastAsia" w:ascii="仿宋" w:hAnsi="仿宋" w:eastAsia="仿宋" w:cs="宋体"/>
          <w:color w:val="auto"/>
          <w:sz w:val="24"/>
          <w:highlight w:val="none"/>
        </w:rPr>
        <w:t>0518-86090463</w:t>
      </w:r>
    </w:p>
    <w:p>
      <w:pPr>
        <w:spacing w:line="360" w:lineRule="auto"/>
        <w:ind w:firstLine="480" w:firstLineChars="200"/>
        <w:textAlignment w:val="baseline"/>
        <w:rPr>
          <w:rFonts w:hint="eastAsia" w:ascii="仿宋" w:hAnsi="仿宋" w:eastAsia="仿宋" w:cs="宋体"/>
          <w:b/>
          <w:color w:val="auto"/>
          <w:sz w:val="24"/>
          <w:szCs w:val="24"/>
          <w:highlight w:val="none"/>
        </w:rPr>
      </w:pPr>
      <w:r>
        <w:rPr>
          <w:rFonts w:hint="eastAsia" w:ascii="仿宋" w:hAnsi="仿宋" w:eastAsia="仿宋" w:cs="宋体"/>
          <w:b w:val="0"/>
          <w:bCs/>
          <w:color w:val="auto"/>
          <w:sz w:val="24"/>
          <w:szCs w:val="24"/>
          <w:highlight w:val="none"/>
        </w:rPr>
        <w:t>招标代理机构：</w:t>
      </w:r>
      <w:r>
        <w:rPr>
          <w:rFonts w:hint="eastAsia" w:ascii="仿宋" w:hAnsi="仿宋" w:eastAsia="仿宋" w:cs="宋体"/>
          <w:color w:val="auto"/>
          <w:sz w:val="24"/>
          <w:highlight w:val="none"/>
        </w:rPr>
        <w:t>江苏省设备成套股份有限公司</w:t>
      </w:r>
    </w:p>
    <w:p>
      <w:pPr>
        <w:spacing w:line="360" w:lineRule="auto"/>
        <w:ind w:firstLine="480" w:firstLineChars="200"/>
        <w:textAlignment w:val="baseline"/>
        <w:rPr>
          <w:rFonts w:hint="eastAsia" w:ascii="仿宋" w:hAnsi="仿宋" w:eastAsia="仿宋" w:cs="宋体"/>
          <w:color w:val="auto"/>
          <w:sz w:val="24"/>
          <w:szCs w:val="24"/>
          <w:highlight w:val="none"/>
        </w:rPr>
      </w:pPr>
      <w:r>
        <w:rPr>
          <w:rFonts w:hint="eastAsia" w:ascii="仿宋" w:hAnsi="仿宋" w:eastAsia="仿宋" w:cs="宋体"/>
          <w:color w:val="auto"/>
          <w:sz w:val="24"/>
          <w:szCs w:val="24"/>
          <w:highlight w:val="none"/>
        </w:rPr>
        <w:t>地址：</w:t>
      </w:r>
      <w:r>
        <w:rPr>
          <w:rFonts w:hint="eastAsia" w:ascii="仿宋" w:hAnsi="仿宋" w:eastAsia="仿宋" w:cs="宋体"/>
          <w:color w:val="auto"/>
          <w:sz w:val="24"/>
          <w:highlight w:val="none"/>
        </w:rPr>
        <w:t>南京市清江南路18号鼓楼创新广场D座10楼1006室</w:t>
      </w:r>
    </w:p>
    <w:p>
      <w:pPr>
        <w:spacing w:line="360" w:lineRule="auto"/>
        <w:ind w:firstLine="480" w:firstLineChars="200"/>
        <w:textAlignment w:val="baseline"/>
        <w:rPr>
          <w:rFonts w:hint="eastAsia" w:ascii="仿宋" w:hAnsi="仿宋" w:eastAsia="仿宋" w:cs="宋体"/>
          <w:color w:val="auto"/>
          <w:sz w:val="24"/>
          <w:szCs w:val="24"/>
          <w:highlight w:val="none"/>
          <w:lang w:eastAsia="zh-CN"/>
        </w:rPr>
      </w:pPr>
      <w:bookmarkStart w:id="43" w:name="_Hlk69457004"/>
      <w:r>
        <w:rPr>
          <w:rFonts w:hint="eastAsia" w:ascii="仿宋" w:hAnsi="仿宋" w:eastAsia="仿宋" w:cs="宋体"/>
          <w:color w:val="auto"/>
          <w:sz w:val="24"/>
          <w:szCs w:val="24"/>
          <w:highlight w:val="none"/>
        </w:rPr>
        <w:t>联系人：</w:t>
      </w:r>
      <w:r>
        <w:rPr>
          <w:rFonts w:hint="eastAsia" w:ascii="仿宋" w:hAnsi="仿宋" w:eastAsia="仿宋" w:cs="宋体"/>
          <w:color w:val="auto"/>
          <w:sz w:val="24"/>
          <w:highlight w:val="none"/>
          <w:lang w:eastAsia="zh-CN"/>
        </w:rPr>
        <w:t>陈羽添</w:t>
      </w:r>
    </w:p>
    <w:p>
      <w:pPr>
        <w:spacing w:line="360" w:lineRule="auto"/>
        <w:ind w:firstLine="480" w:firstLineChars="200"/>
        <w:textAlignment w:val="baseline"/>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rPr>
        <w:t>电话：</w:t>
      </w:r>
      <w:r>
        <w:rPr>
          <w:rFonts w:hint="eastAsia" w:ascii="仿宋" w:hAnsi="仿宋" w:eastAsia="仿宋" w:cs="宋体"/>
          <w:color w:val="auto"/>
          <w:sz w:val="24"/>
          <w:highlight w:val="none"/>
        </w:rPr>
        <w:t>025-8663</w:t>
      </w:r>
      <w:r>
        <w:rPr>
          <w:rFonts w:hint="eastAsia" w:ascii="仿宋" w:hAnsi="仿宋" w:eastAsia="仿宋" w:cs="宋体"/>
          <w:color w:val="auto"/>
          <w:sz w:val="24"/>
          <w:highlight w:val="none"/>
          <w:lang w:val="en-US" w:eastAsia="zh-CN"/>
        </w:rPr>
        <w:t>6030</w:t>
      </w:r>
      <w:r>
        <w:rPr>
          <w:rFonts w:hint="eastAsia" w:ascii="仿宋" w:hAnsi="仿宋" w:eastAsia="仿宋" w:cs="宋体"/>
          <w:color w:val="auto"/>
          <w:sz w:val="24"/>
          <w:highlight w:val="none"/>
        </w:rPr>
        <w:t>，13</w:t>
      </w:r>
      <w:r>
        <w:rPr>
          <w:rFonts w:hint="eastAsia" w:ascii="仿宋" w:hAnsi="仿宋" w:eastAsia="仿宋" w:cs="宋体"/>
          <w:color w:val="auto"/>
          <w:sz w:val="24"/>
          <w:highlight w:val="none"/>
          <w:lang w:val="en-US" w:eastAsia="zh-CN"/>
        </w:rPr>
        <w:t>851502117</w:t>
      </w:r>
    </w:p>
    <w:p>
      <w:pPr>
        <w:spacing w:line="360" w:lineRule="auto"/>
        <w:ind w:firstLine="480" w:firstLineChars="200"/>
        <w:textAlignment w:val="baseline"/>
        <w:rPr>
          <w:rFonts w:hint="eastAsia" w:ascii="仿宋" w:hAnsi="仿宋" w:eastAsia="仿宋" w:cs="宋体"/>
          <w:color w:val="auto"/>
          <w:sz w:val="24"/>
          <w:szCs w:val="24"/>
          <w:highlight w:val="none"/>
        </w:rPr>
      </w:pPr>
      <w:r>
        <w:rPr>
          <w:rFonts w:hint="eastAsia" w:ascii="仿宋" w:hAnsi="仿宋" w:eastAsia="仿宋" w:cs="宋体"/>
          <w:color w:val="auto"/>
          <w:sz w:val="24"/>
          <w:szCs w:val="24"/>
          <w:highlight w:val="none"/>
        </w:rPr>
        <w:t>电子邮件：</w:t>
      </w:r>
      <w:r>
        <w:rPr>
          <w:rFonts w:hint="eastAsia" w:ascii="仿宋" w:hAnsi="仿宋" w:eastAsia="仿宋" w:cs="宋体"/>
          <w:color w:val="auto"/>
          <w:sz w:val="24"/>
          <w:highlight w:val="none"/>
          <w:lang w:val="en-US" w:eastAsia="zh-CN"/>
        </w:rPr>
        <w:t>chenyt</w:t>
      </w:r>
      <w:r>
        <w:rPr>
          <w:rFonts w:hint="eastAsia" w:ascii="仿宋" w:hAnsi="仿宋" w:eastAsia="仿宋" w:cs="宋体"/>
          <w:color w:val="auto"/>
          <w:sz w:val="24"/>
          <w:highlight w:val="none"/>
        </w:rPr>
        <w:t>@</w:t>
      </w:r>
      <w:r>
        <w:rPr>
          <w:rFonts w:hint="eastAsia" w:ascii="仿宋" w:hAnsi="仿宋" w:eastAsia="仿宋" w:cs="宋体"/>
          <w:color w:val="auto"/>
          <w:sz w:val="24"/>
          <w:highlight w:val="none"/>
          <w:lang w:val="en-US" w:eastAsia="zh-CN"/>
        </w:rPr>
        <w:t>jcec.cn</w:t>
      </w:r>
    </w:p>
    <w:p>
      <w:pPr>
        <w:spacing w:line="360" w:lineRule="auto"/>
        <w:ind w:firstLine="480" w:firstLineChars="200"/>
        <w:textAlignment w:val="baseline"/>
        <w:rPr>
          <w:rFonts w:hint="eastAsia" w:ascii="仿宋" w:hAnsi="仿宋" w:eastAsia="仿宋" w:cs="宋体"/>
          <w:color w:val="auto"/>
          <w:sz w:val="24"/>
          <w:szCs w:val="24"/>
          <w:highlight w:val="none"/>
        </w:rPr>
      </w:pPr>
    </w:p>
    <w:bookmarkEnd w:id="43"/>
    <w:p>
      <w:pPr>
        <w:spacing w:line="360" w:lineRule="auto"/>
        <w:ind w:firstLine="480" w:firstLineChars="200"/>
        <w:jc w:val="right"/>
        <w:textAlignment w:val="baseline"/>
        <w:rPr>
          <w:rFonts w:hint="eastAsia" w:ascii="仿宋" w:hAnsi="仿宋" w:eastAsia="仿宋" w:cs="宋体"/>
          <w:color w:val="auto"/>
          <w:sz w:val="24"/>
          <w:highlight w:val="none"/>
          <w:lang w:eastAsia="zh-CN"/>
        </w:rPr>
      </w:pPr>
      <w:r>
        <w:rPr>
          <w:rFonts w:hint="eastAsia" w:ascii="仿宋" w:hAnsi="仿宋" w:eastAsia="仿宋" w:cs="宋体"/>
          <w:color w:val="auto"/>
          <w:sz w:val="24"/>
          <w:highlight w:val="none"/>
        </w:rPr>
        <w:t>招标人：</w:t>
      </w:r>
      <w:r>
        <w:rPr>
          <w:rFonts w:hint="eastAsia" w:ascii="仿宋" w:hAnsi="仿宋" w:eastAsia="仿宋" w:cs="宋体"/>
          <w:color w:val="auto"/>
          <w:sz w:val="24"/>
          <w:highlight w:val="none"/>
          <w:lang w:eastAsia="zh-CN"/>
        </w:rPr>
        <w:t>中国人民财产保险股份有限公司连云港市分公司</w:t>
      </w:r>
    </w:p>
    <w:p>
      <w:pPr>
        <w:spacing w:line="360" w:lineRule="auto"/>
        <w:ind w:firstLine="480" w:firstLineChars="200"/>
        <w:jc w:val="right"/>
        <w:textAlignment w:val="baseline"/>
        <w:rPr>
          <w:rFonts w:hint="eastAsia" w:ascii="仿宋" w:hAnsi="仿宋" w:eastAsia="仿宋" w:cs="宋体"/>
          <w:color w:val="FF0000"/>
          <w:sz w:val="24"/>
          <w:szCs w:val="24"/>
          <w:highlight w:val="none"/>
        </w:rPr>
      </w:pPr>
      <w:r>
        <w:rPr>
          <w:rFonts w:hint="eastAsia" w:ascii="仿宋" w:hAnsi="仿宋" w:eastAsia="仿宋" w:cs="宋体"/>
          <w:color w:val="auto"/>
          <w:sz w:val="24"/>
          <w:highlight w:val="none"/>
        </w:rPr>
        <w:t>招标代理机构：江苏省设备成套股份有限公司</w:t>
      </w:r>
    </w:p>
    <w:p>
      <w:pPr>
        <w:jc w:val="right"/>
        <w:rPr>
          <w:rFonts w:hint="eastAsia" w:ascii="仿宋" w:hAnsi="仿宋" w:eastAsia="仿宋" w:cs="宋体"/>
          <w:color w:val="auto"/>
          <w:sz w:val="24"/>
          <w:szCs w:val="24"/>
          <w:highlight w:val="none"/>
        </w:rPr>
      </w:pPr>
      <w:r>
        <w:rPr>
          <w:rFonts w:hint="eastAsia" w:ascii="仿宋" w:hAnsi="仿宋" w:eastAsia="仿宋" w:cs="宋体"/>
          <w:color w:val="auto"/>
          <w:sz w:val="24"/>
          <w:szCs w:val="24"/>
          <w:highlight w:val="none"/>
        </w:rPr>
        <w:t>20</w:t>
      </w:r>
      <w:r>
        <w:rPr>
          <w:rFonts w:hint="eastAsia" w:ascii="仿宋" w:hAnsi="仿宋" w:eastAsia="仿宋" w:cs="宋体"/>
          <w:color w:val="auto"/>
          <w:sz w:val="24"/>
          <w:szCs w:val="24"/>
          <w:highlight w:val="none"/>
          <w:lang w:val="en-US" w:eastAsia="zh-CN"/>
        </w:rPr>
        <w:t>25</w:t>
      </w:r>
      <w:r>
        <w:rPr>
          <w:rFonts w:hint="eastAsia" w:ascii="仿宋" w:hAnsi="仿宋" w:eastAsia="仿宋" w:cs="宋体"/>
          <w:color w:val="auto"/>
          <w:sz w:val="24"/>
          <w:szCs w:val="24"/>
          <w:highlight w:val="none"/>
        </w:rPr>
        <w:t>年</w:t>
      </w:r>
      <w:r>
        <w:rPr>
          <w:rFonts w:hint="eastAsia" w:ascii="仿宋" w:hAnsi="仿宋" w:eastAsia="仿宋" w:cs="宋体"/>
          <w:color w:val="auto"/>
          <w:sz w:val="24"/>
          <w:szCs w:val="24"/>
          <w:highlight w:val="none"/>
          <w:lang w:val="en-US" w:eastAsia="zh-CN"/>
        </w:rPr>
        <w:t>09</w:t>
      </w:r>
      <w:r>
        <w:rPr>
          <w:rFonts w:hint="eastAsia" w:ascii="仿宋" w:hAnsi="仿宋" w:eastAsia="仿宋" w:cs="宋体"/>
          <w:color w:val="auto"/>
          <w:sz w:val="24"/>
          <w:szCs w:val="24"/>
          <w:highlight w:val="none"/>
        </w:rPr>
        <w:t>月</w:t>
      </w:r>
      <w:r>
        <w:rPr>
          <w:rFonts w:hint="eastAsia" w:ascii="仿宋" w:hAnsi="仿宋" w:eastAsia="仿宋" w:cs="宋体"/>
          <w:color w:val="auto"/>
          <w:sz w:val="24"/>
          <w:szCs w:val="24"/>
          <w:highlight w:val="none"/>
          <w:lang w:val="en-US" w:eastAsia="zh-CN"/>
        </w:rPr>
        <w:t>03</w:t>
      </w:r>
      <w:r>
        <w:rPr>
          <w:rFonts w:hint="eastAsia" w:ascii="仿宋" w:hAnsi="仿宋" w:eastAsia="仿宋" w:cs="宋体"/>
          <w:color w:val="auto"/>
          <w:sz w:val="24"/>
          <w:szCs w:val="24"/>
          <w:highlight w:val="none"/>
        </w:rPr>
        <w:t>日</w:t>
      </w:r>
    </w:p>
    <w:p>
      <w:pPr>
        <w:rPr>
          <w:rFonts w:hint="eastAsia" w:ascii="仿宋" w:hAnsi="仿宋" w:eastAsia="仿宋" w:cs="宋体"/>
          <w:color w:val="auto"/>
          <w:sz w:val="24"/>
          <w:szCs w:val="24"/>
          <w:highlight w:val="none"/>
        </w:rPr>
      </w:pPr>
      <w:r>
        <w:rPr>
          <w:rFonts w:hint="eastAsia" w:ascii="仿宋" w:hAnsi="仿宋" w:eastAsia="仿宋" w:cs="宋体"/>
          <w:color w:val="auto"/>
          <w:sz w:val="24"/>
          <w:szCs w:val="24"/>
          <w:highlight w:val="none"/>
        </w:rPr>
        <w:br w:type="page"/>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rPr>
        <w:rFonts w:ascii="黑体" w:hAnsi="黑体" w:eastAsia="黑体"/>
        <w:szCs w:val="18"/>
      </w:rPr>
    </w:pPr>
  </w:p>
  <w:p>
    <w:pPr>
      <w:pStyle w:val="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12" w:lineRule="auto"/>
      </w:pPr>
      <w:r>
        <w:separator/>
      </w:r>
    </w:p>
  </w:footnote>
  <w:footnote w:type="continuationSeparator" w:id="1">
    <w:p>
      <w:pPr>
        <w:spacing w:line="312"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top w:val="none" w:color="auto" w:sz="0" w:space="0"/>
        <w:left w:val="none" w:color="auto" w:sz="0" w:space="0"/>
        <w:bottom w:val="single" w:color="auto" w:sz="4" w:space="1"/>
        <w:right w:val="none" w:color="auto" w:sz="0" w:space="0"/>
      </w:pBdr>
      <w:jc w:val="center"/>
      <w:rPr>
        <w:rFonts w:hint="eastAsia" w:ascii="仿宋" w:hAnsi="仿宋" w:eastAsia="仿宋" w:cs="仿宋"/>
      </w:rPr>
    </w:pPr>
    <w:r>
      <w:rPr>
        <w:rFonts w:hint="eastAsia" w:ascii="仿宋" w:hAnsi="仿宋" w:eastAsia="仿宋" w:cs="仿宋"/>
      </w:rPr>
      <w:t>招标文件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0D5220"/>
    <w:rsid w:val="720D52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12" w:lineRule="auto"/>
      <w:jc w:val="both"/>
    </w:pPr>
    <w:rPr>
      <w:rFonts w:ascii="Calibri" w:hAnsi="Calibri" w:eastAsia="宋体" w:cs="Calibri"/>
      <w:kern w:val="2"/>
      <w:sz w:val="21"/>
      <w:lang w:val="en-US" w:eastAsia="zh-CN" w:bidi="ar-SA"/>
    </w:rPr>
  </w:style>
  <w:style w:type="paragraph" w:styleId="3">
    <w:name w:val="heading 2"/>
    <w:basedOn w:val="1"/>
    <w:next w:val="1"/>
    <w:qFormat/>
    <w:uiPriority w:val="0"/>
    <w:pPr>
      <w:keepNext/>
      <w:keepLines/>
      <w:adjustRightInd w:val="0"/>
      <w:snapToGrid w:val="0"/>
      <w:spacing w:before="120" w:after="120" w:line="360" w:lineRule="auto"/>
      <w:jc w:val="left"/>
      <w:outlineLvl w:val="1"/>
    </w:pPr>
    <w:rPr>
      <w:rFonts w:ascii="宋体" w:hAnsi="Arial" w:eastAsia="仿宋"/>
      <w:b/>
      <w:sz w:val="24"/>
    </w:rPr>
  </w:style>
  <w:style w:type="paragraph" w:styleId="2">
    <w:name w:val="heading 3"/>
    <w:basedOn w:val="1"/>
    <w:next w:val="1"/>
    <w:qFormat/>
    <w:uiPriority w:val="9"/>
    <w:pPr>
      <w:spacing w:before="120" w:after="120" w:line="17" w:lineRule="atLeast"/>
      <w:jc w:val="left"/>
      <w:outlineLvl w:val="2"/>
    </w:pPr>
    <w:rPr>
      <w:rFonts w:hint="eastAsia" w:ascii="宋体" w:hAnsi="宋体" w:eastAsia="仿宋"/>
      <w:b/>
      <w:kern w:val="0"/>
      <w:sz w:val="24"/>
      <w:szCs w:val="36"/>
    </w:rPr>
  </w:style>
  <w:style w:type="character" w:default="1" w:styleId="12">
    <w:name w:val="Default Paragraph Font"/>
    <w:semiHidden/>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4">
    <w:name w:val="Body Text"/>
    <w:basedOn w:val="1"/>
    <w:next w:val="1"/>
    <w:unhideWhenUsed/>
    <w:qFormat/>
    <w:uiPriority w:val="99"/>
    <w:pPr>
      <w:spacing w:after="120"/>
    </w:pPr>
  </w:style>
  <w:style w:type="paragraph" w:styleId="5">
    <w:name w:val="toc 3"/>
    <w:basedOn w:val="1"/>
    <w:next w:val="1"/>
    <w:qFormat/>
    <w:uiPriority w:val="39"/>
    <w:pPr>
      <w:ind w:left="840" w:leftChars="400"/>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toc 1"/>
    <w:basedOn w:val="1"/>
    <w:next w:val="1"/>
    <w:qFormat/>
    <w:uiPriority w:val="39"/>
  </w:style>
  <w:style w:type="paragraph" w:styleId="9">
    <w:name w:val="toc 2"/>
    <w:basedOn w:val="1"/>
    <w:next w:val="1"/>
    <w:qFormat/>
    <w:uiPriority w:val="39"/>
    <w:pPr>
      <w:ind w:left="420" w:leftChars="200"/>
    </w:p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2025-09-02T02:40:00Z</dcterms:created>
  <dc:creator>岳钦</dc:creator>
  <cp:lastModifiedBy>岳钦</cp:lastModifiedBy>
  <dcterms:modified xsi:type="dcterms:W3CDTF">2025-09-02T02:41:40Z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5A8AB0DF39C746889FFA25353A15ADD9</vt:lpwstr>
  </property>
</Properties>
</file>