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彩虹小标宋" w:hAnsi="宋体" w:eastAsia="彩虹小标宋"/>
          <w:bCs/>
          <w:snapToGrid w:val="0"/>
          <w:kern w:val="0"/>
          <w:sz w:val="44"/>
          <w:szCs w:val="44"/>
        </w:rPr>
      </w:pPr>
      <w:r>
        <w:rPr>
          <w:rFonts w:hint="eastAsia" w:ascii="彩虹小标宋" w:hAnsi="宋体" w:eastAsia="彩虹小标宋"/>
          <w:bCs/>
          <w:snapToGrid w:val="0"/>
          <w:kern w:val="0"/>
          <w:sz w:val="44"/>
          <w:szCs w:val="44"/>
        </w:rPr>
        <w:t>采购需求</w:t>
      </w:r>
    </w:p>
    <w:p>
      <w:pPr>
        <w:adjustRightInd w:val="0"/>
        <w:snapToGrid w:val="0"/>
        <w:spacing w:line="560" w:lineRule="exact"/>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 xml:space="preserve"> </w:t>
      </w:r>
      <w:r>
        <w:rPr>
          <w:rFonts w:ascii="彩虹粗仿宋" w:hAnsi="宋体" w:eastAsia="彩虹粗仿宋"/>
          <w:snapToGrid w:val="0"/>
          <w:kern w:val="0"/>
          <w:sz w:val="32"/>
          <w:szCs w:val="32"/>
        </w:rPr>
        <w:t xml:space="preserve"> </w:t>
      </w:r>
    </w:p>
    <w:p>
      <w:pPr>
        <w:adjustRightInd w:val="0"/>
        <w:snapToGrid w:val="0"/>
        <w:spacing w:line="560" w:lineRule="exact"/>
        <w:ind w:left="640"/>
        <w:rPr>
          <w:rFonts w:ascii="彩虹黑体" w:hAnsi="宋体" w:eastAsia="彩虹黑体"/>
          <w:snapToGrid w:val="0"/>
          <w:kern w:val="0"/>
          <w:sz w:val="32"/>
          <w:szCs w:val="32"/>
        </w:rPr>
      </w:pPr>
      <w:r>
        <w:rPr>
          <w:rFonts w:hint="eastAsia" w:ascii="彩虹黑体" w:hAnsi="宋体" w:eastAsia="彩虹黑体"/>
          <w:snapToGrid w:val="0"/>
          <w:kern w:val="0"/>
          <w:sz w:val="32"/>
          <w:szCs w:val="32"/>
        </w:rPr>
        <w:t>一、项目名称</w:t>
      </w:r>
    </w:p>
    <w:p>
      <w:pPr>
        <w:adjustRightInd w:val="0"/>
        <w:snapToGrid w:val="0"/>
        <w:spacing w:line="560" w:lineRule="exact"/>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项目名称：2026-2027年度税务鉴证服务采购项目</w:t>
      </w:r>
    </w:p>
    <w:p>
      <w:pPr>
        <w:adjustRightInd w:val="0"/>
        <w:snapToGrid w:val="0"/>
        <w:spacing w:line="560" w:lineRule="exact"/>
        <w:ind w:firstLine="640" w:firstLineChars="200"/>
        <w:rPr>
          <w:rFonts w:ascii="彩虹黑体" w:hAnsi="宋体" w:eastAsia="彩虹黑体"/>
          <w:snapToGrid w:val="0"/>
          <w:kern w:val="0"/>
          <w:sz w:val="32"/>
          <w:szCs w:val="32"/>
        </w:rPr>
      </w:pPr>
      <w:r>
        <w:rPr>
          <w:rFonts w:hint="eastAsia" w:ascii="彩虹黑体" w:hAnsi="宋体" w:eastAsia="彩虹黑体"/>
          <w:snapToGrid w:val="0"/>
          <w:kern w:val="0"/>
          <w:sz w:val="32"/>
          <w:szCs w:val="32"/>
        </w:rPr>
        <w:t>二、服务期</w:t>
      </w:r>
    </w:p>
    <w:p>
      <w:pPr>
        <w:adjustRightInd w:val="0"/>
        <w:snapToGrid w:val="0"/>
        <w:spacing w:line="560" w:lineRule="exact"/>
        <w:ind w:firstLine="640" w:firstLineChars="200"/>
        <w:rPr>
          <w:rFonts w:hint="eastAsia" w:ascii="彩虹粗仿宋" w:hAnsi="宋体" w:eastAsia="彩虹粗仿宋"/>
          <w:snapToGrid w:val="0"/>
          <w:kern w:val="0"/>
          <w:sz w:val="32"/>
          <w:szCs w:val="32"/>
        </w:rPr>
      </w:pPr>
      <w:r>
        <w:rPr>
          <w:rFonts w:ascii="彩虹粗仿宋" w:hAnsi="宋体" w:eastAsia="彩虹粗仿宋"/>
          <w:snapToGrid w:val="0"/>
          <w:kern w:val="0"/>
          <w:sz w:val="32"/>
          <w:szCs w:val="32"/>
        </w:rPr>
        <w:t>2</w:t>
      </w:r>
      <w:r>
        <w:rPr>
          <w:rFonts w:hint="eastAsia" w:ascii="彩虹粗仿宋" w:hAnsi="宋体" w:eastAsia="彩虹粗仿宋"/>
          <w:snapToGrid w:val="0"/>
          <w:kern w:val="0"/>
          <w:sz w:val="32"/>
          <w:szCs w:val="32"/>
        </w:rPr>
        <w:t>年</w:t>
      </w:r>
    </w:p>
    <w:p>
      <w:pPr>
        <w:adjustRightInd w:val="0"/>
        <w:snapToGrid w:val="0"/>
        <w:spacing w:line="560" w:lineRule="exact"/>
        <w:ind w:firstLine="640" w:firstLineChars="200"/>
        <w:rPr>
          <w:rFonts w:ascii="彩虹黑体" w:hAnsi="宋体" w:eastAsia="彩虹黑体"/>
          <w:snapToGrid w:val="0"/>
          <w:kern w:val="0"/>
          <w:sz w:val="32"/>
          <w:szCs w:val="32"/>
        </w:rPr>
      </w:pPr>
      <w:r>
        <w:rPr>
          <w:rFonts w:hint="eastAsia" w:ascii="彩虹黑体" w:hAnsi="宋体" w:eastAsia="彩虹黑体"/>
          <w:snapToGrid w:val="0"/>
          <w:kern w:val="0"/>
          <w:sz w:val="32"/>
          <w:szCs w:val="32"/>
        </w:rPr>
        <w:t>三、服务供应商要求</w:t>
      </w:r>
    </w:p>
    <w:p>
      <w:pPr>
        <w:pStyle w:val="13"/>
        <w:adjustRightInd w:val="0"/>
        <w:snapToGrid w:val="0"/>
        <w:spacing w:line="560" w:lineRule="exact"/>
        <w:ind w:left="142" w:firstLine="641"/>
        <w:rPr>
          <w:rFonts w:ascii="华文楷体" w:hAnsi="华文楷体" w:eastAsia="华文楷体"/>
          <w:b/>
          <w:snapToGrid w:val="0"/>
          <w:kern w:val="0"/>
          <w:sz w:val="32"/>
          <w:szCs w:val="32"/>
        </w:rPr>
      </w:pPr>
      <w:r>
        <w:rPr>
          <w:rFonts w:hint="eastAsia" w:ascii="华文楷体" w:hAnsi="华文楷体" w:eastAsia="华文楷体"/>
          <w:b/>
          <w:snapToGrid w:val="0"/>
          <w:kern w:val="0"/>
          <w:sz w:val="32"/>
          <w:szCs w:val="32"/>
        </w:rPr>
        <w:t>（一）注册地点</w:t>
      </w:r>
    </w:p>
    <w:p>
      <w:pPr>
        <w:pStyle w:val="13"/>
        <w:adjustRightInd w:val="0"/>
        <w:snapToGrid w:val="0"/>
        <w:spacing w:line="560" w:lineRule="exact"/>
        <w:ind w:left="142" w:firstLine="64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必须是在中华人民共和国境内注册的独立法人或企业，并在人员、设备、资金等方面具有承担本项目的相应能力。</w:t>
      </w:r>
    </w:p>
    <w:p>
      <w:pPr>
        <w:pStyle w:val="13"/>
        <w:adjustRightInd w:val="0"/>
        <w:snapToGrid w:val="0"/>
        <w:spacing w:line="560" w:lineRule="exact"/>
        <w:ind w:left="142" w:firstLine="643"/>
        <w:rPr>
          <w:rFonts w:ascii="彩虹楷体" w:hAnsi="宋体" w:eastAsia="彩虹楷体"/>
          <w:b/>
          <w:snapToGrid w:val="0"/>
          <w:kern w:val="0"/>
          <w:sz w:val="32"/>
          <w:szCs w:val="32"/>
        </w:rPr>
      </w:pPr>
      <w:r>
        <w:rPr>
          <w:rFonts w:hint="eastAsia" w:ascii="彩虹楷体" w:hAnsi="宋体" w:eastAsia="彩虹楷体"/>
          <w:b/>
          <w:snapToGrid w:val="0"/>
          <w:kern w:val="0"/>
          <w:sz w:val="32"/>
          <w:szCs w:val="32"/>
        </w:rPr>
        <w:t>（二）</w:t>
      </w:r>
      <w:r>
        <w:rPr>
          <w:rFonts w:hint="eastAsia" w:ascii="彩虹楷体" w:hAnsi="宋体" w:eastAsia="彩虹楷体" w:cs="宋体"/>
          <w:b/>
          <w:kern w:val="0"/>
          <w:sz w:val="32"/>
          <w:szCs w:val="32"/>
        </w:rPr>
        <w:t>资质要求</w:t>
      </w:r>
    </w:p>
    <w:p>
      <w:pPr>
        <w:adjustRightInd w:val="0"/>
        <w:snapToGrid w:val="0"/>
        <w:spacing w:line="560" w:lineRule="exact"/>
        <w:ind w:firstLine="640" w:firstLineChars="200"/>
        <w:rPr>
          <w:rFonts w:ascii="彩虹粗仿宋" w:hAnsi="宋体" w:eastAsia="彩虹粗仿宋" w:cs="Times New Roman"/>
          <w:snapToGrid w:val="0"/>
          <w:color w:val="000000" w:themeColor="text1"/>
          <w:kern w:val="0"/>
          <w:sz w:val="32"/>
          <w:szCs w:val="32"/>
          <w14:textFill>
            <w14:solidFill>
              <w14:schemeClr w14:val="tx1"/>
            </w14:solidFill>
          </w14:textFill>
        </w:rPr>
      </w:pP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1.拥有《税务师事务所行政登记证书》。</w:t>
      </w:r>
    </w:p>
    <w:p>
      <w:pPr>
        <w:adjustRightInd w:val="0"/>
        <w:snapToGrid w:val="0"/>
        <w:spacing w:line="560" w:lineRule="exact"/>
        <w:ind w:firstLine="640" w:firstLineChars="200"/>
        <w:rPr>
          <w:rFonts w:ascii="彩虹粗仿宋" w:hAnsi="宋体" w:eastAsia="彩虹粗仿宋" w:cs="Times New Roman"/>
          <w:snapToGrid w:val="0"/>
          <w:color w:val="000000" w:themeColor="text1"/>
          <w:kern w:val="0"/>
          <w:sz w:val="32"/>
          <w:szCs w:val="32"/>
          <w14:textFill>
            <w14:solidFill>
              <w14:schemeClr w14:val="tx1"/>
            </w14:solidFill>
          </w14:textFill>
        </w:rPr>
      </w:pP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2.近三年至少有1个向国内银行业提供有关企业所得税汇算清缴、资产损失税前扣除鉴证服务的合同案例，并提供相关证明材料。其中1个合同案例必须包含企业所得税汇算清缴及资产损失税前扣除鉴证服务两项内容。。</w:t>
      </w:r>
    </w:p>
    <w:p>
      <w:pPr>
        <w:adjustRightInd w:val="0"/>
        <w:snapToGrid w:val="0"/>
        <w:spacing w:line="560" w:lineRule="exact"/>
        <w:ind w:firstLine="640" w:firstLineChars="200"/>
        <w:rPr>
          <w:rFonts w:ascii="彩虹粗仿宋" w:hAnsi="宋体" w:eastAsia="彩虹粗仿宋" w:cs="Times New Roman"/>
          <w:snapToGrid w:val="0"/>
          <w:color w:val="000000" w:themeColor="text1"/>
          <w:kern w:val="0"/>
          <w:sz w:val="32"/>
          <w:szCs w:val="32"/>
          <w14:textFill>
            <w14:solidFill>
              <w14:schemeClr w14:val="tx1"/>
            </w14:solidFill>
          </w14:textFill>
        </w:rPr>
      </w:pPr>
      <w:r>
        <w:rPr>
          <w:rFonts w:ascii="彩虹粗仿宋" w:hAnsi="宋体" w:eastAsia="彩虹粗仿宋" w:cs="Times New Roman"/>
          <w:snapToGrid w:val="0"/>
          <w:color w:val="000000" w:themeColor="text1"/>
          <w:kern w:val="0"/>
          <w:sz w:val="32"/>
          <w:szCs w:val="32"/>
          <w14:textFill>
            <w14:solidFill>
              <w14:schemeClr w14:val="tx1"/>
            </w14:solidFill>
          </w14:textFill>
        </w:rPr>
        <w:t>3.</w:t>
      </w: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 xml:space="preserve"> 供应商须在宁波市有固定的经营场所，具有完善的服务体系，确保服务过程中遇到的问题能够及时得到响应解决。    </w:t>
      </w:r>
    </w:p>
    <w:p>
      <w:pPr>
        <w:spacing w:line="560" w:lineRule="exact"/>
        <w:ind w:firstLine="643" w:firstLineChars="200"/>
        <w:rPr>
          <w:rFonts w:ascii="彩虹楷体" w:hAnsi="宋体" w:eastAsia="彩虹楷体" w:cs="宋体"/>
          <w:b/>
          <w:kern w:val="0"/>
          <w:sz w:val="32"/>
          <w:szCs w:val="32"/>
        </w:rPr>
      </w:pPr>
      <w:r>
        <w:rPr>
          <w:rFonts w:hint="eastAsia" w:ascii="彩虹楷体" w:hAnsi="宋体" w:eastAsia="彩虹楷体" w:cs="宋体"/>
          <w:b/>
          <w:kern w:val="0"/>
          <w:sz w:val="32"/>
          <w:szCs w:val="32"/>
        </w:rPr>
        <w:t>（三）人员配备要求</w:t>
      </w:r>
    </w:p>
    <w:p>
      <w:pPr>
        <w:adjustRightInd w:val="0"/>
        <w:snapToGrid w:val="0"/>
        <w:spacing w:line="560" w:lineRule="exact"/>
        <w:ind w:firstLine="640" w:firstLineChars="200"/>
        <w:rPr>
          <w:rFonts w:ascii="彩虹粗仿宋" w:hAnsi="宋体" w:eastAsia="彩虹粗仿宋" w:cs="Times New Roman"/>
          <w:snapToGrid w:val="0"/>
          <w:color w:val="000000" w:themeColor="text1"/>
          <w:kern w:val="0"/>
          <w:sz w:val="32"/>
          <w:szCs w:val="32"/>
          <w14:textFill>
            <w14:solidFill>
              <w14:schemeClr w14:val="tx1"/>
            </w14:solidFill>
          </w14:textFill>
        </w:rPr>
      </w:pP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1.技能方面，配备具有丰富的企业所得税工作经验，熟悉企业所得税等税收法律法规及企业会计准则，有大型工商业企业税务服务经验。人员素质构成和数量上保证充足和稳定，税务服务人员应具有良好的职业素质及沟通协调能力。核心人员非经我行同意不得退出项目。</w:t>
      </w:r>
    </w:p>
    <w:p>
      <w:pPr>
        <w:spacing w:line="560" w:lineRule="exact"/>
        <w:ind w:firstLine="640" w:firstLineChars="200"/>
        <w:rPr>
          <w:rFonts w:ascii="彩虹粗仿宋" w:hAnsi="宋体" w:eastAsia="彩虹粗仿宋" w:cs="Times New Roman"/>
          <w:snapToGrid w:val="0"/>
          <w:color w:val="000000" w:themeColor="text1"/>
          <w:kern w:val="0"/>
          <w:sz w:val="32"/>
          <w:szCs w:val="32"/>
          <w14:textFill>
            <w14:solidFill>
              <w14:schemeClr w14:val="tx1"/>
            </w14:solidFill>
          </w14:textFill>
        </w:rPr>
      </w:pP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2</w:t>
      </w:r>
      <w:r>
        <w:rPr>
          <w:rFonts w:ascii="彩虹粗仿宋" w:hAnsi="宋体" w:eastAsia="彩虹粗仿宋" w:cs="Times New Roman"/>
          <w:snapToGrid w:val="0"/>
          <w:color w:val="000000" w:themeColor="text1"/>
          <w:kern w:val="0"/>
          <w:sz w:val="32"/>
          <w:szCs w:val="32"/>
          <w14:textFill>
            <w14:solidFill>
              <w14:schemeClr w14:val="tx1"/>
            </w14:solidFill>
          </w14:textFill>
        </w:rPr>
        <w:t>.</w:t>
      </w: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投入本项目人力方面</w:t>
      </w:r>
    </w:p>
    <w:tbl>
      <w:tblPr>
        <w:tblStyle w:val="18"/>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56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Borders>
              <w:top w:val="single" w:color="auto" w:sz="4" w:space="0"/>
              <w:left w:val="single" w:color="auto" w:sz="4" w:space="0"/>
              <w:bottom w:val="nil"/>
              <w:right w:val="nil"/>
            </w:tcBorders>
            <w:shd w:val="clear" w:color="auto" w:fill="5B9BD5" w:themeFill="accent1"/>
            <w:vAlign w:val="center"/>
          </w:tcPr>
          <w:p>
            <w:pPr>
              <w:spacing w:line="560" w:lineRule="exact"/>
              <w:rPr>
                <w:rFonts w:ascii="宋体" w:hAnsi="宋体" w:eastAsia="宋体" w:cs="宋体"/>
                <w:b w:val="0"/>
                <w:bCs w:val="0"/>
                <w:color w:val="FFFFFF" w:themeColor="background1"/>
                <w:kern w:val="0"/>
                <w:sz w:val="24"/>
                <w:szCs w:val="21"/>
                <w14:textFill>
                  <w14:solidFill>
                    <w14:schemeClr w14:val="bg1"/>
                  </w14:solidFill>
                </w14:textFill>
              </w:rPr>
            </w:pPr>
            <w:r>
              <w:rPr>
                <w:rFonts w:hint="eastAsia" w:ascii="宋体" w:hAnsi="宋体" w:eastAsia="宋体" w:cs="宋体"/>
                <w:b/>
                <w:bCs/>
                <w:color w:val="FFFFFF" w:themeColor="background1"/>
                <w:kern w:val="0"/>
                <w:sz w:val="24"/>
                <w:szCs w:val="21"/>
                <w14:textFill>
                  <w14:solidFill>
                    <w14:schemeClr w14:val="bg1"/>
                  </w14:solidFill>
                </w14:textFill>
              </w:rPr>
              <w:t>项目成员</w:t>
            </w:r>
          </w:p>
        </w:tc>
        <w:tc>
          <w:tcPr>
            <w:tcW w:w="1420" w:type="dxa"/>
            <w:tcBorders>
              <w:top w:val="single" w:color="auto" w:sz="4" w:space="0"/>
              <w:left w:val="single" w:color="auto" w:sz="4" w:space="0"/>
              <w:bottom w:val="single" w:color="auto" w:sz="4" w:space="0"/>
              <w:right w:val="single" w:color="auto" w:sz="4" w:space="0"/>
            </w:tcBorders>
            <w:shd w:val="clear" w:color="auto" w:fill="5B9BD5" w:themeFill="accent1"/>
            <w:vAlign w:val="center"/>
          </w:tcPr>
          <w:p>
            <w:pPr>
              <w:spacing w:line="560" w:lineRule="exact"/>
              <w:rPr>
                <w:rFonts w:ascii="宋体" w:hAnsi="宋体" w:eastAsia="宋体" w:cs="宋体"/>
                <w:b w:val="0"/>
                <w:bCs w:val="0"/>
                <w:color w:val="FFFFFF" w:themeColor="background1"/>
                <w:kern w:val="0"/>
                <w:sz w:val="24"/>
                <w:szCs w:val="21"/>
                <w14:textFill>
                  <w14:solidFill>
                    <w14:schemeClr w14:val="bg1"/>
                  </w14:solidFill>
                </w14:textFill>
              </w:rPr>
            </w:pPr>
            <w:r>
              <w:rPr>
                <w:rFonts w:hint="eastAsia" w:ascii="宋体" w:hAnsi="宋体" w:eastAsia="宋体" w:cs="宋体"/>
                <w:b/>
                <w:bCs/>
                <w:color w:val="FFFFFF" w:themeColor="background1"/>
                <w:kern w:val="0"/>
                <w:sz w:val="24"/>
                <w:szCs w:val="21"/>
                <w14:textFill>
                  <w14:solidFill>
                    <w14:schemeClr w14:val="bg1"/>
                  </w14:solidFill>
                </w14:textFill>
              </w:rPr>
              <w:t>人数</w:t>
            </w:r>
          </w:p>
        </w:tc>
        <w:tc>
          <w:tcPr>
            <w:tcW w:w="5632" w:type="dxa"/>
            <w:tcBorders>
              <w:top w:val="single" w:color="auto" w:sz="4" w:space="0"/>
              <w:left w:val="single" w:color="auto" w:sz="4" w:space="0"/>
              <w:bottom w:val="single" w:color="auto" w:sz="4" w:space="0"/>
              <w:right w:val="single" w:color="auto" w:sz="4" w:space="0"/>
            </w:tcBorders>
            <w:shd w:val="clear" w:color="auto" w:fill="5B9BD5" w:themeFill="accent1"/>
            <w:vAlign w:val="center"/>
          </w:tcPr>
          <w:p>
            <w:pPr>
              <w:spacing w:line="560" w:lineRule="exact"/>
              <w:rPr>
                <w:rFonts w:ascii="宋体" w:hAnsi="宋体" w:eastAsia="宋体" w:cs="宋体"/>
                <w:b w:val="0"/>
                <w:bCs w:val="0"/>
                <w:color w:val="FFFFFF" w:themeColor="background1"/>
                <w:kern w:val="0"/>
                <w:sz w:val="24"/>
                <w:szCs w:val="21"/>
                <w14:textFill>
                  <w14:solidFill>
                    <w14:schemeClr w14:val="bg1"/>
                  </w14:solidFill>
                </w14:textFill>
              </w:rPr>
            </w:pPr>
            <w:r>
              <w:rPr>
                <w:rFonts w:hint="eastAsia" w:ascii="宋体" w:hAnsi="宋体" w:eastAsia="宋体" w:cs="宋体"/>
                <w:b/>
                <w:bCs/>
                <w:color w:val="FFFFFF" w:themeColor="background1"/>
                <w:kern w:val="0"/>
                <w:sz w:val="24"/>
                <w:szCs w:val="21"/>
                <w14:textFill>
                  <w14:solidFill>
                    <w14:schemeClr w14:val="bg1"/>
                  </w14:solidFill>
                </w14:textFill>
              </w:rPr>
              <w:t>资质能力描述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420" w:type="dxa"/>
            <w:tcBorders>
              <w:top w:val="nil"/>
              <w:left w:val="single" w:color="auto" w:sz="4" w:space="0"/>
              <w:bottom w:val="nil"/>
              <w:right w:val="nil"/>
              <w:insideV w:val="nil"/>
            </w:tcBorders>
            <w:shd w:val="clear" w:color="auto" w:fill="FFFFFF" w:themeFill="background1"/>
            <w:vAlign w:val="center"/>
          </w:tcPr>
          <w:p>
            <w:pPr>
              <w:spacing w:line="560" w:lineRule="exact"/>
              <w:jc w:val="center"/>
              <w:rPr>
                <w:rFonts w:ascii="宋体" w:hAnsi="宋体" w:eastAsia="宋体" w:cs="宋体"/>
                <w:b w:val="0"/>
                <w:bCs w:val="0"/>
                <w:kern w:val="0"/>
                <w:sz w:val="21"/>
                <w:szCs w:val="21"/>
              </w:rPr>
            </w:pPr>
            <w:r>
              <w:rPr>
                <w:rFonts w:hint="eastAsia" w:ascii="宋体" w:hAnsi="宋体" w:eastAsia="宋体" w:cs="宋体"/>
                <w:b/>
                <w:bCs/>
                <w:kern w:val="0"/>
                <w:sz w:val="20"/>
                <w:szCs w:val="21"/>
              </w:rPr>
              <w:t>经理</w:t>
            </w:r>
          </w:p>
        </w:tc>
        <w:tc>
          <w:tcPr>
            <w:tcW w:w="1420" w:type="dxa"/>
            <w:tcBorders>
              <w:top w:val="nil"/>
              <w:left w:val="single" w:color="auto" w:sz="4" w:space="0"/>
              <w:bottom w:val="nil"/>
              <w:right w:val="single" w:color="auto" w:sz="4" w:space="0"/>
            </w:tcBorders>
            <w:vAlign w:val="center"/>
          </w:tcPr>
          <w:p>
            <w:pPr>
              <w:spacing w:line="560" w:lineRule="exact"/>
              <w:jc w:val="center"/>
              <w:rPr>
                <w:rFonts w:ascii="宋体" w:hAnsi="宋体" w:eastAsia="宋体" w:cs="宋体"/>
                <w:kern w:val="0"/>
                <w:sz w:val="20"/>
                <w:szCs w:val="21"/>
              </w:rPr>
            </w:pPr>
            <w:r>
              <w:rPr>
                <w:rFonts w:hint="eastAsia" w:ascii="宋体" w:hAnsi="宋体" w:eastAsia="宋体" w:cs="宋体"/>
                <w:kern w:val="0"/>
                <w:sz w:val="20"/>
                <w:szCs w:val="21"/>
              </w:rPr>
              <w:t>1人及以上</w:t>
            </w:r>
          </w:p>
        </w:tc>
        <w:tc>
          <w:tcPr>
            <w:tcW w:w="5632" w:type="dxa"/>
            <w:tcBorders>
              <w:top w:val="nil"/>
              <w:left w:val="single" w:color="auto" w:sz="4" w:space="0"/>
              <w:bottom w:val="nil"/>
              <w:right w:val="single" w:color="auto" w:sz="4" w:space="0"/>
            </w:tcBorders>
            <w:vAlign w:val="center"/>
          </w:tcPr>
          <w:p>
            <w:pPr>
              <w:spacing w:line="560" w:lineRule="exact"/>
              <w:rPr>
                <w:rFonts w:ascii="宋体" w:hAnsi="宋体" w:eastAsia="宋体" w:cs="宋体"/>
                <w:kern w:val="0"/>
                <w:sz w:val="20"/>
                <w:szCs w:val="21"/>
              </w:rPr>
            </w:pPr>
            <w:r>
              <w:rPr>
                <w:rFonts w:hint="eastAsia" w:ascii="宋体" w:hAnsi="宋体" w:eastAsia="宋体" w:cs="宋体"/>
                <w:kern w:val="0"/>
                <w:sz w:val="20"/>
                <w:szCs w:val="21"/>
              </w:rPr>
              <w:t>从业经验4年或以上，具有学士学位或以上学历，有注册税务师资格证书。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420" w:type="dxa"/>
            <w:tcBorders>
              <w:top w:val="single" w:color="auto" w:sz="4" w:space="0"/>
              <w:left w:val="single" w:color="auto" w:sz="4" w:space="0"/>
              <w:bottom w:val="single" w:color="auto" w:sz="4" w:space="0"/>
              <w:right w:val="nil"/>
              <w:insideV w:val="nil"/>
            </w:tcBorders>
            <w:shd w:val="clear" w:color="auto" w:fill="FFFFFF" w:themeFill="background1"/>
            <w:vAlign w:val="center"/>
          </w:tcPr>
          <w:p>
            <w:pPr>
              <w:spacing w:line="560" w:lineRule="exact"/>
              <w:jc w:val="center"/>
              <w:rPr>
                <w:rFonts w:ascii="宋体" w:hAnsi="宋体" w:eastAsia="宋体" w:cs="宋体"/>
                <w:b w:val="0"/>
                <w:bCs w:val="0"/>
                <w:kern w:val="0"/>
                <w:sz w:val="20"/>
                <w:szCs w:val="21"/>
              </w:rPr>
            </w:pPr>
            <w:r>
              <w:rPr>
                <w:rFonts w:hint="eastAsia" w:ascii="宋体" w:hAnsi="宋体" w:eastAsia="宋体" w:cs="宋体"/>
                <w:b/>
                <w:bCs/>
                <w:kern w:val="0"/>
                <w:sz w:val="20"/>
                <w:szCs w:val="21"/>
              </w:rPr>
              <w:t>助理</w:t>
            </w:r>
          </w:p>
        </w:tc>
        <w:tc>
          <w:tcPr>
            <w:tcW w:w="1420"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eastAsia="宋体" w:cs="宋体"/>
                <w:kern w:val="0"/>
                <w:sz w:val="20"/>
                <w:szCs w:val="21"/>
              </w:rPr>
            </w:pPr>
            <w:r>
              <w:rPr>
                <w:rFonts w:hint="eastAsia" w:ascii="宋体" w:hAnsi="宋体" w:eastAsia="宋体" w:cs="宋体"/>
                <w:kern w:val="0"/>
                <w:sz w:val="20"/>
                <w:szCs w:val="21"/>
              </w:rPr>
              <w:t>2人及以上</w:t>
            </w:r>
          </w:p>
        </w:tc>
        <w:tc>
          <w:tcPr>
            <w:tcW w:w="5632"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宋体" w:hAnsi="宋体" w:eastAsia="宋体" w:cs="宋体"/>
                <w:kern w:val="0"/>
                <w:sz w:val="20"/>
                <w:szCs w:val="21"/>
              </w:rPr>
            </w:pPr>
            <w:r>
              <w:rPr>
                <w:rFonts w:hint="eastAsia" w:ascii="宋体" w:hAnsi="宋体" w:eastAsia="宋体" w:cs="宋体"/>
                <w:kern w:val="0"/>
                <w:sz w:val="20"/>
                <w:szCs w:val="21"/>
              </w:rPr>
              <w:t>至少2人从业经验2年或以上；所有人均具有学士学位或以上学历。</w:t>
            </w:r>
          </w:p>
        </w:tc>
      </w:tr>
    </w:tbl>
    <w:p>
      <w:pPr>
        <w:adjustRightInd w:val="0"/>
        <w:snapToGrid w:val="0"/>
        <w:spacing w:line="560" w:lineRule="exact"/>
        <w:ind w:firstLine="640" w:firstLineChars="200"/>
        <w:rPr>
          <w:rFonts w:ascii="彩虹黑体" w:hAnsi="宋体" w:eastAsia="彩虹黑体"/>
          <w:snapToGrid w:val="0"/>
          <w:kern w:val="0"/>
          <w:sz w:val="32"/>
          <w:szCs w:val="32"/>
        </w:rPr>
      </w:pPr>
      <w:bookmarkStart w:id="0" w:name="_GoBack"/>
      <w:bookmarkEnd w:id="0"/>
      <w:r>
        <w:rPr>
          <w:rFonts w:hint="eastAsia" w:ascii="彩虹黑体" w:hAnsi="宋体" w:eastAsia="彩虹黑体"/>
          <w:snapToGrid w:val="0"/>
          <w:kern w:val="0"/>
          <w:sz w:val="32"/>
          <w:szCs w:val="32"/>
        </w:rPr>
        <w:t>四、服务品类</w:t>
      </w:r>
    </w:p>
    <w:p>
      <w:pPr>
        <w:adjustRightInd w:val="0"/>
        <w:snapToGrid w:val="0"/>
        <w:spacing w:line="560" w:lineRule="exact"/>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税务鉴证服务</w:t>
      </w:r>
    </w:p>
    <w:p>
      <w:pPr>
        <w:adjustRightInd w:val="0"/>
        <w:snapToGrid w:val="0"/>
        <w:spacing w:line="560" w:lineRule="exact"/>
        <w:ind w:firstLine="640" w:firstLineChars="200"/>
        <w:rPr>
          <w:rFonts w:ascii="彩虹黑体" w:hAnsi="宋体" w:eastAsia="彩虹黑体"/>
          <w:snapToGrid w:val="0"/>
          <w:kern w:val="0"/>
          <w:sz w:val="32"/>
          <w:szCs w:val="32"/>
        </w:rPr>
      </w:pPr>
      <w:r>
        <w:rPr>
          <w:rFonts w:hint="eastAsia" w:ascii="彩虹黑体" w:hAnsi="宋体" w:eastAsia="彩虹黑体"/>
          <w:snapToGrid w:val="0"/>
          <w:kern w:val="0"/>
          <w:sz w:val="32"/>
          <w:szCs w:val="32"/>
        </w:rPr>
        <w:t>五、服务内容</w:t>
      </w:r>
    </w:p>
    <w:p>
      <w:pPr>
        <w:adjustRightInd w:val="0"/>
        <w:snapToGrid w:val="0"/>
        <w:spacing w:line="560" w:lineRule="exact"/>
        <w:ind w:firstLine="707" w:firstLineChars="221"/>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（一）所得税汇算清缴</w:t>
      </w:r>
    </w:p>
    <w:p>
      <w:pPr>
        <w:adjustRightInd w:val="0"/>
        <w:snapToGrid w:val="0"/>
        <w:spacing w:line="560" w:lineRule="exact"/>
        <w:ind w:firstLine="707" w:firstLineChars="221"/>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在我行规定的时间内完成2025-2026年企业所得税的汇算清缴工作，并出具企业所得税汇算清缴审核报告。</w:t>
      </w:r>
    </w:p>
    <w:p>
      <w:pPr>
        <w:adjustRightInd w:val="0"/>
        <w:snapToGrid w:val="0"/>
        <w:spacing w:line="560" w:lineRule="exact"/>
        <w:ind w:firstLine="707" w:firstLineChars="221"/>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（二）资产损失税前扣除税务鉴定</w:t>
      </w:r>
    </w:p>
    <w:p>
      <w:pPr>
        <w:adjustRightInd w:val="0"/>
        <w:snapToGrid w:val="0"/>
        <w:spacing w:line="560" w:lineRule="exact"/>
        <w:ind w:firstLine="707" w:firstLineChars="221"/>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资产损失税前扣除税务鉴定服务包含两项工作。一是税务师事务所需分析判断我行不良资产损失是否能满足企业所得税税前扣除条件，对可在2</w:t>
      </w:r>
      <w:r>
        <w:rPr>
          <w:rFonts w:ascii="彩虹粗仿宋" w:hAnsi="宋体" w:eastAsia="彩虹粗仿宋"/>
          <w:snapToGrid w:val="0"/>
          <w:kern w:val="0"/>
          <w:sz w:val="32"/>
          <w:szCs w:val="32"/>
        </w:rPr>
        <w:t>025</w:t>
      </w:r>
      <w:r>
        <w:rPr>
          <w:rFonts w:hint="eastAsia" w:ascii="彩虹粗仿宋" w:hAnsi="宋体" w:eastAsia="彩虹粗仿宋"/>
          <w:snapToGrid w:val="0"/>
          <w:kern w:val="0"/>
          <w:sz w:val="32"/>
          <w:szCs w:val="32"/>
        </w:rPr>
        <w:t>年-</w:t>
      </w:r>
      <w:r>
        <w:rPr>
          <w:rFonts w:ascii="彩虹粗仿宋" w:hAnsi="宋体" w:eastAsia="彩虹粗仿宋"/>
          <w:snapToGrid w:val="0"/>
          <w:kern w:val="0"/>
          <w:sz w:val="32"/>
          <w:szCs w:val="32"/>
        </w:rPr>
        <w:t>2026</w:t>
      </w:r>
      <w:r>
        <w:rPr>
          <w:rFonts w:hint="eastAsia" w:ascii="彩虹粗仿宋" w:hAnsi="宋体" w:eastAsia="彩虹粗仿宋"/>
          <w:snapToGrid w:val="0"/>
          <w:kern w:val="0"/>
          <w:sz w:val="32"/>
          <w:szCs w:val="32"/>
        </w:rPr>
        <w:t>年企业所得税税前扣除的财产损失项目，出具鉴证报告。二是税务师事务所需协助我行每月维护核销管理台账，并审核由我行业务部门每月反馈的财产损失税前扣除资料。</w:t>
      </w:r>
    </w:p>
    <w:p>
      <w:pPr>
        <w:adjustRightInd w:val="0"/>
        <w:snapToGrid w:val="0"/>
        <w:spacing w:line="560" w:lineRule="exact"/>
        <w:ind w:firstLine="707" w:firstLineChars="221"/>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（二）税务咨询。税务师事务所需提供覆盖全辖的即时电话咨询。在必要情形下，需派出税务专家到甲方现场提供咨询服务。</w:t>
      </w:r>
    </w:p>
    <w:p>
      <w:pPr>
        <w:adjustRightInd w:val="0"/>
        <w:snapToGrid w:val="0"/>
        <w:spacing w:line="560" w:lineRule="exact"/>
        <w:ind w:firstLine="707" w:firstLineChars="221"/>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（三）税收政策信息传递与查询。供应商及时以传真、电话、电子邮件等方式向我行传递有关政策规定及涉税处理建议。</w:t>
      </w:r>
    </w:p>
    <w:p>
      <w:pPr>
        <w:adjustRightInd w:val="0"/>
        <w:snapToGrid w:val="0"/>
        <w:spacing w:line="560" w:lineRule="exact"/>
        <w:ind w:firstLine="707" w:firstLineChars="221"/>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（四）税收政策培训。为我行针对性制订税收培训计划，并提供不定期的税收培训；对我行适用的税收优惠政策给予及时提醒和辅导，对金融行业新出台的政策及时进行解读。。</w:t>
      </w:r>
    </w:p>
    <w:p>
      <w:pPr>
        <w:adjustRightInd w:val="0"/>
        <w:snapToGrid w:val="0"/>
        <w:spacing w:line="560" w:lineRule="exact"/>
        <w:ind w:firstLine="707" w:firstLineChars="221"/>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（五）其他。提供税务协调、税务检查、纳税申报代理、纳税审查等其他涉税服务。</w:t>
      </w:r>
    </w:p>
    <w:p>
      <w:pPr>
        <w:adjustRightInd w:val="0"/>
        <w:snapToGrid w:val="0"/>
        <w:spacing w:line="560" w:lineRule="exact"/>
        <w:ind w:firstLine="640" w:firstLineChars="200"/>
        <w:rPr>
          <w:rFonts w:ascii="彩虹黑体" w:hAnsi="宋体" w:eastAsia="彩虹黑体"/>
          <w:snapToGrid w:val="0"/>
          <w:kern w:val="0"/>
          <w:sz w:val="32"/>
          <w:szCs w:val="32"/>
        </w:rPr>
      </w:pPr>
      <w:r>
        <w:rPr>
          <w:rFonts w:hint="eastAsia" w:ascii="彩虹黑体" w:hAnsi="宋体" w:eastAsia="彩虹黑体"/>
          <w:snapToGrid w:val="0"/>
          <w:kern w:val="0"/>
          <w:sz w:val="32"/>
          <w:szCs w:val="32"/>
        </w:rPr>
        <w:t>六、服务责任与义务</w:t>
      </w:r>
    </w:p>
    <w:p>
      <w:pPr>
        <w:adjustRightInd w:val="0"/>
        <w:snapToGrid w:val="0"/>
        <w:spacing w:line="560" w:lineRule="exact"/>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（一）</w:t>
      </w:r>
      <w:r>
        <w:rPr>
          <w:rFonts w:ascii="彩虹粗仿宋" w:hAnsi="宋体" w:eastAsia="彩虹粗仿宋"/>
          <w:snapToGrid w:val="0"/>
          <w:kern w:val="0"/>
          <w:sz w:val="32"/>
          <w:szCs w:val="32"/>
        </w:rPr>
        <w:t>应严格按照现行税收相关法律、法规和政策规定以及《注册税务师管理暂行办法》及其有关规定，本着独立、客观、公正的原则，对</w:t>
      </w:r>
      <w:r>
        <w:rPr>
          <w:rFonts w:hint="eastAsia" w:ascii="彩虹粗仿宋" w:hAnsi="宋体" w:eastAsia="彩虹粗仿宋"/>
          <w:snapToGrid w:val="0"/>
          <w:kern w:val="0"/>
          <w:sz w:val="32"/>
          <w:szCs w:val="32"/>
        </w:rPr>
        <w:t>我方</w:t>
      </w:r>
      <w:r>
        <w:rPr>
          <w:rFonts w:ascii="彩虹粗仿宋" w:hAnsi="宋体" w:eastAsia="彩虹粗仿宋"/>
          <w:snapToGrid w:val="0"/>
          <w:kern w:val="0"/>
          <w:sz w:val="32"/>
          <w:szCs w:val="32"/>
        </w:rPr>
        <w:t xml:space="preserve">提供的有关资料进行鉴证。 </w:t>
      </w:r>
    </w:p>
    <w:p>
      <w:pPr>
        <w:adjustRightInd w:val="0"/>
        <w:snapToGrid w:val="0"/>
        <w:spacing w:line="560" w:lineRule="exact"/>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（二）</w:t>
      </w:r>
      <w:r>
        <w:rPr>
          <w:rFonts w:ascii="彩虹粗仿宋" w:hAnsi="宋体" w:eastAsia="彩虹粗仿宋"/>
          <w:snapToGrid w:val="0"/>
          <w:kern w:val="0"/>
          <w:sz w:val="32"/>
          <w:szCs w:val="32"/>
        </w:rPr>
        <w:t>应当制定合理计划和实施能够获取充分、适当证据的鉴证程序，为</w:t>
      </w:r>
      <w:r>
        <w:rPr>
          <w:rFonts w:hint="eastAsia" w:ascii="彩虹粗仿宋" w:hAnsi="宋体" w:eastAsia="彩虹粗仿宋"/>
          <w:snapToGrid w:val="0"/>
          <w:kern w:val="0"/>
          <w:sz w:val="32"/>
          <w:szCs w:val="32"/>
        </w:rPr>
        <w:t>我方</w:t>
      </w:r>
      <w:r>
        <w:rPr>
          <w:rFonts w:ascii="彩虹粗仿宋" w:hAnsi="宋体" w:eastAsia="彩虹粗仿宋"/>
          <w:snapToGrid w:val="0"/>
          <w:kern w:val="0"/>
          <w:sz w:val="32"/>
          <w:szCs w:val="32"/>
        </w:rPr>
        <w:t xml:space="preserve">的委托事项提供合理保证。 </w:t>
      </w:r>
    </w:p>
    <w:p>
      <w:pPr>
        <w:adjustRightInd w:val="0"/>
        <w:snapToGrid w:val="0"/>
        <w:spacing w:line="560" w:lineRule="exact"/>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三）严格保守我行商业秘密，在办理委托事项中知悉的我行信息予以保密，存储和使用我行数据应严格控制使用范围，相关资料、信息不得以任何理由向他人透漏或提供。具备数据安全保护能力，能够履行数据安全及信息保密责任和义务，能够配合我行开展数据安全评估或相关审查。解除合作关系后严禁以任何方式保存、使用、传播从我行获取的数据及相关衍生数据。如有任何信息泄露行为，赔偿我行全部损失，承担相应法律责任。</w:t>
      </w:r>
    </w:p>
    <w:p>
      <w:pPr>
        <w:adjustRightInd w:val="0"/>
        <w:snapToGrid w:val="0"/>
        <w:spacing w:line="560" w:lineRule="exact"/>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（四）</w:t>
      </w:r>
      <w:r>
        <w:rPr>
          <w:rFonts w:ascii="彩虹粗仿宋" w:hAnsi="宋体" w:eastAsia="彩虹粗仿宋"/>
          <w:snapToGrid w:val="0"/>
          <w:kern w:val="0"/>
          <w:sz w:val="32"/>
          <w:szCs w:val="32"/>
        </w:rPr>
        <w:t>由于过错导致</w:t>
      </w:r>
      <w:r>
        <w:rPr>
          <w:rFonts w:hint="eastAsia" w:ascii="彩虹粗仿宋" w:hAnsi="宋体" w:eastAsia="彩虹粗仿宋"/>
          <w:snapToGrid w:val="0"/>
          <w:kern w:val="0"/>
          <w:sz w:val="32"/>
          <w:szCs w:val="32"/>
        </w:rPr>
        <w:t>我方</w:t>
      </w:r>
      <w:r>
        <w:rPr>
          <w:rFonts w:ascii="彩虹粗仿宋" w:hAnsi="宋体" w:eastAsia="彩虹粗仿宋"/>
          <w:snapToGrid w:val="0"/>
          <w:kern w:val="0"/>
          <w:sz w:val="32"/>
          <w:szCs w:val="32"/>
        </w:rPr>
        <w:t>未按规定履行纳税义务的，应当按照有关法律、法规及相关规定承担相应的法律责任</w:t>
      </w:r>
      <w:r>
        <w:rPr>
          <w:rFonts w:hint="eastAsia" w:ascii="彩虹粗仿宋" w:hAnsi="宋体" w:eastAsia="彩虹粗仿宋"/>
          <w:snapToGrid w:val="0"/>
          <w:kern w:val="0"/>
          <w:sz w:val="32"/>
          <w:szCs w:val="32"/>
        </w:rPr>
        <w:t>。</w:t>
      </w:r>
      <w:r>
        <w:rPr>
          <w:rFonts w:ascii="彩虹粗仿宋" w:hAnsi="宋体" w:eastAsia="彩虹粗仿宋"/>
          <w:snapToGrid w:val="0"/>
          <w:kern w:val="0"/>
          <w:sz w:val="32"/>
          <w:szCs w:val="32"/>
        </w:rPr>
        <w:t>属于乙方原因未按约定时限完成委托事项并给</w:t>
      </w:r>
      <w:r>
        <w:rPr>
          <w:rFonts w:hint="eastAsia" w:ascii="彩虹粗仿宋" w:hAnsi="宋体" w:eastAsia="彩虹粗仿宋"/>
          <w:snapToGrid w:val="0"/>
          <w:kern w:val="0"/>
          <w:sz w:val="32"/>
          <w:szCs w:val="32"/>
        </w:rPr>
        <w:t>我</w:t>
      </w:r>
      <w:r>
        <w:rPr>
          <w:rFonts w:ascii="彩虹粗仿宋" w:hAnsi="宋体" w:eastAsia="彩虹粗仿宋"/>
          <w:snapToGrid w:val="0"/>
          <w:kern w:val="0"/>
          <w:sz w:val="32"/>
          <w:szCs w:val="32"/>
        </w:rPr>
        <w:t>方造成损失的（如滞纳金、罚款及其他等损失），应由乙方承担</w:t>
      </w:r>
      <w:r>
        <w:rPr>
          <w:rFonts w:hint="eastAsia" w:ascii="彩虹粗仿宋" w:hAnsi="宋体" w:eastAsia="彩虹粗仿宋"/>
          <w:snapToGrid w:val="0"/>
          <w:kern w:val="0"/>
          <w:sz w:val="32"/>
          <w:szCs w:val="32"/>
        </w:rPr>
        <w:t>我方</w:t>
      </w:r>
      <w:r>
        <w:rPr>
          <w:rFonts w:ascii="彩虹粗仿宋" w:hAnsi="宋体" w:eastAsia="彩虹粗仿宋"/>
          <w:snapToGrid w:val="0"/>
          <w:kern w:val="0"/>
          <w:sz w:val="32"/>
          <w:szCs w:val="32"/>
        </w:rPr>
        <w:t>因此造成的损失，并按合同总价款20%的比例支付违约金。</w:t>
      </w:r>
    </w:p>
    <w:p>
      <w:pPr>
        <w:adjustRightInd w:val="0"/>
        <w:snapToGrid w:val="0"/>
        <w:spacing w:line="560" w:lineRule="exact"/>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五）对于税务机关安排的税务检查，核查内容涉及资产损失税前扣除的合规性、企业所得税申报的准确性、增值税免税业务进项转出的合规性等，供应商应负责协助我行进行数据资料整理、相关政策支持以及与税务机关进行解释沟通。同时，不论供应商与我行签订的服务协议是否终止或提前解除，均需对当年出具的鉴证结果负责并积极配合我行应对税务机关后续检查的问题。</w:t>
      </w:r>
    </w:p>
    <w:p>
      <w:pPr>
        <w:adjustRightInd w:val="0"/>
        <w:snapToGrid w:val="0"/>
        <w:spacing w:line="560" w:lineRule="exact"/>
        <w:ind w:firstLine="640" w:firstLineChars="200"/>
        <w:rPr>
          <w:rFonts w:ascii="彩虹黑体" w:hAnsi="宋体" w:eastAsia="彩虹黑体"/>
          <w:snapToGrid w:val="0"/>
          <w:kern w:val="0"/>
          <w:sz w:val="32"/>
          <w:szCs w:val="32"/>
        </w:rPr>
      </w:pPr>
      <w:r>
        <w:rPr>
          <w:rFonts w:hint="eastAsia" w:ascii="彩虹黑体" w:hAnsi="宋体" w:eastAsia="彩虹黑体"/>
          <w:snapToGrid w:val="0"/>
          <w:kern w:val="0"/>
          <w:sz w:val="32"/>
          <w:szCs w:val="32"/>
        </w:rPr>
        <w:t>七、款项支付要求</w:t>
      </w:r>
    </w:p>
    <w:p>
      <w:pPr>
        <w:adjustRightInd w:val="0"/>
        <w:snapToGrid w:val="0"/>
        <w:spacing w:line="560" w:lineRule="exact"/>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我行按月支付相关服务费用，入选单位需向我行提供符合规定的增值税专用发票。具体以合同签订为准。</w:t>
      </w:r>
    </w:p>
    <w:p>
      <w:pPr>
        <w:adjustRightInd w:val="0"/>
        <w:snapToGrid w:val="0"/>
        <w:spacing w:line="360" w:lineRule="auto"/>
        <w:ind w:firstLine="640" w:firstLineChars="200"/>
        <w:rPr>
          <w:rFonts w:ascii="彩虹粗仿宋" w:hAnsi="宋体" w:eastAsia="彩虹粗仿宋"/>
          <w:snapToGrid w:val="0"/>
          <w:kern w:val="0"/>
          <w:sz w:val="32"/>
          <w:szCs w:val="32"/>
        </w:rPr>
      </w:pPr>
    </w:p>
    <w:p>
      <w:pPr>
        <w:ind w:firstLine="420" w:firstLineChars="200"/>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彩虹楷体">
    <w:panose1 w:val="03000509000000000000"/>
    <w:charset w:val="86"/>
    <w:family w:val="script"/>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564" w:lineRule="auto"/>
      </w:pPr>
      <w:r>
        <w:separator/>
      </w:r>
    </w:p>
  </w:footnote>
  <w:footnote w:type="continuationSeparator" w:id="1">
    <w:p>
      <w:pPr>
        <w:spacing w:line="564"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147"/>
    <w:rsid w:val="00012AFC"/>
    <w:rsid w:val="00023266"/>
    <w:rsid w:val="0004572F"/>
    <w:rsid w:val="00071F96"/>
    <w:rsid w:val="000962D2"/>
    <w:rsid w:val="000C1300"/>
    <w:rsid w:val="000C2FB9"/>
    <w:rsid w:val="00100BCB"/>
    <w:rsid w:val="001457FB"/>
    <w:rsid w:val="001F36A7"/>
    <w:rsid w:val="00240A6A"/>
    <w:rsid w:val="00255747"/>
    <w:rsid w:val="002818CF"/>
    <w:rsid w:val="0029361A"/>
    <w:rsid w:val="0033529F"/>
    <w:rsid w:val="00337C0B"/>
    <w:rsid w:val="00432147"/>
    <w:rsid w:val="00551C25"/>
    <w:rsid w:val="005631FF"/>
    <w:rsid w:val="005858C3"/>
    <w:rsid w:val="005F2EF6"/>
    <w:rsid w:val="00624D0C"/>
    <w:rsid w:val="00627016"/>
    <w:rsid w:val="00643AC4"/>
    <w:rsid w:val="00646A8D"/>
    <w:rsid w:val="006675E6"/>
    <w:rsid w:val="0068558F"/>
    <w:rsid w:val="00692DD0"/>
    <w:rsid w:val="00703185"/>
    <w:rsid w:val="00705D44"/>
    <w:rsid w:val="00733D34"/>
    <w:rsid w:val="007622BF"/>
    <w:rsid w:val="007A6B9F"/>
    <w:rsid w:val="007B4925"/>
    <w:rsid w:val="00807372"/>
    <w:rsid w:val="00876F54"/>
    <w:rsid w:val="008D7337"/>
    <w:rsid w:val="008F72C1"/>
    <w:rsid w:val="00914F99"/>
    <w:rsid w:val="009F0189"/>
    <w:rsid w:val="00A440F1"/>
    <w:rsid w:val="00A926D6"/>
    <w:rsid w:val="00AC619C"/>
    <w:rsid w:val="00AE7EC5"/>
    <w:rsid w:val="00B406F6"/>
    <w:rsid w:val="00BF437B"/>
    <w:rsid w:val="00BF7700"/>
    <w:rsid w:val="00C04D83"/>
    <w:rsid w:val="00C0639E"/>
    <w:rsid w:val="00C11DA4"/>
    <w:rsid w:val="00C215AF"/>
    <w:rsid w:val="00C71428"/>
    <w:rsid w:val="00C93916"/>
    <w:rsid w:val="00E3206A"/>
    <w:rsid w:val="00E81469"/>
    <w:rsid w:val="00F37357"/>
    <w:rsid w:val="00F70D20"/>
    <w:rsid w:val="00FD7A95"/>
    <w:rsid w:val="00FE021C"/>
    <w:rsid w:val="9FCF9C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564" w:lineRule="auto"/>
    </w:pPr>
    <w:rPr>
      <w:rFonts w:asciiTheme="minorHAnsi" w:hAnsiTheme="minorHAnsi" w:eastAsiaTheme="minorEastAsia" w:cstheme="minorBidi"/>
      <w:kern w:val="2"/>
      <w:sz w:val="21"/>
      <w:szCs w:val="21"/>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style>
  <w:style w:type="paragraph" w:styleId="3">
    <w:name w:val="Date"/>
    <w:basedOn w:val="1"/>
    <w:next w:val="1"/>
    <w:link w:val="19"/>
    <w:semiHidden/>
    <w:unhideWhenUsed/>
    <w:qFormat/>
    <w:uiPriority w:val="99"/>
    <w:pPr>
      <w:ind w:left="100" w:leftChars="2500"/>
    </w:pPr>
  </w:style>
  <w:style w:type="paragraph" w:styleId="4">
    <w:name w:val="Balloon Text"/>
    <w:basedOn w:val="1"/>
    <w:link w:val="16"/>
    <w:semiHidden/>
    <w:unhideWhenUsed/>
    <w:qFormat/>
    <w:uiPriority w:val="99"/>
    <w:pPr>
      <w:spacing w:line="240" w:lineRule="auto"/>
    </w:pPr>
    <w:rPr>
      <w:sz w:val="18"/>
      <w:szCs w:val="18"/>
    </w:rPr>
  </w:style>
  <w:style w:type="paragraph" w:styleId="5">
    <w:name w:val="footer"/>
    <w:basedOn w:val="1"/>
    <w:link w:val="12"/>
    <w:unhideWhenUsed/>
    <w:qFormat/>
    <w:uiPriority w:val="99"/>
    <w:pPr>
      <w:tabs>
        <w:tab w:val="center" w:pos="4153"/>
        <w:tab w:val="right" w:pos="8306"/>
      </w:tabs>
      <w:snapToGrid w:val="0"/>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5"/>
    <w:semiHidden/>
    <w:unhideWhenUsed/>
    <w:qFormat/>
    <w:uiPriority w:val="99"/>
    <w:rPr>
      <w:b/>
      <w:bCs/>
    </w:rPr>
  </w:style>
  <w:style w:type="character" w:styleId="10">
    <w:name w:val="annotation reference"/>
    <w:basedOn w:val="9"/>
    <w:semiHidden/>
    <w:unhideWhenUsed/>
    <w:qFormat/>
    <w:uiPriority w:val="99"/>
    <w:rPr>
      <w:sz w:val="21"/>
      <w:szCs w:val="21"/>
    </w:rPr>
  </w:style>
  <w:style w:type="character" w:customStyle="1" w:styleId="11">
    <w:name w:val="页眉 字符"/>
    <w:basedOn w:val="9"/>
    <w:link w:val="6"/>
    <w:qFormat/>
    <w:uiPriority w:val="99"/>
    <w:rPr>
      <w:sz w:val="18"/>
      <w:szCs w:val="18"/>
    </w:rPr>
  </w:style>
  <w:style w:type="character" w:customStyle="1" w:styleId="12">
    <w:name w:val="页脚 字符"/>
    <w:basedOn w:val="9"/>
    <w:link w:val="5"/>
    <w:qFormat/>
    <w:uiPriority w:val="99"/>
    <w:rPr>
      <w:sz w:val="18"/>
      <w:szCs w:val="18"/>
    </w:rPr>
  </w:style>
  <w:style w:type="paragraph" w:styleId="13">
    <w:name w:val="List Paragraph"/>
    <w:basedOn w:val="1"/>
    <w:qFormat/>
    <w:uiPriority w:val="34"/>
    <w:pPr>
      <w:ind w:firstLine="420" w:firstLineChars="200"/>
    </w:pPr>
  </w:style>
  <w:style w:type="character" w:customStyle="1" w:styleId="14">
    <w:name w:val="批注文字 字符"/>
    <w:basedOn w:val="9"/>
    <w:link w:val="2"/>
    <w:semiHidden/>
    <w:qFormat/>
    <w:uiPriority w:val="99"/>
  </w:style>
  <w:style w:type="character" w:customStyle="1" w:styleId="15">
    <w:name w:val="批注主题 字符"/>
    <w:basedOn w:val="14"/>
    <w:link w:val="7"/>
    <w:semiHidden/>
    <w:qFormat/>
    <w:uiPriority w:val="99"/>
    <w:rPr>
      <w:b/>
      <w:bCs/>
    </w:rPr>
  </w:style>
  <w:style w:type="character" w:customStyle="1" w:styleId="16">
    <w:name w:val="批注框文本 字符"/>
    <w:basedOn w:val="9"/>
    <w:link w:val="4"/>
    <w:semiHidden/>
    <w:qFormat/>
    <w:uiPriority w:val="99"/>
    <w:rPr>
      <w:sz w:val="18"/>
      <w:szCs w:val="18"/>
    </w:rPr>
  </w:style>
  <w:style w:type="paragraph" w:customStyle="1" w:styleId="17">
    <w:name w:val="Revision"/>
    <w:hidden/>
    <w:semiHidden/>
    <w:qFormat/>
    <w:uiPriority w:val="99"/>
    <w:pPr>
      <w:spacing w:line="240" w:lineRule="auto"/>
    </w:pPr>
    <w:rPr>
      <w:rFonts w:asciiTheme="minorHAnsi" w:hAnsiTheme="minorHAnsi" w:eastAsiaTheme="minorEastAsia" w:cstheme="minorBidi"/>
      <w:kern w:val="2"/>
      <w:sz w:val="21"/>
      <w:szCs w:val="21"/>
      <w:lang w:val="en-US" w:eastAsia="zh-CN" w:bidi="ar-SA"/>
    </w:rPr>
  </w:style>
  <w:style w:type="table" w:customStyle="1" w:styleId="18">
    <w:name w:val="清单表 3 - 着色 11"/>
    <w:basedOn w:val="8"/>
    <w:qFormat/>
    <w:uiPriority w:val="48"/>
    <w:pPr>
      <w:spacing w:line="240" w:lineRule="auto"/>
    </w:pPr>
    <w:rPr>
      <w:rFonts w:eastAsia="Times New Roman"/>
      <w:kern w:val="0"/>
      <w:sz w:val="20"/>
      <w:szCs w:val="20"/>
    </w:rPr>
    <w:tblPr>
      <w:tblBorders>
        <w:top w:val="single" w:color="5B9BD5" w:themeColor="accent1" w:sz="4" w:space="0"/>
        <w:left w:val="single" w:color="5B9BD5" w:themeColor="accent1" w:sz="4" w:space="0"/>
        <w:bottom w:val="single" w:color="5B9BD5" w:themeColor="accent1" w:sz="4" w:space="0"/>
        <w:right w:val="single" w:color="5B9BD5" w:themeColor="accent1" w:sz="4" w:space="0"/>
      </w:tblBorders>
    </w:tblPr>
    <w:tblStylePr w:type="firstRow">
      <w:rPr>
        <w:b/>
        <w:bCs/>
        <w:color w:val="FFFFFF" w:themeColor="background1"/>
        <w14:textFill>
          <w14:solidFill>
            <w14:schemeClr w14:val="bg1"/>
          </w14:solidFill>
        </w14:textFill>
      </w:rPr>
      <w:tcPr>
        <w:shd w:val="clear" w:color="auto" w:fill="5B9BD5" w:themeFill="accent1"/>
      </w:tcPr>
    </w:tblStylePr>
    <w:tblStylePr w:type="lastRow">
      <w:rPr>
        <w:b/>
        <w:bCs/>
      </w:rPr>
      <w:tcPr>
        <w:tcBorders>
          <w:top w:val="double" w:color="5B9BD5" w:themeColor="accent1"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1" w:sz="4" w:space="0"/>
          <w:right w:val="single" w:color="5B9BD5" w:themeColor="accent1" w:sz="4" w:space="0"/>
        </w:tcBorders>
      </w:tcPr>
    </w:tblStylePr>
    <w:tblStylePr w:type="band1Horz">
      <w:tcPr>
        <w:tcBorders>
          <w:top w:val="single" w:color="5B9BD5" w:themeColor="accent1" w:sz="4" w:space="0"/>
          <w:bottom w:val="single" w:color="5B9BD5" w:themeColor="accent1"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1" w:sz="4" w:space="0"/>
          <w:left w:val="nil"/>
        </w:tcBorders>
      </w:tcPr>
    </w:tblStylePr>
    <w:tblStylePr w:type="swCell">
      <w:tcPr>
        <w:tcBorders>
          <w:top w:val="double" w:color="5B9BD5" w:themeColor="accent1" w:sz="4" w:space="0"/>
          <w:right w:val="nil"/>
        </w:tcBorders>
      </w:tcPr>
    </w:tblStylePr>
  </w:style>
  <w:style w:type="character" w:customStyle="1" w:styleId="19">
    <w:name w:val="日期 字符"/>
    <w:basedOn w:val="9"/>
    <w:link w:val="3"/>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CCB</Company>
  <Pages>1</Pages>
  <Words>254</Words>
  <Characters>1454</Characters>
  <Lines>12</Lines>
  <Paragraphs>3</Paragraphs>
  <TotalTime>158</TotalTime>
  <ScaleCrop>false</ScaleCrop>
  <LinksUpToDate>false</LinksUpToDate>
  <CharactersWithSpaces>1705</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2025-10-16T13:48:00Z</dcterms:created>
  <dc:creator>Apache POI</dc:creator>
  <cp:lastModifiedBy>ccb</cp:lastModifiedBy>
  <dcterms:modified xsi:type="dcterms:W3CDTF">2025-10-20T10:36:35Z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8800148EBEDC807C33A0F5686F82807F</vt:lpwstr>
  </property>
</Properties>
</file>