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230F38">
      <w:pPr>
        <w:numPr>
          <w:ilvl w:val="0"/>
          <w:numId w:val="0"/>
        </w:numPr>
        <w:spacing w:line="560" w:lineRule="exact"/>
        <w:jc w:val="center"/>
        <w:rPr>
          <w:rFonts w:hint="eastAsia" w:ascii="彩虹黑体" w:hAnsi="宋体" w:eastAsia="彩虹黑体" w:cs="宋体"/>
          <w:b/>
          <w:bCs/>
          <w:color w:val="000000"/>
          <w:kern w:val="0"/>
          <w:sz w:val="36"/>
          <w:szCs w:val="36"/>
        </w:rPr>
      </w:pPr>
      <w:r>
        <w:rPr>
          <w:rFonts w:hint="eastAsia" w:ascii="彩虹黑体" w:hAnsi="宋体" w:eastAsia="彩虹黑体" w:cs="宋体"/>
          <w:b/>
          <w:bCs/>
          <w:color w:val="000000"/>
          <w:kern w:val="0"/>
          <w:sz w:val="36"/>
          <w:szCs w:val="36"/>
        </w:rPr>
        <w:t>采购需求</w:t>
      </w:r>
    </w:p>
    <w:p w14:paraId="78871E69">
      <w:pPr>
        <w:numPr>
          <w:ilvl w:val="0"/>
          <w:numId w:val="0"/>
        </w:numPr>
        <w:spacing w:line="560" w:lineRule="exact"/>
        <w:rPr>
          <w:rFonts w:hint="eastAsia" w:ascii="彩虹黑体" w:hAnsi="宋体" w:eastAsia="彩虹黑体" w:cs="宋体"/>
          <w:b/>
          <w:bCs/>
          <w:color w:val="000000"/>
          <w:kern w:val="0"/>
          <w:sz w:val="36"/>
          <w:szCs w:val="36"/>
          <w:lang w:eastAsia="zh-CN"/>
        </w:rPr>
      </w:pPr>
    </w:p>
    <w:p w14:paraId="73441D91">
      <w:pPr>
        <w:numPr>
          <w:ilvl w:val="0"/>
          <w:numId w:val="0"/>
        </w:numPr>
        <w:spacing w:line="560" w:lineRule="exact"/>
        <w:ind w:firstLine="643" w:firstLineChars="200"/>
        <w:rPr>
          <w:rFonts w:hint="eastAsia" w:ascii="彩虹粗仿宋" w:hAnsi="宋体" w:eastAsia="彩虹粗仿宋"/>
          <w:b/>
          <w:bCs/>
          <w:snapToGrid w:val="0"/>
          <w:kern w:val="0"/>
          <w:sz w:val="32"/>
          <w:szCs w:val="32"/>
        </w:rPr>
      </w:pPr>
      <w:r>
        <w:rPr>
          <w:rFonts w:hint="eastAsia" w:ascii="彩虹粗仿宋" w:hAnsi="宋体" w:eastAsia="彩虹粗仿宋"/>
          <w:b/>
          <w:bCs/>
          <w:snapToGrid w:val="0"/>
          <w:kern w:val="0"/>
          <w:sz w:val="32"/>
          <w:szCs w:val="32"/>
          <w:lang w:eastAsia="zh-CN"/>
        </w:rPr>
        <w:t>一、</w:t>
      </w:r>
      <w:r>
        <w:rPr>
          <w:rFonts w:hint="eastAsia" w:ascii="彩虹粗仿宋" w:hAnsi="宋体" w:eastAsia="彩虹粗仿宋"/>
          <w:b/>
          <w:bCs/>
          <w:snapToGrid w:val="0"/>
          <w:kern w:val="0"/>
          <w:sz w:val="32"/>
          <w:szCs w:val="32"/>
        </w:rPr>
        <w:t>供应商资质要求，包括候选商注册资本、专业资质、相关认证、专利技术、专业技术人员等级，生产（供货）能力、售后服务机构设置等要求。</w:t>
      </w:r>
    </w:p>
    <w:p w14:paraId="43C7B1A5">
      <w:pPr>
        <w:ind w:firstLine="640" w:firstLineChars="200"/>
        <w:rPr>
          <w:rFonts w:ascii="彩虹粗仿宋" w:hAnsi="宋体" w:eastAsia="彩虹粗仿宋" w:cs="Times New Roman"/>
          <w:snapToGrid w:val="0"/>
          <w:kern w:val="0"/>
          <w:sz w:val="32"/>
          <w:szCs w:val="32"/>
          <w:highlight w:val="none"/>
        </w:rPr>
      </w:pPr>
      <w:r>
        <w:rPr>
          <w:rFonts w:hint="eastAsia" w:ascii="彩虹粗仿宋" w:hAnsi="宋体" w:eastAsia="彩虹粗仿宋" w:cs="Times New Roman"/>
          <w:snapToGrid w:val="0"/>
          <w:kern w:val="0"/>
          <w:sz w:val="32"/>
          <w:szCs w:val="32"/>
          <w:highlight w:val="none"/>
          <w:lang w:eastAsia="zh-CN"/>
        </w:rPr>
        <w:t>（一）</w:t>
      </w:r>
      <w:r>
        <w:rPr>
          <w:rFonts w:hint="eastAsia" w:ascii="彩虹粗仿宋" w:hAnsi="宋体" w:eastAsia="彩虹粗仿宋" w:cs="Times New Roman"/>
          <w:snapToGrid w:val="0"/>
          <w:kern w:val="0"/>
          <w:sz w:val="32"/>
          <w:szCs w:val="32"/>
          <w:highlight w:val="none"/>
        </w:rPr>
        <w:t>公司资质：营业执照经营范围有软件开发</w:t>
      </w:r>
      <w:r>
        <w:rPr>
          <w:rFonts w:hint="eastAsia" w:ascii="彩虹粗仿宋" w:hAnsi="宋体" w:eastAsia="彩虹粗仿宋" w:cs="Times New Roman"/>
          <w:snapToGrid w:val="0"/>
          <w:kern w:val="0"/>
          <w:sz w:val="32"/>
          <w:szCs w:val="32"/>
          <w:highlight w:val="none"/>
          <w:lang w:eastAsia="zh-CN"/>
        </w:rPr>
        <w:t>；技术开发</w:t>
      </w:r>
      <w:r>
        <w:rPr>
          <w:rFonts w:hint="eastAsia" w:ascii="彩虹粗仿宋" w:hAnsi="宋体" w:eastAsia="彩虹粗仿宋" w:cs="Times New Roman"/>
          <w:snapToGrid w:val="0"/>
          <w:kern w:val="0"/>
          <w:sz w:val="32"/>
          <w:szCs w:val="32"/>
          <w:highlight w:val="none"/>
        </w:rPr>
        <w:t>；系统集成或与之相关的内容之一。</w:t>
      </w:r>
    </w:p>
    <w:p w14:paraId="32C5E9DB">
      <w:pPr>
        <w:ind w:firstLine="640" w:firstLineChars="200"/>
        <w:rPr>
          <w:rFonts w:hint="default" w:ascii="彩虹粗仿宋" w:hAnsi="宋体" w:eastAsia="彩虹粗仿宋" w:cs="Times New Roman"/>
          <w:snapToGrid w:val="0"/>
          <w:kern w:val="0"/>
          <w:sz w:val="32"/>
          <w:szCs w:val="32"/>
          <w:highlight w:val="none"/>
          <w:lang w:val="en-US" w:eastAsia="zh-CN"/>
        </w:rPr>
      </w:pPr>
      <w:r>
        <w:rPr>
          <w:rFonts w:hint="eastAsia" w:ascii="彩虹粗仿宋" w:hAnsi="宋体" w:eastAsia="彩虹粗仿宋" w:cs="Times New Roman"/>
          <w:snapToGrid w:val="0"/>
          <w:kern w:val="0"/>
          <w:sz w:val="32"/>
          <w:szCs w:val="32"/>
          <w:highlight w:val="none"/>
          <w:lang w:eastAsia="zh-CN"/>
        </w:rPr>
        <w:t>（二）注册资本：</w:t>
      </w:r>
      <w:r>
        <w:rPr>
          <w:rFonts w:hint="eastAsia" w:ascii="彩虹粗仿宋" w:hAnsi="宋体" w:eastAsia="彩虹粗仿宋" w:cs="Times New Roman"/>
          <w:snapToGrid w:val="0"/>
          <w:kern w:val="0"/>
          <w:sz w:val="32"/>
          <w:szCs w:val="32"/>
          <w:highlight w:val="none"/>
          <w:lang w:val="en-US" w:eastAsia="zh-CN"/>
        </w:rPr>
        <w:t>100万元（含）以上人民币。</w:t>
      </w:r>
    </w:p>
    <w:p w14:paraId="13BBA62E">
      <w:pPr>
        <w:ind w:firstLine="640" w:firstLineChars="200"/>
        <w:rPr>
          <w:rFonts w:hint="eastAsia" w:ascii="彩虹粗仿宋" w:hAnsi="宋体" w:eastAsia="彩虹粗仿宋" w:cs="Times New Roman"/>
          <w:snapToGrid w:val="0"/>
          <w:kern w:val="0"/>
          <w:sz w:val="32"/>
          <w:szCs w:val="32"/>
          <w:highlight w:val="none"/>
          <w:lang w:eastAsia="zh-CN"/>
        </w:rPr>
      </w:pPr>
      <w:r>
        <w:rPr>
          <w:rFonts w:hint="eastAsia" w:ascii="彩虹粗仿宋" w:hAnsi="宋体" w:eastAsia="彩虹粗仿宋" w:cs="Times New Roman"/>
          <w:snapToGrid w:val="0"/>
          <w:kern w:val="0"/>
          <w:sz w:val="32"/>
          <w:szCs w:val="32"/>
          <w:highlight w:val="none"/>
          <w:lang w:eastAsia="zh-CN"/>
        </w:rPr>
        <w:t>（三）</w:t>
      </w:r>
      <w:r>
        <w:rPr>
          <w:rFonts w:hint="eastAsia" w:ascii="彩虹粗仿宋" w:hAnsi="宋体" w:eastAsia="彩虹粗仿宋" w:cs="Times New Roman"/>
          <w:snapToGrid w:val="0"/>
          <w:kern w:val="0"/>
          <w:sz w:val="32"/>
          <w:szCs w:val="32"/>
          <w:highlight w:val="none"/>
          <w:lang w:val="en-US" w:eastAsia="zh-CN"/>
        </w:rPr>
        <w:t>经营年限</w:t>
      </w:r>
      <w:r>
        <w:rPr>
          <w:rFonts w:hint="eastAsia" w:ascii="彩虹粗仿宋" w:hAnsi="宋体" w:eastAsia="彩虹粗仿宋" w:cs="Times New Roman"/>
          <w:snapToGrid w:val="0"/>
          <w:kern w:val="0"/>
          <w:sz w:val="32"/>
          <w:szCs w:val="32"/>
          <w:highlight w:val="none"/>
        </w:rPr>
        <w:t>：已有一年（含）以上</w:t>
      </w:r>
      <w:r>
        <w:rPr>
          <w:rFonts w:hint="eastAsia" w:ascii="彩虹粗仿宋" w:hAnsi="宋体" w:eastAsia="彩虹粗仿宋" w:cs="Times New Roman"/>
          <w:snapToGrid w:val="0"/>
          <w:kern w:val="0"/>
          <w:sz w:val="32"/>
          <w:szCs w:val="32"/>
          <w:highlight w:val="none"/>
          <w:lang w:eastAsia="zh-CN"/>
        </w:rPr>
        <w:t>。</w:t>
      </w:r>
    </w:p>
    <w:p w14:paraId="3D307F44">
      <w:pPr>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highlight w:val="none"/>
          <w:lang w:eastAsia="zh-CN"/>
        </w:rPr>
        <w:t>（四）</w:t>
      </w:r>
      <w:r>
        <w:rPr>
          <w:rFonts w:hint="eastAsia" w:ascii="彩虹粗仿宋" w:hAnsi="宋体" w:eastAsia="彩虹粗仿宋" w:cs="Times New Roman"/>
          <w:snapToGrid w:val="0"/>
          <w:kern w:val="0"/>
          <w:sz w:val="32"/>
          <w:szCs w:val="32"/>
          <w:highlight w:val="none"/>
        </w:rPr>
        <w:t>项目经验：具有信息系统服务经验。（以签订的合作合同或协</w:t>
      </w:r>
      <w:r>
        <w:rPr>
          <w:rFonts w:hint="eastAsia" w:ascii="彩虹粗仿宋" w:hAnsi="宋体" w:eastAsia="彩虹粗仿宋" w:cs="Times New Roman"/>
          <w:snapToGrid w:val="0"/>
          <w:kern w:val="0"/>
          <w:sz w:val="32"/>
          <w:szCs w:val="32"/>
        </w:rPr>
        <w:t>议为准）</w:t>
      </w:r>
      <w:r>
        <w:rPr>
          <w:rFonts w:hint="eastAsia" w:ascii="彩虹粗仿宋" w:hAnsi="宋体" w:eastAsia="彩虹粗仿宋" w:cs="Times New Roman"/>
          <w:snapToGrid w:val="0"/>
          <w:kern w:val="0"/>
          <w:sz w:val="32"/>
          <w:szCs w:val="32"/>
          <w:lang w:eastAsia="zh-CN"/>
        </w:rPr>
        <w:t>。</w:t>
      </w:r>
    </w:p>
    <w:p w14:paraId="7A989472">
      <w:pPr>
        <w:numPr>
          <w:ilvl w:val="0"/>
          <w:numId w:val="0"/>
        </w:numPr>
        <w:spacing w:line="560" w:lineRule="exact"/>
        <w:rPr>
          <w:rFonts w:hint="eastAsia" w:ascii="彩虹粗仿宋" w:hAnsi="宋体" w:eastAsia="彩虹粗仿宋"/>
          <w:b/>
          <w:bCs/>
          <w:sz w:val="32"/>
          <w:szCs w:val="32"/>
          <w:lang w:eastAsia="zh-CN"/>
        </w:rPr>
      </w:pPr>
    </w:p>
    <w:p w14:paraId="4B57D7E6">
      <w:pPr>
        <w:numPr>
          <w:ilvl w:val="0"/>
          <w:numId w:val="0"/>
        </w:numPr>
        <w:spacing w:line="560" w:lineRule="exact"/>
        <w:ind w:firstLine="643" w:firstLineChars="200"/>
        <w:rPr>
          <w:rFonts w:hint="eastAsia" w:ascii="彩虹粗仿宋" w:hAnsi="宋体" w:eastAsia="彩虹粗仿宋"/>
          <w:b/>
          <w:bCs/>
          <w:sz w:val="32"/>
          <w:szCs w:val="32"/>
        </w:rPr>
      </w:pPr>
      <w:r>
        <w:rPr>
          <w:rFonts w:hint="eastAsia" w:ascii="彩虹粗仿宋" w:hAnsi="宋体" w:eastAsia="彩虹粗仿宋"/>
          <w:b/>
          <w:bCs/>
          <w:sz w:val="32"/>
          <w:szCs w:val="32"/>
          <w:lang w:eastAsia="zh-CN"/>
        </w:rPr>
        <w:t>二、</w:t>
      </w:r>
      <w:r>
        <w:rPr>
          <w:rFonts w:hint="eastAsia" w:ascii="彩虹粗仿宋" w:hAnsi="宋体" w:eastAsia="彩虹粗仿宋"/>
          <w:b/>
          <w:bCs/>
          <w:sz w:val="32"/>
          <w:szCs w:val="32"/>
        </w:rPr>
        <w:t>系统背景说明</w:t>
      </w:r>
    </w:p>
    <w:p w14:paraId="41217384">
      <w:pPr>
        <w:adjustRightInd w:val="0"/>
        <w:snapToGrid w:val="0"/>
        <w:spacing w:line="560" w:lineRule="atLeast"/>
        <w:ind w:firstLine="643"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（一）项目建设内容</w:t>
      </w:r>
    </w:p>
    <w:p w14:paraId="15A01789">
      <w:pPr>
        <w:spacing w:line="560" w:lineRule="exact"/>
        <w:ind w:firstLine="640" w:firstLineChars="200"/>
        <w:rPr>
          <w:rFonts w:hint="eastAsia" w:ascii="彩虹粗仿宋" w:hAnsi="宋体" w:eastAsia="彩虹粗仿宋"/>
          <w:sz w:val="32"/>
          <w:szCs w:val="32"/>
          <w:lang w:eastAsia="zh-CN"/>
        </w:rPr>
      </w:pPr>
      <w:r>
        <w:rPr>
          <w:rFonts w:hint="eastAsia" w:ascii="彩虹粗仿宋" w:hAnsi="宋体" w:eastAsia="彩虹粗仿宋"/>
          <w:sz w:val="32"/>
          <w:szCs w:val="32"/>
        </w:rPr>
        <w:t>根据汕头市财政局、人社局、医保局的业务发展需要，拟选取1家入选供应商，为建行汕头市分行开发以下4套软件和配置相关硬件（共有4个子项目）</w:t>
      </w:r>
      <w:r>
        <w:rPr>
          <w:rFonts w:hint="eastAsia" w:ascii="彩虹粗仿宋" w:hAnsi="宋体" w:eastAsia="彩虹粗仿宋"/>
          <w:sz w:val="32"/>
          <w:szCs w:val="32"/>
          <w:lang w:eastAsia="zh-CN"/>
        </w:rPr>
        <w:t>。</w:t>
      </w:r>
    </w:p>
    <w:p w14:paraId="0D4D07DA">
      <w:pPr>
        <w:spacing w:line="560" w:lineRule="exact"/>
        <w:ind w:firstLine="643" w:firstLineChars="200"/>
        <w:rPr>
          <w:rFonts w:hint="eastAsia" w:ascii="彩虹粗仿宋" w:hAnsi="宋体" w:eastAsia="彩虹粗仿宋"/>
          <w:b/>
          <w:bCs/>
          <w:sz w:val="32"/>
          <w:szCs w:val="32"/>
          <w:lang w:eastAsia="zh-CN"/>
        </w:rPr>
      </w:pPr>
      <w:r>
        <w:rPr>
          <w:rFonts w:hint="eastAsia" w:ascii="彩虹粗仿宋" w:hAnsi="宋体" w:eastAsia="彩虹粗仿宋"/>
          <w:b/>
          <w:bCs/>
          <w:sz w:val="32"/>
          <w:szCs w:val="32"/>
          <w:lang w:eastAsia="zh-CN"/>
        </w:rPr>
        <w:t>项目</w:t>
      </w:r>
      <w:r>
        <w:rPr>
          <w:rFonts w:hint="eastAsia" w:ascii="彩虹粗仿宋" w:hAnsi="宋体" w:eastAsia="彩虹粗仿宋"/>
          <w:b/>
          <w:bCs/>
          <w:sz w:val="32"/>
          <w:szCs w:val="32"/>
          <w:lang w:val="en-US" w:eastAsia="zh-CN"/>
        </w:rPr>
        <w:t>一：</w:t>
      </w:r>
      <w:r>
        <w:rPr>
          <w:rFonts w:hint="eastAsia" w:ascii="彩虹粗仿宋" w:hAnsi="宋体" w:eastAsia="彩虹粗仿宋"/>
          <w:b/>
          <w:bCs/>
          <w:sz w:val="32"/>
          <w:szCs w:val="32"/>
          <w:lang w:eastAsia="zh-CN"/>
        </w:rPr>
        <w:t>财政专户管理系统（含社保基金）功能模块</w:t>
      </w:r>
      <w:r>
        <w:rPr>
          <w:rFonts w:hint="eastAsia" w:ascii="彩虹粗仿宋" w:hAnsi="宋体" w:eastAsia="彩虹粗仿宋"/>
          <w:b/>
          <w:bCs/>
          <w:sz w:val="32"/>
          <w:szCs w:val="32"/>
          <w:lang w:val="en-US" w:eastAsia="zh-CN"/>
        </w:rPr>
        <w:t>项目</w:t>
      </w:r>
    </w:p>
    <w:p w14:paraId="3FF8D7EB">
      <w:pPr>
        <w:spacing w:line="560" w:lineRule="exact"/>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由于业务流程的变化，业务数据的深化，根据汕头市财政局对财政专户管理需求，需要在不改变原来系统运行结构模式的基础上，对目前正使用的软件系统进行改造，在现有系统上，新增部分功能模块。以保证整个业务系统的正常运行。</w:t>
      </w:r>
    </w:p>
    <w:p w14:paraId="501D352B">
      <w:pPr>
        <w:spacing w:line="560" w:lineRule="exact"/>
        <w:ind w:firstLine="643" w:firstLineChars="200"/>
        <w:rPr>
          <w:rFonts w:hint="default" w:ascii="彩虹粗仿宋" w:hAnsi="宋体" w:eastAsia="彩虹粗仿宋"/>
          <w:b/>
          <w:bCs/>
          <w:sz w:val="32"/>
          <w:szCs w:val="32"/>
          <w:lang w:val="en-US" w:eastAsia="zh-CN"/>
        </w:rPr>
      </w:pPr>
      <w:r>
        <w:rPr>
          <w:rFonts w:hint="eastAsia" w:ascii="彩虹粗仿宋" w:hAnsi="宋体" w:eastAsia="彩虹粗仿宋"/>
          <w:b/>
          <w:bCs/>
          <w:sz w:val="32"/>
          <w:szCs w:val="32"/>
          <w:lang w:eastAsia="zh-CN"/>
        </w:rPr>
        <w:t>项目</w:t>
      </w:r>
      <w:r>
        <w:rPr>
          <w:rFonts w:hint="eastAsia" w:ascii="彩虹粗仿宋" w:hAnsi="宋体" w:eastAsia="彩虹粗仿宋"/>
          <w:b/>
          <w:bCs/>
          <w:sz w:val="32"/>
          <w:szCs w:val="32"/>
          <w:lang w:val="en-US" w:eastAsia="zh-CN"/>
        </w:rPr>
        <w:t>二：汕头市社保卡“一卡通”应用项目</w:t>
      </w:r>
    </w:p>
    <w:p w14:paraId="6EE3CEA7">
      <w:pPr>
        <w:spacing w:line="560" w:lineRule="exact"/>
        <w:ind w:firstLine="640" w:firstLineChars="200"/>
        <w:rPr>
          <w:rFonts w:hint="eastAsia" w:ascii="彩虹粗仿宋" w:hAnsi="宋体" w:eastAsia="彩虹粗仿宋"/>
          <w:b/>
          <w:bCs/>
          <w:sz w:val="32"/>
          <w:szCs w:val="32"/>
          <w:lang w:eastAsia="zh-CN"/>
        </w:rPr>
      </w:pPr>
      <w:r>
        <w:rPr>
          <w:rFonts w:hint="eastAsia" w:ascii="彩虹粗仿宋" w:hAnsi="宋体" w:eastAsia="彩虹粗仿宋"/>
          <w:sz w:val="32"/>
          <w:szCs w:val="32"/>
        </w:rPr>
        <w:t>根据《广东省人民政府办公厅关于印发广东省社会保障卡居民服务“一卡通”工作方案的通知》（粤办函〔</w:t>
      </w:r>
      <w:r>
        <w:rPr>
          <w:rFonts w:ascii="彩虹粗仿宋" w:hAnsi="宋体" w:eastAsia="彩虹粗仿宋"/>
          <w:sz w:val="32"/>
          <w:szCs w:val="32"/>
        </w:rPr>
        <w:t>2022〕254号）的文件精神，</w:t>
      </w:r>
      <w:r>
        <w:rPr>
          <w:rFonts w:hint="eastAsia" w:ascii="彩虹粗仿宋" w:hAnsi="宋体" w:eastAsia="彩虹粗仿宋"/>
          <w:sz w:val="32"/>
          <w:szCs w:val="32"/>
          <w:lang w:eastAsia="zh-CN"/>
        </w:rPr>
        <w:t>汕头拟</w:t>
      </w:r>
      <w:r>
        <w:rPr>
          <w:rFonts w:hint="eastAsia" w:ascii="彩虹粗仿宋" w:hAnsi="宋体" w:eastAsia="彩虹粗仿宋"/>
          <w:sz w:val="32"/>
          <w:szCs w:val="32"/>
        </w:rPr>
        <w:t>实现以社保卡为载体</w:t>
      </w:r>
      <w:r>
        <w:rPr>
          <w:rFonts w:hint="eastAsia" w:ascii="彩虹粗仿宋" w:hAnsi="宋体" w:eastAsia="彩虹粗仿宋" w:cs="Times New Roman"/>
          <w:sz w:val="32"/>
          <w:szCs w:val="32"/>
          <w:lang w:eastAsia="zh-CN"/>
        </w:rPr>
        <w:t>，</w:t>
      </w:r>
      <w:r>
        <w:rPr>
          <w:rFonts w:hint="eastAsia" w:ascii="彩虹粗仿宋" w:hAnsi="宋体" w:eastAsia="彩虹粗仿宋" w:cs="Times New Roman"/>
          <w:sz w:val="32"/>
          <w:szCs w:val="32"/>
        </w:rPr>
        <w:t>将社保卡与公交IC卡办卡、充值、消费</w:t>
      </w:r>
      <w:r>
        <w:rPr>
          <w:rFonts w:hint="eastAsia" w:ascii="彩虹粗仿宋" w:hAnsi="宋体" w:eastAsia="彩虹粗仿宋" w:cs="Times New Roman"/>
          <w:sz w:val="32"/>
          <w:szCs w:val="32"/>
          <w:lang w:eastAsia="zh-CN"/>
        </w:rPr>
        <w:t>及图书馆借阅、预约、缴费等业务深度融合，实现参保人</w:t>
      </w:r>
      <w:r>
        <w:rPr>
          <w:rFonts w:hint="eastAsia" w:ascii="彩虹粗仿宋" w:hAnsi="宋体" w:eastAsia="彩虹粗仿宋" w:cs="Times New Roman"/>
          <w:sz w:val="32"/>
          <w:szCs w:val="32"/>
        </w:rPr>
        <w:t>在</w:t>
      </w:r>
      <w:r>
        <w:rPr>
          <w:rFonts w:hint="eastAsia" w:ascii="彩虹粗仿宋" w:hAnsi="宋体" w:eastAsia="彩虹粗仿宋" w:cs="Times New Roman"/>
          <w:sz w:val="32"/>
          <w:szCs w:val="32"/>
          <w:lang w:eastAsia="zh-CN"/>
        </w:rPr>
        <w:t>银行</w:t>
      </w:r>
      <w:r>
        <w:rPr>
          <w:rFonts w:hint="eastAsia" w:ascii="彩虹粗仿宋" w:hAnsi="宋体" w:eastAsia="彩虹粗仿宋" w:cs="Times New Roman"/>
          <w:sz w:val="32"/>
          <w:szCs w:val="32"/>
        </w:rPr>
        <w:t>领社保卡时</w:t>
      </w:r>
      <w:r>
        <w:rPr>
          <w:rFonts w:hint="eastAsia" w:ascii="彩虹粗仿宋" w:hAnsi="宋体" w:eastAsia="彩虹粗仿宋" w:cs="Times New Roman"/>
          <w:sz w:val="32"/>
          <w:szCs w:val="32"/>
          <w:lang w:eastAsia="zh-CN"/>
        </w:rPr>
        <w:t>可以一并</w:t>
      </w:r>
      <w:r>
        <w:rPr>
          <w:rFonts w:hint="eastAsia" w:ascii="彩虹粗仿宋" w:hAnsi="宋体" w:eastAsia="彩虹粗仿宋" w:cs="Times New Roman"/>
          <w:sz w:val="32"/>
          <w:szCs w:val="32"/>
        </w:rPr>
        <w:t>开通公交乘车功能，</w:t>
      </w:r>
      <w:r>
        <w:rPr>
          <w:rFonts w:hint="eastAsia" w:ascii="彩虹粗仿宋" w:hAnsi="宋体" w:eastAsia="彩虹粗仿宋" w:cs="Times New Roman"/>
          <w:sz w:val="32"/>
          <w:szCs w:val="32"/>
          <w:lang w:eastAsia="zh-CN"/>
        </w:rPr>
        <w:t>同时</w:t>
      </w:r>
      <w:r>
        <w:rPr>
          <w:rFonts w:hint="eastAsia" w:ascii="彩虹粗仿宋" w:hAnsi="宋体" w:eastAsia="彩虹粗仿宋" w:cs="Times New Roman"/>
          <w:sz w:val="32"/>
          <w:szCs w:val="32"/>
        </w:rPr>
        <w:t>实现</w:t>
      </w:r>
      <w:r>
        <w:rPr>
          <w:rFonts w:hint="eastAsia" w:ascii="彩虹粗仿宋" w:hAnsi="宋体" w:eastAsia="彩虹粗仿宋" w:cs="Times New Roman"/>
          <w:sz w:val="32"/>
          <w:szCs w:val="32"/>
          <w:lang w:eastAsia="zh-CN"/>
        </w:rPr>
        <w:t>社保卡在图书馆的</w:t>
      </w:r>
      <w:r>
        <w:rPr>
          <w:rFonts w:hint="eastAsia" w:ascii="彩虹粗仿宋" w:hAnsi="宋体" w:eastAsia="彩虹粗仿宋" w:cs="Times New Roman"/>
          <w:sz w:val="32"/>
          <w:szCs w:val="32"/>
        </w:rPr>
        <w:t>一卡通用</w:t>
      </w:r>
      <w:r>
        <w:rPr>
          <w:rFonts w:hint="eastAsia" w:ascii="彩虹粗仿宋" w:hAnsi="宋体" w:eastAsia="彩虹粗仿宋" w:cs="Times New Roman"/>
          <w:sz w:val="32"/>
          <w:szCs w:val="32"/>
          <w:lang w:eastAsia="zh-CN"/>
        </w:rPr>
        <w:t>。</w:t>
      </w:r>
    </w:p>
    <w:p w14:paraId="4F5DA224">
      <w:pPr>
        <w:spacing w:line="560" w:lineRule="exact"/>
        <w:ind w:firstLine="643" w:firstLineChars="200"/>
        <w:rPr>
          <w:rFonts w:hint="eastAsia" w:ascii="彩虹粗仿宋" w:hAnsi="宋体" w:eastAsia="彩虹粗仿宋"/>
          <w:b/>
          <w:bCs/>
          <w:sz w:val="32"/>
          <w:szCs w:val="32"/>
          <w:lang w:eastAsia="zh-CN"/>
        </w:rPr>
      </w:pPr>
      <w:r>
        <w:rPr>
          <w:rFonts w:hint="eastAsia" w:ascii="彩虹粗仿宋" w:hAnsi="宋体" w:eastAsia="彩虹粗仿宋"/>
          <w:b/>
          <w:bCs/>
          <w:sz w:val="32"/>
          <w:szCs w:val="32"/>
          <w:lang w:eastAsia="zh-CN"/>
        </w:rPr>
        <w:t>项目三</w:t>
      </w:r>
      <w:r>
        <w:rPr>
          <w:rFonts w:hint="eastAsia" w:ascii="彩虹粗仿宋" w:hAnsi="宋体" w:eastAsia="彩虹粗仿宋"/>
          <w:b/>
          <w:bCs/>
          <w:sz w:val="32"/>
          <w:szCs w:val="32"/>
          <w:lang w:val="en-US" w:eastAsia="zh-CN"/>
        </w:rPr>
        <w:t>：</w:t>
      </w:r>
      <w:r>
        <w:rPr>
          <w:rFonts w:hint="eastAsia" w:ascii="彩虹粗仿宋" w:hAnsi="宋体" w:eastAsia="彩虹粗仿宋"/>
          <w:b/>
          <w:bCs/>
          <w:sz w:val="32"/>
          <w:szCs w:val="32"/>
          <w:lang w:eastAsia="zh-CN"/>
        </w:rPr>
        <w:t>汕头市医疗保险信息管理系统新增功能项目</w:t>
      </w:r>
    </w:p>
    <w:p w14:paraId="7448FDEB">
      <w:pPr>
        <w:spacing w:line="560" w:lineRule="exact"/>
        <w:ind w:firstLine="640" w:firstLineChars="200"/>
        <w:rPr>
          <w:rFonts w:hint="eastAsia" w:ascii="彩虹粗仿宋" w:hAnsi="宋体" w:eastAsia="彩虹粗仿宋"/>
          <w:sz w:val="32"/>
          <w:szCs w:val="32"/>
        </w:rPr>
      </w:pPr>
      <w:r>
        <w:rPr>
          <w:rFonts w:hint="eastAsia" w:ascii="彩虹粗仿宋" w:hAnsi="宋体" w:eastAsia="彩虹粗仿宋"/>
          <w:sz w:val="32"/>
          <w:szCs w:val="32"/>
        </w:rPr>
        <w:t>依据国家、省、市等各级部门出台的相关文件精神，汕头市积极推进“医疗保险信息管理系统”的迭代建设与政策调整的功能性应用，通过系统化整合与流程再造，实现多重医疗保障业务的高效落地。包括国家集中采购预拨购药款信息的全链路精细化管理、基本医疗保障政策、医疗救助“一站式”、“粤省事”、基本医疗保险病种分值调整、基本医疗保险门诊特定病种管理等，确保医保基金的高效使用，提升参保人对医保服务的获得感和满意度。</w:t>
      </w:r>
    </w:p>
    <w:p w14:paraId="2B09B52C">
      <w:pPr>
        <w:spacing w:line="560" w:lineRule="exact"/>
        <w:ind w:firstLine="643" w:firstLineChars="200"/>
        <w:rPr>
          <w:rFonts w:hint="eastAsia" w:ascii="彩虹粗仿宋" w:hAnsi="宋体" w:eastAsia="彩虹粗仿宋"/>
          <w:b/>
          <w:bCs/>
          <w:sz w:val="32"/>
          <w:szCs w:val="32"/>
          <w:lang w:eastAsia="zh-CN"/>
        </w:rPr>
      </w:pPr>
      <w:r>
        <w:rPr>
          <w:rFonts w:hint="eastAsia" w:ascii="彩虹粗仿宋" w:hAnsi="宋体" w:eastAsia="彩虹粗仿宋"/>
          <w:b/>
          <w:bCs/>
          <w:sz w:val="32"/>
          <w:szCs w:val="32"/>
          <w:lang w:eastAsia="zh-CN"/>
        </w:rPr>
        <w:t>项目</w:t>
      </w:r>
      <w:r>
        <w:rPr>
          <w:rFonts w:hint="eastAsia" w:ascii="彩虹粗仿宋" w:hAnsi="宋体" w:eastAsia="彩虹粗仿宋"/>
          <w:b/>
          <w:bCs/>
          <w:sz w:val="32"/>
          <w:szCs w:val="32"/>
          <w:lang w:val="en-US" w:eastAsia="zh-CN"/>
        </w:rPr>
        <w:t>四：</w:t>
      </w:r>
      <w:r>
        <w:rPr>
          <w:rFonts w:hint="eastAsia" w:ascii="彩虹粗仿宋" w:hAnsi="宋体" w:eastAsia="彩虹粗仿宋"/>
          <w:b/>
          <w:bCs/>
          <w:sz w:val="32"/>
          <w:szCs w:val="32"/>
          <w:lang w:eastAsia="zh-CN"/>
        </w:rPr>
        <w:t>汕头市社会保险基金集中管控系统新增功能项目</w:t>
      </w:r>
    </w:p>
    <w:p w14:paraId="47C66028">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汕头市社会保险基金集中管控系统建设项目</w:t>
      </w:r>
      <w:r>
        <w:rPr>
          <w:rFonts w:hint="eastAsia" w:ascii="彩虹粗仿宋" w:hAnsi="宋体" w:eastAsia="彩虹粗仿宋"/>
          <w:sz w:val="32"/>
          <w:szCs w:val="32"/>
          <w:lang w:eastAsia="zh-CN"/>
        </w:rPr>
        <w:t>于</w:t>
      </w:r>
      <w:r>
        <w:rPr>
          <w:rFonts w:hint="eastAsia" w:ascii="彩虹粗仿宋" w:hAnsi="宋体" w:eastAsia="彩虹粗仿宋"/>
          <w:sz w:val="32"/>
          <w:szCs w:val="32"/>
        </w:rPr>
        <w:t>2014年9月份启动建设，</w:t>
      </w:r>
      <w:r>
        <w:rPr>
          <w:rFonts w:hint="eastAsia" w:ascii="彩虹粗仿宋" w:hAnsi="宋体" w:eastAsia="彩虹粗仿宋"/>
          <w:sz w:val="32"/>
          <w:szCs w:val="32"/>
          <w:lang w:eastAsia="zh-CN"/>
        </w:rPr>
        <w:t>至今经历了多次改造升级，实现了</w:t>
      </w:r>
      <w:r>
        <w:rPr>
          <w:rFonts w:hint="eastAsia" w:ascii="彩虹粗仿宋" w:hAnsi="宋体" w:eastAsia="彩虹粗仿宋"/>
          <w:sz w:val="32"/>
          <w:szCs w:val="32"/>
        </w:rPr>
        <w:t>基金财务会计凭证记账、出纳记账、财务报表、基金支付等系统财务业务一体化及社银网支付对接</w:t>
      </w:r>
      <w:r>
        <w:rPr>
          <w:rFonts w:hint="eastAsia" w:ascii="彩虹粗仿宋" w:hAnsi="宋体" w:eastAsia="彩虹粗仿宋"/>
          <w:sz w:val="32"/>
          <w:szCs w:val="32"/>
          <w:lang w:eastAsia="zh-CN"/>
        </w:rPr>
        <w:t>。</w:t>
      </w:r>
      <w:r>
        <w:rPr>
          <w:rFonts w:hint="eastAsia" w:ascii="彩虹粗仿宋" w:hAnsi="宋体" w:eastAsia="彩虹粗仿宋"/>
          <w:sz w:val="32"/>
          <w:szCs w:val="32"/>
        </w:rPr>
        <w:t>随着国家政策的调整，业务模式的改变，系统需要新增</w:t>
      </w:r>
      <w:r>
        <w:rPr>
          <w:rFonts w:hint="eastAsia" w:ascii="彩虹粗仿宋" w:hAnsi="宋体" w:eastAsia="彩虹粗仿宋"/>
          <w:sz w:val="32"/>
          <w:szCs w:val="32"/>
          <w:lang w:eastAsia="zh-CN"/>
        </w:rPr>
        <w:t>功能，以满足日常业务需求。</w:t>
      </w:r>
    </w:p>
    <w:p w14:paraId="605615BE">
      <w:pPr>
        <w:numPr>
          <w:ilvl w:val="0"/>
          <w:numId w:val="0"/>
        </w:numPr>
        <w:adjustRightInd w:val="0"/>
        <w:snapToGrid w:val="0"/>
        <w:spacing w:line="560" w:lineRule="atLeast"/>
        <w:ind w:firstLine="643" w:firstLineChars="200"/>
        <w:rPr>
          <w:rFonts w:hint="eastAsia"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lang w:eastAsia="zh-CN"/>
        </w:rPr>
        <w:t>（二）</w:t>
      </w:r>
      <w:r>
        <w:rPr>
          <w:rFonts w:hint="eastAsia" w:ascii="彩虹粗仿宋" w:hAnsi="宋体" w:eastAsia="彩虹粗仿宋" w:cs="Times New Roman"/>
          <w:b/>
          <w:snapToGrid w:val="0"/>
          <w:kern w:val="0"/>
          <w:sz w:val="32"/>
          <w:szCs w:val="32"/>
        </w:rPr>
        <w:t>项目需求清单：</w:t>
      </w:r>
    </w:p>
    <w:p w14:paraId="708EB9FD">
      <w:pPr>
        <w:spacing w:line="560" w:lineRule="exact"/>
        <w:ind w:firstLine="643" w:firstLineChars="200"/>
        <w:rPr>
          <w:rFonts w:hint="eastAsia" w:ascii="彩虹粗仿宋" w:hAnsi="宋体" w:eastAsia="彩虹粗仿宋"/>
          <w:b/>
          <w:bCs/>
          <w:sz w:val="32"/>
          <w:szCs w:val="32"/>
          <w:lang w:eastAsia="zh-CN"/>
        </w:rPr>
      </w:pPr>
      <w:r>
        <w:rPr>
          <w:rFonts w:hint="eastAsia" w:ascii="彩虹粗仿宋" w:hAnsi="宋体" w:eastAsia="彩虹粗仿宋"/>
          <w:b/>
          <w:bCs/>
          <w:sz w:val="32"/>
          <w:szCs w:val="32"/>
          <w:lang w:val="en-US" w:eastAsia="zh-CN"/>
        </w:rPr>
        <w:t>1.</w:t>
      </w:r>
      <w:r>
        <w:rPr>
          <w:rFonts w:hint="eastAsia" w:ascii="彩虹粗仿宋" w:hAnsi="宋体" w:eastAsia="彩虹粗仿宋"/>
          <w:b/>
          <w:bCs/>
          <w:sz w:val="32"/>
          <w:szCs w:val="32"/>
          <w:lang w:eastAsia="zh-CN"/>
        </w:rPr>
        <w:t>项目</w:t>
      </w:r>
      <w:r>
        <w:rPr>
          <w:rFonts w:hint="eastAsia" w:ascii="彩虹粗仿宋" w:hAnsi="宋体" w:eastAsia="彩虹粗仿宋"/>
          <w:b/>
          <w:bCs/>
          <w:sz w:val="32"/>
          <w:szCs w:val="32"/>
          <w:lang w:val="en-US" w:eastAsia="zh-CN"/>
        </w:rPr>
        <w:t>一：</w:t>
      </w:r>
      <w:r>
        <w:rPr>
          <w:rFonts w:hint="eastAsia" w:ascii="彩虹粗仿宋" w:hAnsi="宋体" w:eastAsia="彩虹粗仿宋"/>
          <w:b/>
          <w:bCs/>
          <w:sz w:val="32"/>
          <w:szCs w:val="32"/>
          <w:lang w:eastAsia="zh-CN"/>
        </w:rPr>
        <w:t>财政专户管理系统（含社保基金）功能模块</w:t>
      </w:r>
      <w:r>
        <w:rPr>
          <w:rFonts w:hint="eastAsia" w:ascii="彩虹粗仿宋" w:hAnsi="宋体" w:eastAsia="彩虹粗仿宋"/>
          <w:b/>
          <w:bCs/>
          <w:sz w:val="32"/>
          <w:szCs w:val="32"/>
          <w:lang w:val="en-US" w:eastAsia="zh-CN"/>
        </w:rPr>
        <w:t>项目</w:t>
      </w:r>
    </w:p>
    <w:p w14:paraId="60400677">
      <w:pPr>
        <w:spacing w:line="360" w:lineRule="auto"/>
        <w:ind w:firstLine="640" w:firstLineChars="200"/>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本项目仅包括软件。</w:t>
      </w:r>
    </w:p>
    <w:tbl>
      <w:tblPr>
        <w:tblStyle w:val="4"/>
        <w:tblW w:w="9490" w:type="dxa"/>
        <w:jc w:val="center"/>
        <w:tblLayout w:type="autofit"/>
        <w:tblCellMar>
          <w:top w:w="0" w:type="dxa"/>
          <w:left w:w="108" w:type="dxa"/>
          <w:bottom w:w="0" w:type="dxa"/>
          <w:right w:w="108" w:type="dxa"/>
        </w:tblCellMar>
      </w:tblPr>
      <w:tblGrid>
        <w:gridCol w:w="873"/>
        <w:gridCol w:w="7126"/>
        <w:gridCol w:w="819"/>
        <w:gridCol w:w="672"/>
      </w:tblGrid>
      <w:tr w14:paraId="33F8B3B6">
        <w:tblPrEx>
          <w:tblCellMar>
            <w:top w:w="0" w:type="dxa"/>
            <w:left w:w="108" w:type="dxa"/>
            <w:bottom w:w="0" w:type="dxa"/>
            <w:right w:w="108" w:type="dxa"/>
          </w:tblCellMar>
        </w:tblPrEx>
        <w:trPr>
          <w:trHeight w:val="315" w:hRule="atLeast"/>
          <w:jc w:val="center"/>
        </w:trPr>
        <w:tc>
          <w:tcPr>
            <w:tcW w:w="873" w:type="dxa"/>
            <w:tcBorders>
              <w:top w:val="single" w:color="000000" w:sz="4" w:space="0"/>
              <w:left w:val="single" w:color="000000" w:sz="4" w:space="0"/>
              <w:bottom w:val="single" w:color="000000" w:sz="4" w:space="0"/>
              <w:right w:val="single" w:color="000000" w:sz="4" w:space="0"/>
            </w:tcBorders>
            <w:noWrap w:val="0"/>
            <w:vAlign w:val="center"/>
          </w:tcPr>
          <w:p w14:paraId="4330839C">
            <w:pPr>
              <w:widowControl/>
              <w:jc w:val="center"/>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软件名称</w:t>
            </w:r>
          </w:p>
        </w:tc>
        <w:tc>
          <w:tcPr>
            <w:tcW w:w="7126" w:type="dxa"/>
            <w:tcBorders>
              <w:top w:val="single" w:color="000000" w:sz="4" w:space="0"/>
              <w:left w:val="single" w:color="000000" w:sz="4" w:space="0"/>
              <w:bottom w:val="single" w:color="000000" w:sz="4" w:space="0"/>
              <w:right w:val="single" w:color="000000" w:sz="4" w:space="0"/>
            </w:tcBorders>
            <w:noWrap w:val="0"/>
            <w:vAlign w:val="center"/>
          </w:tcPr>
          <w:p w14:paraId="4FBCCB4A">
            <w:pPr>
              <w:widowControl/>
              <w:jc w:val="center"/>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功能点</w:t>
            </w:r>
          </w:p>
        </w:tc>
        <w:tc>
          <w:tcPr>
            <w:tcW w:w="819" w:type="dxa"/>
            <w:tcBorders>
              <w:top w:val="single" w:color="000000" w:sz="4" w:space="0"/>
              <w:left w:val="single" w:color="000000" w:sz="4" w:space="0"/>
              <w:bottom w:val="single" w:color="000000" w:sz="4" w:space="0"/>
              <w:right w:val="single" w:color="000000" w:sz="4" w:space="0"/>
            </w:tcBorders>
            <w:noWrap w:val="0"/>
            <w:vAlign w:val="center"/>
          </w:tcPr>
          <w:p w14:paraId="4FD9F426">
            <w:pPr>
              <w:widowControl/>
              <w:jc w:val="center"/>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单位</w:t>
            </w:r>
          </w:p>
        </w:tc>
        <w:tc>
          <w:tcPr>
            <w:tcW w:w="672" w:type="dxa"/>
            <w:tcBorders>
              <w:top w:val="single" w:color="000000" w:sz="4" w:space="0"/>
              <w:left w:val="single" w:color="000000" w:sz="4" w:space="0"/>
              <w:bottom w:val="single" w:color="000000" w:sz="4" w:space="0"/>
              <w:right w:val="single" w:color="000000" w:sz="4" w:space="0"/>
            </w:tcBorders>
            <w:noWrap w:val="0"/>
            <w:vAlign w:val="center"/>
          </w:tcPr>
          <w:p w14:paraId="2B9E8353">
            <w:pPr>
              <w:widowControl/>
              <w:jc w:val="center"/>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数量</w:t>
            </w:r>
          </w:p>
        </w:tc>
      </w:tr>
      <w:tr w14:paraId="4D7893E6">
        <w:tblPrEx>
          <w:tblCellMar>
            <w:top w:w="0" w:type="dxa"/>
            <w:left w:w="108" w:type="dxa"/>
            <w:bottom w:w="0" w:type="dxa"/>
            <w:right w:w="108" w:type="dxa"/>
          </w:tblCellMar>
        </w:tblPrEx>
        <w:trPr>
          <w:trHeight w:val="315" w:hRule="atLeast"/>
          <w:jc w:val="center"/>
        </w:trPr>
        <w:tc>
          <w:tcPr>
            <w:tcW w:w="873" w:type="dxa"/>
            <w:vMerge w:val="restart"/>
            <w:tcBorders>
              <w:top w:val="single" w:color="000000" w:sz="4" w:space="0"/>
              <w:left w:val="single" w:color="000000" w:sz="4" w:space="0"/>
              <w:right w:val="single" w:color="000000" w:sz="4" w:space="0"/>
            </w:tcBorders>
            <w:noWrap w:val="0"/>
            <w:vAlign w:val="center"/>
          </w:tcPr>
          <w:p w14:paraId="08F67C52">
            <w:pPr>
              <w:widowControl/>
              <w:jc w:val="center"/>
              <w:textAlignment w:val="center"/>
              <w:rPr>
                <w:rFonts w:hint="eastAsia" w:ascii="彩虹粗仿宋" w:hAnsi="彩虹粗仿宋" w:eastAsia="彩虹粗仿宋" w:cs="彩虹粗仿宋"/>
                <w:color w:val="000000"/>
                <w:kern w:val="0"/>
                <w:sz w:val="22"/>
                <w:lang w:eastAsia="zh-CN" w:bidi="ar"/>
              </w:rPr>
            </w:pPr>
            <w:r>
              <w:rPr>
                <w:rFonts w:hint="eastAsia" w:ascii="彩虹粗仿宋" w:hAnsi="彩虹粗仿宋" w:eastAsia="彩虹粗仿宋" w:cs="彩虹粗仿宋"/>
                <w:color w:val="000000"/>
                <w:kern w:val="0"/>
                <w:sz w:val="22"/>
                <w:lang w:bidi="ar"/>
              </w:rPr>
              <w:t>财政专户管理系统（含社保基金）功能模块</w:t>
            </w:r>
            <w:r>
              <w:rPr>
                <w:rFonts w:hint="eastAsia" w:ascii="彩虹粗仿宋" w:hAnsi="彩虹粗仿宋" w:eastAsia="彩虹粗仿宋" w:cs="彩虹粗仿宋"/>
                <w:color w:val="000000"/>
                <w:kern w:val="0"/>
                <w:sz w:val="22"/>
                <w:lang w:eastAsia="zh-CN" w:bidi="ar"/>
              </w:rPr>
              <w:t>软件</w:t>
            </w:r>
          </w:p>
        </w:tc>
        <w:tc>
          <w:tcPr>
            <w:tcW w:w="7126" w:type="dxa"/>
            <w:tcBorders>
              <w:top w:val="single" w:color="000000" w:sz="4" w:space="0"/>
              <w:left w:val="single" w:color="000000" w:sz="4" w:space="0"/>
              <w:bottom w:val="single" w:color="000000" w:sz="4" w:space="0"/>
              <w:right w:val="single" w:color="000000" w:sz="4" w:space="0"/>
            </w:tcBorders>
            <w:noWrap w:val="0"/>
            <w:vAlign w:val="center"/>
          </w:tcPr>
          <w:p w14:paraId="73EE7016">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1.新增新的导入模板(Excel格式)，用于每天接收从银行返回的数据。</w:t>
            </w:r>
          </w:p>
        </w:tc>
        <w:tc>
          <w:tcPr>
            <w:tcW w:w="819" w:type="dxa"/>
            <w:vMerge w:val="restart"/>
            <w:tcBorders>
              <w:top w:val="single" w:color="000000" w:sz="4" w:space="0"/>
              <w:left w:val="single" w:color="000000" w:sz="4" w:space="0"/>
              <w:right w:val="single" w:color="000000" w:sz="4" w:space="0"/>
            </w:tcBorders>
            <w:noWrap w:val="0"/>
            <w:vAlign w:val="center"/>
          </w:tcPr>
          <w:p w14:paraId="119700A9">
            <w:pPr>
              <w:widowControl/>
              <w:jc w:val="center"/>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套</w:t>
            </w:r>
          </w:p>
        </w:tc>
        <w:tc>
          <w:tcPr>
            <w:tcW w:w="672" w:type="dxa"/>
            <w:vMerge w:val="restart"/>
            <w:tcBorders>
              <w:top w:val="single" w:color="000000" w:sz="4" w:space="0"/>
              <w:left w:val="single" w:color="000000" w:sz="4" w:space="0"/>
              <w:right w:val="single" w:color="000000" w:sz="4" w:space="0"/>
            </w:tcBorders>
            <w:noWrap w:val="0"/>
            <w:vAlign w:val="center"/>
          </w:tcPr>
          <w:p w14:paraId="4959AC87">
            <w:pPr>
              <w:widowControl/>
              <w:jc w:val="center"/>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1</w:t>
            </w:r>
          </w:p>
        </w:tc>
      </w:tr>
      <w:tr w14:paraId="02D8A05D">
        <w:tblPrEx>
          <w:tblCellMar>
            <w:top w:w="0" w:type="dxa"/>
            <w:left w:w="108" w:type="dxa"/>
            <w:bottom w:w="0" w:type="dxa"/>
            <w:right w:w="108" w:type="dxa"/>
          </w:tblCellMar>
        </w:tblPrEx>
        <w:trPr>
          <w:trHeight w:val="315" w:hRule="atLeast"/>
          <w:jc w:val="center"/>
        </w:trPr>
        <w:tc>
          <w:tcPr>
            <w:tcW w:w="873" w:type="dxa"/>
            <w:vMerge w:val="continue"/>
            <w:tcBorders>
              <w:left w:val="single" w:color="000000" w:sz="4" w:space="0"/>
              <w:right w:val="single" w:color="000000" w:sz="4" w:space="0"/>
            </w:tcBorders>
            <w:noWrap w:val="0"/>
            <w:vAlign w:val="center"/>
          </w:tcPr>
          <w:p w14:paraId="6BD36D55">
            <w:pPr>
              <w:widowControl/>
              <w:jc w:val="center"/>
              <w:textAlignment w:val="center"/>
              <w:rPr>
                <w:rFonts w:hint="eastAsia" w:ascii="彩虹粗仿宋" w:hAnsi="彩虹粗仿宋" w:eastAsia="彩虹粗仿宋" w:cs="彩虹粗仿宋"/>
                <w:color w:val="000000"/>
                <w:kern w:val="0"/>
                <w:sz w:val="22"/>
                <w:lang w:bidi="ar"/>
              </w:rPr>
            </w:pPr>
          </w:p>
        </w:tc>
        <w:tc>
          <w:tcPr>
            <w:tcW w:w="7126" w:type="dxa"/>
            <w:tcBorders>
              <w:top w:val="single" w:color="000000" w:sz="4" w:space="0"/>
              <w:left w:val="single" w:color="000000" w:sz="4" w:space="0"/>
              <w:bottom w:val="single" w:color="000000" w:sz="4" w:space="0"/>
              <w:right w:val="single" w:color="000000" w:sz="4" w:space="0"/>
            </w:tcBorders>
            <w:noWrap w:val="0"/>
            <w:vAlign w:val="center"/>
          </w:tcPr>
          <w:p w14:paraId="41BC4FCF">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 xml:space="preserve">2.新增收支统计表，用于统计所有单位的收支数据。 </w:t>
            </w:r>
          </w:p>
          <w:p w14:paraId="10AFC715">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 xml:space="preserve">2.1新增查询各个单位数据的功能。 </w:t>
            </w:r>
          </w:p>
          <w:p w14:paraId="5F306714">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 xml:space="preserve">2.2新增按会计期间查询数据的功能。 </w:t>
            </w:r>
          </w:p>
          <w:p w14:paraId="09EE9B8A">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2.3新增按会计科目进行筛选的功能。</w:t>
            </w:r>
          </w:p>
        </w:tc>
        <w:tc>
          <w:tcPr>
            <w:tcW w:w="819" w:type="dxa"/>
            <w:vMerge w:val="continue"/>
            <w:tcBorders>
              <w:left w:val="single" w:color="000000" w:sz="4" w:space="0"/>
              <w:right w:val="single" w:color="000000" w:sz="4" w:space="0"/>
            </w:tcBorders>
            <w:noWrap w:val="0"/>
            <w:vAlign w:val="center"/>
          </w:tcPr>
          <w:p w14:paraId="7A48E02C">
            <w:pPr>
              <w:widowControl/>
              <w:jc w:val="center"/>
              <w:textAlignment w:val="center"/>
              <w:rPr>
                <w:rFonts w:hint="eastAsia" w:ascii="彩虹粗仿宋" w:hAnsi="彩虹粗仿宋" w:eastAsia="彩虹粗仿宋" w:cs="彩虹粗仿宋"/>
                <w:color w:val="000000"/>
                <w:kern w:val="0"/>
                <w:sz w:val="22"/>
                <w:lang w:bidi="ar"/>
              </w:rPr>
            </w:pPr>
          </w:p>
        </w:tc>
        <w:tc>
          <w:tcPr>
            <w:tcW w:w="672" w:type="dxa"/>
            <w:vMerge w:val="continue"/>
            <w:tcBorders>
              <w:left w:val="single" w:color="000000" w:sz="4" w:space="0"/>
              <w:right w:val="single" w:color="000000" w:sz="4" w:space="0"/>
            </w:tcBorders>
            <w:noWrap w:val="0"/>
            <w:vAlign w:val="center"/>
          </w:tcPr>
          <w:p w14:paraId="0B9B0487">
            <w:pPr>
              <w:widowControl/>
              <w:jc w:val="center"/>
              <w:textAlignment w:val="center"/>
              <w:rPr>
                <w:rFonts w:hint="eastAsia" w:ascii="彩虹粗仿宋" w:hAnsi="彩虹粗仿宋" w:eastAsia="彩虹粗仿宋" w:cs="彩虹粗仿宋"/>
                <w:color w:val="000000"/>
                <w:kern w:val="0"/>
                <w:sz w:val="22"/>
                <w:lang w:bidi="ar"/>
              </w:rPr>
            </w:pPr>
          </w:p>
        </w:tc>
      </w:tr>
      <w:tr w14:paraId="03696073">
        <w:tblPrEx>
          <w:tblCellMar>
            <w:top w:w="0" w:type="dxa"/>
            <w:left w:w="108" w:type="dxa"/>
            <w:bottom w:w="0" w:type="dxa"/>
            <w:right w:w="108" w:type="dxa"/>
          </w:tblCellMar>
        </w:tblPrEx>
        <w:trPr>
          <w:trHeight w:val="315" w:hRule="atLeast"/>
          <w:jc w:val="center"/>
        </w:trPr>
        <w:tc>
          <w:tcPr>
            <w:tcW w:w="873" w:type="dxa"/>
            <w:vMerge w:val="continue"/>
            <w:tcBorders>
              <w:left w:val="single" w:color="000000" w:sz="4" w:space="0"/>
              <w:right w:val="single" w:color="000000" w:sz="4" w:space="0"/>
            </w:tcBorders>
            <w:noWrap w:val="0"/>
            <w:vAlign w:val="center"/>
          </w:tcPr>
          <w:p w14:paraId="66AD6133">
            <w:pPr>
              <w:widowControl/>
              <w:jc w:val="center"/>
              <w:textAlignment w:val="center"/>
              <w:rPr>
                <w:rFonts w:hint="eastAsia" w:ascii="彩虹粗仿宋" w:hAnsi="彩虹粗仿宋" w:eastAsia="彩虹粗仿宋" w:cs="彩虹粗仿宋"/>
                <w:color w:val="000000"/>
                <w:kern w:val="0"/>
                <w:sz w:val="22"/>
                <w:lang w:bidi="ar"/>
              </w:rPr>
            </w:pPr>
          </w:p>
        </w:tc>
        <w:tc>
          <w:tcPr>
            <w:tcW w:w="7126" w:type="dxa"/>
            <w:tcBorders>
              <w:top w:val="single" w:color="000000" w:sz="4" w:space="0"/>
              <w:left w:val="single" w:color="000000" w:sz="4" w:space="0"/>
              <w:bottom w:val="single" w:color="000000" w:sz="4" w:space="0"/>
              <w:right w:val="single" w:color="000000" w:sz="4" w:space="0"/>
            </w:tcBorders>
            <w:noWrap w:val="0"/>
            <w:vAlign w:val="center"/>
          </w:tcPr>
          <w:p w14:paraId="472AD81D">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3.新增辅助账功能，用于统计单位的收支数据明细。</w:t>
            </w:r>
          </w:p>
          <w:p w14:paraId="7B60D3A7">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 xml:space="preserve">3.1新增按单位查询功能。 </w:t>
            </w:r>
          </w:p>
          <w:p w14:paraId="222092CD">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3.2新增按项目查询功能。</w:t>
            </w:r>
          </w:p>
        </w:tc>
        <w:tc>
          <w:tcPr>
            <w:tcW w:w="819" w:type="dxa"/>
            <w:vMerge w:val="continue"/>
            <w:tcBorders>
              <w:left w:val="single" w:color="000000" w:sz="4" w:space="0"/>
              <w:right w:val="single" w:color="000000" w:sz="4" w:space="0"/>
            </w:tcBorders>
            <w:noWrap w:val="0"/>
            <w:vAlign w:val="center"/>
          </w:tcPr>
          <w:p w14:paraId="2E74DC1D">
            <w:pPr>
              <w:widowControl/>
              <w:jc w:val="center"/>
              <w:textAlignment w:val="center"/>
              <w:rPr>
                <w:rFonts w:hint="eastAsia" w:ascii="彩虹粗仿宋" w:hAnsi="彩虹粗仿宋" w:eastAsia="彩虹粗仿宋" w:cs="彩虹粗仿宋"/>
                <w:color w:val="000000"/>
                <w:kern w:val="0"/>
                <w:sz w:val="22"/>
                <w:lang w:bidi="ar"/>
              </w:rPr>
            </w:pPr>
          </w:p>
        </w:tc>
        <w:tc>
          <w:tcPr>
            <w:tcW w:w="672" w:type="dxa"/>
            <w:vMerge w:val="continue"/>
            <w:tcBorders>
              <w:left w:val="single" w:color="000000" w:sz="4" w:space="0"/>
              <w:right w:val="single" w:color="000000" w:sz="4" w:space="0"/>
            </w:tcBorders>
            <w:noWrap w:val="0"/>
            <w:vAlign w:val="center"/>
          </w:tcPr>
          <w:p w14:paraId="2F12E31F">
            <w:pPr>
              <w:widowControl/>
              <w:jc w:val="center"/>
              <w:textAlignment w:val="center"/>
              <w:rPr>
                <w:rFonts w:hint="eastAsia" w:ascii="彩虹粗仿宋" w:hAnsi="彩虹粗仿宋" w:eastAsia="彩虹粗仿宋" w:cs="彩虹粗仿宋"/>
                <w:color w:val="000000"/>
                <w:kern w:val="0"/>
                <w:sz w:val="22"/>
                <w:lang w:bidi="ar"/>
              </w:rPr>
            </w:pPr>
          </w:p>
        </w:tc>
      </w:tr>
      <w:tr w14:paraId="2F5103BB">
        <w:tblPrEx>
          <w:tblCellMar>
            <w:top w:w="0" w:type="dxa"/>
            <w:left w:w="108" w:type="dxa"/>
            <w:bottom w:w="0" w:type="dxa"/>
            <w:right w:w="108" w:type="dxa"/>
          </w:tblCellMar>
        </w:tblPrEx>
        <w:trPr>
          <w:trHeight w:val="315" w:hRule="atLeast"/>
          <w:jc w:val="center"/>
        </w:trPr>
        <w:tc>
          <w:tcPr>
            <w:tcW w:w="873" w:type="dxa"/>
            <w:vMerge w:val="continue"/>
            <w:tcBorders>
              <w:left w:val="single" w:color="000000" w:sz="4" w:space="0"/>
              <w:right w:val="single" w:color="000000" w:sz="4" w:space="0"/>
            </w:tcBorders>
            <w:noWrap w:val="0"/>
            <w:vAlign w:val="center"/>
          </w:tcPr>
          <w:p w14:paraId="3DACF477">
            <w:pPr>
              <w:widowControl/>
              <w:jc w:val="center"/>
              <w:textAlignment w:val="center"/>
              <w:rPr>
                <w:rFonts w:hint="eastAsia" w:ascii="彩虹粗仿宋" w:hAnsi="彩虹粗仿宋" w:eastAsia="彩虹粗仿宋" w:cs="彩虹粗仿宋"/>
                <w:color w:val="000000"/>
                <w:kern w:val="0"/>
                <w:sz w:val="22"/>
                <w:lang w:bidi="ar"/>
              </w:rPr>
            </w:pPr>
          </w:p>
        </w:tc>
        <w:tc>
          <w:tcPr>
            <w:tcW w:w="7126" w:type="dxa"/>
            <w:tcBorders>
              <w:top w:val="single" w:color="000000" w:sz="4" w:space="0"/>
              <w:left w:val="single" w:color="000000" w:sz="4" w:space="0"/>
              <w:bottom w:val="single" w:color="000000" w:sz="4" w:space="0"/>
              <w:right w:val="single" w:color="000000" w:sz="4" w:space="0"/>
            </w:tcBorders>
            <w:noWrap w:val="0"/>
            <w:vAlign w:val="center"/>
          </w:tcPr>
          <w:p w14:paraId="53A7241A">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 xml:space="preserve">4.新增收入流水帐查询功能，用于根据实际需要，查询各种记录。 </w:t>
            </w:r>
          </w:p>
          <w:p w14:paraId="78B954E9">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 xml:space="preserve">4.1新增按代收银行统计查询功能。 </w:t>
            </w:r>
          </w:p>
          <w:p w14:paraId="35DFB1BC">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4.2新增按资金性质统计查询功能。</w:t>
            </w:r>
          </w:p>
        </w:tc>
        <w:tc>
          <w:tcPr>
            <w:tcW w:w="819" w:type="dxa"/>
            <w:vMerge w:val="continue"/>
            <w:tcBorders>
              <w:left w:val="single" w:color="000000" w:sz="4" w:space="0"/>
              <w:right w:val="single" w:color="000000" w:sz="4" w:space="0"/>
            </w:tcBorders>
            <w:noWrap w:val="0"/>
            <w:vAlign w:val="center"/>
          </w:tcPr>
          <w:p w14:paraId="1DD29E84">
            <w:pPr>
              <w:widowControl/>
              <w:jc w:val="center"/>
              <w:textAlignment w:val="center"/>
              <w:rPr>
                <w:rFonts w:hint="eastAsia" w:ascii="彩虹粗仿宋" w:hAnsi="彩虹粗仿宋" w:eastAsia="彩虹粗仿宋" w:cs="彩虹粗仿宋"/>
                <w:color w:val="000000"/>
                <w:kern w:val="0"/>
                <w:sz w:val="22"/>
                <w:lang w:bidi="ar"/>
              </w:rPr>
            </w:pPr>
          </w:p>
        </w:tc>
        <w:tc>
          <w:tcPr>
            <w:tcW w:w="672" w:type="dxa"/>
            <w:vMerge w:val="continue"/>
            <w:tcBorders>
              <w:left w:val="single" w:color="000000" w:sz="4" w:space="0"/>
              <w:right w:val="single" w:color="000000" w:sz="4" w:space="0"/>
            </w:tcBorders>
            <w:noWrap w:val="0"/>
            <w:vAlign w:val="center"/>
          </w:tcPr>
          <w:p w14:paraId="748C0457">
            <w:pPr>
              <w:widowControl/>
              <w:jc w:val="center"/>
              <w:textAlignment w:val="center"/>
              <w:rPr>
                <w:rFonts w:hint="eastAsia" w:ascii="彩虹粗仿宋" w:hAnsi="彩虹粗仿宋" w:eastAsia="彩虹粗仿宋" w:cs="彩虹粗仿宋"/>
                <w:color w:val="000000"/>
                <w:kern w:val="0"/>
                <w:sz w:val="22"/>
                <w:lang w:bidi="ar"/>
              </w:rPr>
            </w:pPr>
          </w:p>
        </w:tc>
      </w:tr>
      <w:tr w14:paraId="79E609AB">
        <w:tblPrEx>
          <w:tblCellMar>
            <w:top w:w="0" w:type="dxa"/>
            <w:left w:w="108" w:type="dxa"/>
            <w:bottom w:w="0" w:type="dxa"/>
            <w:right w:w="108" w:type="dxa"/>
          </w:tblCellMar>
        </w:tblPrEx>
        <w:trPr>
          <w:trHeight w:val="315" w:hRule="atLeast"/>
          <w:jc w:val="center"/>
        </w:trPr>
        <w:tc>
          <w:tcPr>
            <w:tcW w:w="873" w:type="dxa"/>
            <w:vMerge w:val="continue"/>
            <w:tcBorders>
              <w:left w:val="single" w:color="000000" w:sz="4" w:space="0"/>
              <w:right w:val="single" w:color="000000" w:sz="4" w:space="0"/>
            </w:tcBorders>
            <w:noWrap w:val="0"/>
            <w:vAlign w:val="center"/>
          </w:tcPr>
          <w:p w14:paraId="2D53751F">
            <w:pPr>
              <w:widowControl/>
              <w:jc w:val="center"/>
              <w:textAlignment w:val="center"/>
              <w:rPr>
                <w:rFonts w:hint="eastAsia" w:ascii="彩虹粗仿宋" w:hAnsi="彩虹粗仿宋" w:eastAsia="彩虹粗仿宋" w:cs="彩虹粗仿宋"/>
                <w:color w:val="000000"/>
                <w:kern w:val="0"/>
                <w:sz w:val="22"/>
                <w:lang w:bidi="ar"/>
              </w:rPr>
            </w:pPr>
          </w:p>
        </w:tc>
        <w:tc>
          <w:tcPr>
            <w:tcW w:w="7126" w:type="dxa"/>
            <w:tcBorders>
              <w:top w:val="single" w:color="000000" w:sz="4" w:space="0"/>
              <w:left w:val="single" w:color="000000" w:sz="4" w:space="0"/>
              <w:bottom w:val="single" w:color="000000" w:sz="4" w:space="0"/>
              <w:right w:val="single" w:color="000000" w:sz="4" w:space="0"/>
            </w:tcBorders>
            <w:noWrap w:val="0"/>
            <w:vAlign w:val="center"/>
          </w:tcPr>
          <w:p w14:paraId="2418C52B">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 xml:space="preserve">5.新增缴款通知书自动连续打印功能。 </w:t>
            </w:r>
          </w:p>
        </w:tc>
        <w:tc>
          <w:tcPr>
            <w:tcW w:w="819" w:type="dxa"/>
            <w:vMerge w:val="continue"/>
            <w:tcBorders>
              <w:left w:val="single" w:color="000000" w:sz="4" w:space="0"/>
              <w:right w:val="single" w:color="000000" w:sz="4" w:space="0"/>
            </w:tcBorders>
            <w:noWrap w:val="0"/>
            <w:vAlign w:val="center"/>
          </w:tcPr>
          <w:p w14:paraId="574DC362">
            <w:pPr>
              <w:widowControl/>
              <w:jc w:val="center"/>
              <w:textAlignment w:val="center"/>
              <w:rPr>
                <w:rFonts w:hint="eastAsia" w:ascii="彩虹粗仿宋" w:hAnsi="彩虹粗仿宋" w:eastAsia="彩虹粗仿宋" w:cs="彩虹粗仿宋"/>
                <w:color w:val="000000"/>
                <w:kern w:val="0"/>
                <w:sz w:val="22"/>
                <w:lang w:bidi="ar"/>
              </w:rPr>
            </w:pPr>
          </w:p>
        </w:tc>
        <w:tc>
          <w:tcPr>
            <w:tcW w:w="672" w:type="dxa"/>
            <w:vMerge w:val="continue"/>
            <w:tcBorders>
              <w:left w:val="single" w:color="000000" w:sz="4" w:space="0"/>
              <w:right w:val="single" w:color="000000" w:sz="4" w:space="0"/>
            </w:tcBorders>
            <w:noWrap w:val="0"/>
            <w:vAlign w:val="center"/>
          </w:tcPr>
          <w:p w14:paraId="00AC1DE6">
            <w:pPr>
              <w:widowControl/>
              <w:jc w:val="center"/>
              <w:textAlignment w:val="center"/>
              <w:rPr>
                <w:rFonts w:hint="eastAsia" w:ascii="彩虹粗仿宋" w:hAnsi="彩虹粗仿宋" w:eastAsia="彩虹粗仿宋" w:cs="彩虹粗仿宋"/>
                <w:color w:val="000000"/>
                <w:kern w:val="0"/>
                <w:sz w:val="22"/>
                <w:lang w:bidi="ar"/>
              </w:rPr>
            </w:pPr>
          </w:p>
        </w:tc>
      </w:tr>
      <w:tr w14:paraId="3B66350B">
        <w:tblPrEx>
          <w:tblCellMar>
            <w:top w:w="0" w:type="dxa"/>
            <w:left w:w="108" w:type="dxa"/>
            <w:bottom w:w="0" w:type="dxa"/>
            <w:right w:w="108" w:type="dxa"/>
          </w:tblCellMar>
        </w:tblPrEx>
        <w:trPr>
          <w:trHeight w:val="315" w:hRule="atLeast"/>
          <w:jc w:val="center"/>
        </w:trPr>
        <w:tc>
          <w:tcPr>
            <w:tcW w:w="873" w:type="dxa"/>
            <w:vMerge w:val="continue"/>
            <w:tcBorders>
              <w:left w:val="single" w:color="000000" w:sz="4" w:space="0"/>
              <w:bottom w:val="single" w:color="000000" w:sz="4" w:space="0"/>
              <w:right w:val="single" w:color="000000" w:sz="4" w:space="0"/>
            </w:tcBorders>
            <w:noWrap w:val="0"/>
            <w:vAlign w:val="center"/>
          </w:tcPr>
          <w:p w14:paraId="16717B39">
            <w:pPr>
              <w:widowControl/>
              <w:jc w:val="center"/>
              <w:textAlignment w:val="center"/>
              <w:rPr>
                <w:rFonts w:hint="eastAsia" w:ascii="彩虹粗仿宋" w:hAnsi="彩虹粗仿宋" w:eastAsia="彩虹粗仿宋" w:cs="彩虹粗仿宋"/>
                <w:color w:val="000000"/>
                <w:kern w:val="0"/>
                <w:sz w:val="22"/>
                <w:lang w:bidi="ar"/>
              </w:rPr>
            </w:pPr>
          </w:p>
        </w:tc>
        <w:tc>
          <w:tcPr>
            <w:tcW w:w="7126" w:type="dxa"/>
            <w:tcBorders>
              <w:top w:val="single" w:color="000000" w:sz="4" w:space="0"/>
              <w:left w:val="single" w:color="000000" w:sz="4" w:space="0"/>
              <w:bottom w:val="single" w:color="000000" w:sz="4" w:space="0"/>
              <w:right w:val="single" w:color="000000" w:sz="4" w:space="0"/>
            </w:tcBorders>
            <w:noWrap w:val="0"/>
            <w:vAlign w:val="center"/>
          </w:tcPr>
          <w:p w14:paraId="5C9106C1">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6.新增数据重复识别功能。在收入流水帐、支付中心数据中，新增数据重复识别功能，用于突出显示导入数据中出现数据重复的现象。</w:t>
            </w:r>
          </w:p>
        </w:tc>
        <w:tc>
          <w:tcPr>
            <w:tcW w:w="819" w:type="dxa"/>
            <w:vMerge w:val="continue"/>
            <w:tcBorders>
              <w:left w:val="single" w:color="000000" w:sz="4" w:space="0"/>
              <w:bottom w:val="single" w:color="000000" w:sz="4" w:space="0"/>
              <w:right w:val="single" w:color="000000" w:sz="4" w:space="0"/>
            </w:tcBorders>
            <w:noWrap w:val="0"/>
            <w:vAlign w:val="center"/>
          </w:tcPr>
          <w:p w14:paraId="5748E69B">
            <w:pPr>
              <w:widowControl/>
              <w:jc w:val="center"/>
              <w:textAlignment w:val="center"/>
              <w:rPr>
                <w:rFonts w:hint="eastAsia" w:ascii="彩虹粗仿宋" w:hAnsi="彩虹粗仿宋" w:eastAsia="彩虹粗仿宋" w:cs="彩虹粗仿宋"/>
                <w:color w:val="000000"/>
                <w:kern w:val="0"/>
                <w:sz w:val="22"/>
                <w:lang w:bidi="ar"/>
              </w:rPr>
            </w:pPr>
          </w:p>
        </w:tc>
        <w:tc>
          <w:tcPr>
            <w:tcW w:w="672" w:type="dxa"/>
            <w:vMerge w:val="continue"/>
            <w:tcBorders>
              <w:left w:val="single" w:color="000000" w:sz="4" w:space="0"/>
              <w:bottom w:val="single" w:color="000000" w:sz="4" w:space="0"/>
              <w:right w:val="single" w:color="000000" w:sz="4" w:space="0"/>
            </w:tcBorders>
            <w:noWrap w:val="0"/>
            <w:vAlign w:val="center"/>
          </w:tcPr>
          <w:p w14:paraId="7E954B28">
            <w:pPr>
              <w:widowControl/>
              <w:jc w:val="center"/>
              <w:textAlignment w:val="center"/>
              <w:rPr>
                <w:rFonts w:hint="eastAsia" w:ascii="彩虹粗仿宋" w:hAnsi="彩虹粗仿宋" w:eastAsia="彩虹粗仿宋" w:cs="彩虹粗仿宋"/>
                <w:color w:val="000000"/>
                <w:kern w:val="0"/>
                <w:sz w:val="22"/>
                <w:lang w:bidi="ar"/>
              </w:rPr>
            </w:pPr>
          </w:p>
        </w:tc>
      </w:tr>
    </w:tbl>
    <w:p w14:paraId="140667FB">
      <w:pPr>
        <w:spacing w:line="560" w:lineRule="exact"/>
        <w:ind w:firstLine="643" w:firstLineChars="200"/>
        <w:rPr>
          <w:rFonts w:hint="default" w:ascii="彩虹粗仿宋" w:hAnsi="宋体" w:eastAsia="彩虹粗仿宋"/>
          <w:b/>
          <w:bCs/>
          <w:sz w:val="32"/>
          <w:szCs w:val="32"/>
          <w:lang w:val="en-US" w:eastAsia="zh-CN"/>
        </w:rPr>
      </w:pPr>
      <w:r>
        <w:rPr>
          <w:rFonts w:hint="eastAsia" w:ascii="彩虹粗仿宋" w:hAnsi="宋体" w:eastAsia="彩虹粗仿宋"/>
          <w:b/>
          <w:bCs/>
          <w:sz w:val="32"/>
          <w:szCs w:val="32"/>
          <w:lang w:val="en-US" w:eastAsia="zh-CN"/>
        </w:rPr>
        <w:t>2.</w:t>
      </w:r>
      <w:r>
        <w:rPr>
          <w:rFonts w:hint="eastAsia" w:ascii="彩虹粗仿宋" w:hAnsi="宋体" w:eastAsia="彩虹粗仿宋"/>
          <w:b/>
          <w:bCs/>
          <w:sz w:val="32"/>
          <w:szCs w:val="32"/>
          <w:lang w:eastAsia="zh-CN"/>
        </w:rPr>
        <w:t>项目</w:t>
      </w:r>
      <w:r>
        <w:rPr>
          <w:rFonts w:hint="eastAsia" w:ascii="彩虹粗仿宋" w:hAnsi="宋体" w:eastAsia="彩虹粗仿宋"/>
          <w:b/>
          <w:bCs/>
          <w:sz w:val="32"/>
          <w:szCs w:val="32"/>
          <w:lang w:val="en-US" w:eastAsia="zh-CN"/>
        </w:rPr>
        <w:t>二：汕头市社保卡“一卡通”应用项目</w:t>
      </w:r>
    </w:p>
    <w:p w14:paraId="496C0C5F">
      <w:pPr>
        <w:widowControl w:val="0"/>
        <w:numPr>
          <w:ilvl w:val="0"/>
          <w:numId w:val="0"/>
        </w:numPr>
        <w:adjustRightInd w:val="0"/>
        <w:snapToGrid w:val="0"/>
        <w:spacing w:line="560" w:lineRule="atLeast"/>
        <w:ind w:firstLine="640" w:firstLineChars="200"/>
        <w:jc w:val="both"/>
        <w:rPr>
          <w:rFonts w:hint="eastAsia" w:ascii="彩虹粗仿宋" w:hAnsi="宋体" w:eastAsia="彩虹粗仿宋" w:cs="Times New Roman"/>
          <w:b/>
          <w:snapToGrid w:val="0"/>
          <w:kern w:val="0"/>
          <w:sz w:val="32"/>
          <w:szCs w:val="32"/>
          <w:lang w:val="en-US" w:eastAsia="zh-CN"/>
        </w:rPr>
      </w:pPr>
      <w:r>
        <w:rPr>
          <w:rFonts w:hint="eastAsia" w:ascii="彩虹粗仿宋" w:hAnsi="彩虹粗仿宋" w:eastAsia="彩虹粗仿宋" w:cs="彩虹粗仿宋"/>
          <w:sz w:val="32"/>
          <w:szCs w:val="32"/>
          <w:lang w:val="en-US" w:eastAsia="zh-CN"/>
        </w:rPr>
        <w:t>本项目包括软件和硬件。</w:t>
      </w:r>
    </w:p>
    <w:p w14:paraId="354591B2">
      <w:pPr>
        <w:widowControl w:val="0"/>
        <w:numPr>
          <w:ilvl w:val="0"/>
          <w:numId w:val="0"/>
        </w:numPr>
        <w:adjustRightInd w:val="0"/>
        <w:snapToGrid w:val="0"/>
        <w:spacing w:line="560" w:lineRule="atLeast"/>
        <w:ind w:firstLine="640" w:firstLineChars="200"/>
        <w:jc w:val="both"/>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（1）本项目采购的软件要求如下：</w:t>
      </w:r>
    </w:p>
    <w:tbl>
      <w:tblPr>
        <w:tblStyle w:val="4"/>
        <w:tblW w:w="96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06"/>
        <w:gridCol w:w="2165"/>
        <w:gridCol w:w="4578"/>
        <w:gridCol w:w="1133"/>
        <w:gridCol w:w="951"/>
      </w:tblGrid>
      <w:tr w14:paraId="644F8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tcBorders>
              <w:top w:val="single" w:color="000000" w:sz="4" w:space="0"/>
              <w:left w:val="single" w:color="000000" w:sz="4" w:space="0"/>
              <w:bottom w:val="single" w:color="000000" w:sz="4" w:space="0"/>
              <w:right w:val="single" w:color="000000" w:sz="4" w:space="0"/>
            </w:tcBorders>
            <w:noWrap w:val="0"/>
            <w:vAlign w:val="center"/>
          </w:tcPr>
          <w:p w14:paraId="5DD3059F">
            <w:pPr>
              <w:keepNext w:val="0"/>
              <w:keepLines w:val="0"/>
              <w:widowControl/>
              <w:suppressLineNumbers w:val="0"/>
              <w:jc w:val="center"/>
              <w:textAlignment w:val="center"/>
              <w:rPr>
                <w:rFonts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软件名称</w:t>
            </w: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73FBCD69">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功能板块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63628FCF">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功能点</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4227E9E5">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单位</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7010A359">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数量</w:t>
            </w:r>
          </w:p>
        </w:tc>
      </w:tr>
      <w:tr w14:paraId="5199E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jc w:val="center"/>
        </w:trPr>
        <w:tc>
          <w:tcPr>
            <w:tcW w:w="806" w:type="dxa"/>
            <w:vMerge w:val="restart"/>
            <w:tcBorders>
              <w:top w:val="single" w:color="000000" w:sz="4" w:space="0"/>
              <w:left w:val="single" w:color="000000" w:sz="4" w:space="0"/>
              <w:bottom w:val="single" w:color="000000" w:sz="4" w:space="0"/>
              <w:right w:val="single" w:color="000000" w:sz="4" w:space="0"/>
            </w:tcBorders>
            <w:noWrap w:val="0"/>
            <w:vAlign w:val="center"/>
          </w:tcPr>
          <w:p w14:paraId="6DDC2C1D">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汕头市社保卡“一卡通”应用软件</w:t>
            </w:r>
          </w:p>
        </w:tc>
        <w:tc>
          <w:tcPr>
            <w:tcW w:w="2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B3DC321">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汕头公共交通社保运营管理子板块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280B907F">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社保卡应用参数管理，包括发卡卡类，有效期，密钥管理、发卡银行等。</w:t>
            </w:r>
          </w:p>
        </w:tc>
        <w:tc>
          <w:tcPr>
            <w:tcW w:w="1133" w:type="dxa"/>
            <w:vMerge w:val="restart"/>
            <w:tcBorders>
              <w:top w:val="single" w:color="000000" w:sz="4" w:space="0"/>
              <w:left w:val="single" w:color="000000" w:sz="4" w:space="0"/>
              <w:bottom w:val="single" w:color="000000" w:sz="4" w:space="0"/>
              <w:right w:val="single" w:color="000000" w:sz="4" w:space="0"/>
            </w:tcBorders>
            <w:noWrap w:val="0"/>
            <w:vAlign w:val="center"/>
          </w:tcPr>
          <w:p w14:paraId="2BAC6F73">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套</w:t>
            </w:r>
          </w:p>
        </w:tc>
        <w:tc>
          <w:tcPr>
            <w:tcW w:w="951" w:type="dxa"/>
            <w:vMerge w:val="restart"/>
            <w:tcBorders>
              <w:top w:val="single" w:color="000000" w:sz="4" w:space="0"/>
              <w:left w:val="single" w:color="000000" w:sz="4" w:space="0"/>
              <w:bottom w:val="single" w:color="000000" w:sz="4" w:space="0"/>
              <w:right w:val="single" w:color="000000" w:sz="4" w:space="0"/>
            </w:tcBorders>
            <w:noWrap w:val="0"/>
            <w:vAlign w:val="center"/>
          </w:tcPr>
          <w:p w14:paraId="167AB308">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1</w:t>
            </w:r>
          </w:p>
        </w:tc>
      </w:tr>
      <w:tr w14:paraId="5F6EB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8E576C">
            <w:pPr>
              <w:jc w:val="center"/>
              <w:rPr>
                <w:rFonts w:hint="eastAsia" w:ascii="彩虹粗仿宋" w:hAnsi="彩虹粗仿宋" w:eastAsia="彩虹粗仿宋" w:cs="彩虹粗仿宋"/>
                <w:i w:val="0"/>
                <w:iCs w:val="0"/>
                <w:color w:val="000000"/>
                <w:sz w:val="22"/>
                <w:szCs w:val="22"/>
                <w:u w:val="none"/>
              </w:rPr>
            </w:pPr>
          </w:p>
        </w:tc>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1CFA46">
            <w:pPr>
              <w:jc w:val="center"/>
              <w:rPr>
                <w:rFonts w:hint="eastAsia" w:ascii="彩虹粗仿宋" w:hAnsi="彩虹粗仿宋" w:eastAsia="彩虹粗仿宋" w:cs="彩虹粗仿宋"/>
                <w:i w:val="0"/>
                <w:iCs w:val="0"/>
                <w:color w:val="000000"/>
                <w:sz w:val="22"/>
                <w:szCs w:val="22"/>
                <w:u w:val="none"/>
              </w:rPr>
            </w:pP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2BE470BF">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社保卡数据异常监控、系统性能指标监控等。</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6574F8">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BC5A1B">
            <w:pPr>
              <w:jc w:val="center"/>
              <w:rPr>
                <w:rFonts w:hint="eastAsia" w:ascii="彩虹粗仿宋" w:hAnsi="彩虹粗仿宋" w:eastAsia="彩虹粗仿宋" w:cs="彩虹粗仿宋"/>
                <w:i w:val="0"/>
                <w:iCs w:val="0"/>
                <w:color w:val="000000"/>
                <w:sz w:val="22"/>
                <w:szCs w:val="22"/>
                <w:u w:val="none"/>
              </w:rPr>
            </w:pPr>
          </w:p>
        </w:tc>
      </w:tr>
      <w:tr w14:paraId="374C4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F98CD0">
            <w:pPr>
              <w:jc w:val="center"/>
              <w:rPr>
                <w:rFonts w:hint="eastAsia" w:ascii="彩虹粗仿宋" w:hAnsi="彩虹粗仿宋" w:eastAsia="彩虹粗仿宋" w:cs="彩虹粗仿宋"/>
                <w:i w:val="0"/>
                <w:iCs w:val="0"/>
                <w:color w:val="000000"/>
                <w:sz w:val="22"/>
                <w:szCs w:val="22"/>
                <w:u w:val="none"/>
              </w:rPr>
            </w:pPr>
          </w:p>
        </w:tc>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3D06EF">
            <w:pPr>
              <w:jc w:val="center"/>
              <w:rPr>
                <w:rFonts w:hint="eastAsia" w:ascii="彩虹粗仿宋" w:hAnsi="彩虹粗仿宋" w:eastAsia="彩虹粗仿宋" w:cs="彩虹粗仿宋"/>
                <w:i w:val="0"/>
                <w:iCs w:val="0"/>
                <w:color w:val="000000"/>
                <w:sz w:val="22"/>
                <w:szCs w:val="22"/>
                <w:u w:val="none"/>
              </w:rPr>
            </w:pP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7297FE4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社保卡交易相关运营管理报表，包括社保卡交易运营报表，如老人卡，学生卡等。</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C04B03">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A5377D8">
            <w:pPr>
              <w:jc w:val="center"/>
              <w:rPr>
                <w:rFonts w:hint="eastAsia" w:ascii="彩虹粗仿宋" w:hAnsi="彩虹粗仿宋" w:eastAsia="彩虹粗仿宋" w:cs="彩虹粗仿宋"/>
                <w:i w:val="0"/>
                <w:iCs w:val="0"/>
                <w:color w:val="000000"/>
                <w:sz w:val="22"/>
                <w:szCs w:val="22"/>
                <w:u w:val="none"/>
              </w:rPr>
            </w:pPr>
          </w:p>
        </w:tc>
      </w:tr>
      <w:tr w14:paraId="7EDB0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AB1FAB">
            <w:pPr>
              <w:jc w:val="center"/>
              <w:rPr>
                <w:rFonts w:hint="eastAsia" w:ascii="彩虹粗仿宋" w:hAnsi="彩虹粗仿宋" w:eastAsia="彩虹粗仿宋" w:cs="彩虹粗仿宋"/>
                <w:i w:val="0"/>
                <w:iCs w:val="0"/>
                <w:color w:val="000000"/>
                <w:sz w:val="22"/>
                <w:szCs w:val="22"/>
                <w:u w:val="none"/>
              </w:rPr>
            </w:pPr>
          </w:p>
        </w:tc>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DC33FF">
            <w:pPr>
              <w:jc w:val="center"/>
              <w:rPr>
                <w:rFonts w:hint="eastAsia" w:ascii="彩虹粗仿宋" w:hAnsi="彩虹粗仿宋" w:eastAsia="彩虹粗仿宋" w:cs="彩虹粗仿宋"/>
                <w:i w:val="0"/>
                <w:iCs w:val="0"/>
                <w:color w:val="000000"/>
                <w:sz w:val="22"/>
                <w:szCs w:val="22"/>
                <w:u w:val="none"/>
              </w:rPr>
            </w:pP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38FA8986">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社保卡交易相关财务结算管理报表，包括清算交易数据报表，对账交易报表、异常数据对账报表。</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94E979">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BB7E08">
            <w:pPr>
              <w:jc w:val="center"/>
              <w:rPr>
                <w:rFonts w:hint="eastAsia" w:ascii="彩虹粗仿宋" w:hAnsi="彩虹粗仿宋" w:eastAsia="彩虹粗仿宋" w:cs="彩虹粗仿宋"/>
                <w:i w:val="0"/>
                <w:iCs w:val="0"/>
                <w:color w:val="000000"/>
                <w:sz w:val="22"/>
                <w:szCs w:val="22"/>
                <w:u w:val="none"/>
              </w:rPr>
            </w:pPr>
          </w:p>
        </w:tc>
      </w:tr>
      <w:tr w14:paraId="3C940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30"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B7897B">
            <w:pPr>
              <w:jc w:val="center"/>
              <w:rPr>
                <w:rFonts w:hint="eastAsia" w:ascii="彩虹粗仿宋" w:hAnsi="彩虹粗仿宋" w:eastAsia="彩虹粗仿宋" w:cs="彩虹粗仿宋"/>
                <w:i w:val="0"/>
                <w:iCs w:val="0"/>
                <w:color w:val="000000"/>
                <w:sz w:val="22"/>
                <w:szCs w:val="22"/>
                <w:u w:val="none"/>
              </w:rPr>
            </w:pPr>
          </w:p>
        </w:tc>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6699BD">
            <w:pPr>
              <w:jc w:val="center"/>
              <w:rPr>
                <w:rFonts w:hint="eastAsia" w:ascii="彩虹粗仿宋" w:hAnsi="彩虹粗仿宋" w:eastAsia="彩虹粗仿宋" w:cs="彩虹粗仿宋"/>
                <w:i w:val="0"/>
                <w:iCs w:val="0"/>
                <w:color w:val="000000"/>
                <w:sz w:val="22"/>
                <w:szCs w:val="22"/>
                <w:u w:val="none"/>
              </w:rPr>
            </w:pP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5971B602">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社保卡交通应用的客服功能，包括充值、挂失、补卡等。</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9CDAB2">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ED31A5">
            <w:pPr>
              <w:jc w:val="center"/>
              <w:rPr>
                <w:rFonts w:hint="eastAsia" w:ascii="彩虹粗仿宋" w:hAnsi="彩虹粗仿宋" w:eastAsia="彩虹粗仿宋" w:cs="彩虹粗仿宋"/>
                <w:i w:val="0"/>
                <w:iCs w:val="0"/>
                <w:color w:val="000000"/>
                <w:sz w:val="22"/>
                <w:szCs w:val="22"/>
                <w:u w:val="none"/>
              </w:rPr>
            </w:pPr>
          </w:p>
        </w:tc>
      </w:tr>
      <w:tr w14:paraId="64EEA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3B8063">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6265DA4B">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公共交通社保数据接收前置平台</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45AC514E">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社保卡黑、白名单下发；刷卡机语音文件下发；社保卡交易参数下发，如线路、车号、折扣信息等；社保卡交易数据上送处理；刷卡机程序远程更新；密钥下发。</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0E27E5">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370A1B">
            <w:pPr>
              <w:jc w:val="center"/>
              <w:rPr>
                <w:rFonts w:hint="eastAsia" w:ascii="彩虹粗仿宋" w:hAnsi="彩虹粗仿宋" w:eastAsia="彩虹粗仿宋" w:cs="彩虹粗仿宋"/>
                <w:i w:val="0"/>
                <w:iCs w:val="0"/>
                <w:color w:val="000000"/>
                <w:sz w:val="22"/>
                <w:szCs w:val="22"/>
                <w:u w:val="none"/>
              </w:rPr>
            </w:pPr>
          </w:p>
        </w:tc>
      </w:tr>
      <w:tr w14:paraId="0EB6A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B84F05">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641C5187">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公共交通社保数据清分清算子系统</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0735B088">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社保卡交易数据解析、清分清算处理，包括客服办卡数据、充值数据、刷卡、扫码交易数据进行清分清算；清算数据入库对账；异常数据处理；报表管理。</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83C65A">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EF2E85">
            <w:pPr>
              <w:jc w:val="center"/>
              <w:rPr>
                <w:rFonts w:hint="eastAsia" w:ascii="彩虹粗仿宋" w:hAnsi="彩虹粗仿宋" w:eastAsia="彩虹粗仿宋" w:cs="彩虹粗仿宋"/>
                <w:i w:val="0"/>
                <w:iCs w:val="0"/>
                <w:color w:val="000000"/>
                <w:sz w:val="22"/>
                <w:szCs w:val="22"/>
                <w:u w:val="none"/>
              </w:rPr>
            </w:pPr>
          </w:p>
        </w:tc>
      </w:tr>
      <w:tr w14:paraId="7A081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507CAD">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4C306A0C">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公共交通社保前置服务子系统</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629FEEE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配置社保卡激活、充值、年审接口等，社保卡合作银行提供社保卡开卡一站式服务，市民领取卡片后，在银行网点自助机实现社保卡公交电子钱包个性化信息写入及激活、补换、注销、异常处理（充值异常、使用异常、移资、退资等）、年审等。</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CFF3F1">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12EBCC">
            <w:pPr>
              <w:jc w:val="center"/>
              <w:rPr>
                <w:rFonts w:hint="eastAsia" w:ascii="彩虹粗仿宋" w:hAnsi="彩虹粗仿宋" w:eastAsia="彩虹粗仿宋" w:cs="彩虹粗仿宋"/>
                <w:i w:val="0"/>
                <w:iCs w:val="0"/>
                <w:color w:val="000000"/>
                <w:sz w:val="22"/>
                <w:szCs w:val="22"/>
                <w:u w:val="none"/>
              </w:rPr>
            </w:pPr>
          </w:p>
        </w:tc>
      </w:tr>
      <w:tr w14:paraId="6BA46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8138F4">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24BDBB76">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公共交通社保卡公交基础管理软件模块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3FF51AD6">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业务基础信息管理；数据准备系统服务器交互；各种交易数据解析。</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39D0C0">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262B43">
            <w:pPr>
              <w:jc w:val="center"/>
              <w:rPr>
                <w:rFonts w:hint="eastAsia" w:ascii="彩虹粗仿宋" w:hAnsi="彩虹粗仿宋" w:eastAsia="彩虹粗仿宋" w:cs="彩虹粗仿宋"/>
                <w:i w:val="0"/>
                <w:iCs w:val="0"/>
                <w:color w:val="000000"/>
                <w:sz w:val="22"/>
                <w:szCs w:val="22"/>
                <w:u w:val="none"/>
              </w:rPr>
            </w:pPr>
          </w:p>
        </w:tc>
      </w:tr>
      <w:tr w14:paraId="16A03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33334F">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568FDC5A">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公共交通社保监控管理界面模块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682C7A07">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业务逻辑处理；监控后台交互、预警报警展示；系统资源占用情况；用户进行配置管理的流水数据；制卡任务处理流水数据监控。</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23A4F1">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C261F">
            <w:pPr>
              <w:jc w:val="center"/>
              <w:rPr>
                <w:rFonts w:hint="eastAsia" w:ascii="彩虹粗仿宋" w:hAnsi="彩虹粗仿宋" w:eastAsia="彩虹粗仿宋" w:cs="彩虹粗仿宋"/>
                <w:i w:val="0"/>
                <w:iCs w:val="0"/>
                <w:color w:val="000000"/>
                <w:sz w:val="22"/>
                <w:szCs w:val="22"/>
                <w:u w:val="none"/>
              </w:rPr>
            </w:pPr>
          </w:p>
        </w:tc>
      </w:tr>
      <w:tr w14:paraId="28A17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30"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3E25FC">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66B0CF8">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公共交通社保管理服务模块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6F696966">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基础信息管理，包括机构管理、产品管理、制卡任务管理、配置管理等。</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4B8749">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E3558A">
            <w:pPr>
              <w:jc w:val="center"/>
              <w:rPr>
                <w:rFonts w:hint="eastAsia" w:ascii="彩虹粗仿宋" w:hAnsi="彩虹粗仿宋" w:eastAsia="彩虹粗仿宋" w:cs="彩虹粗仿宋"/>
                <w:i w:val="0"/>
                <w:iCs w:val="0"/>
                <w:color w:val="000000"/>
                <w:sz w:val="22"/>
                <w:szCs w:val="22"/>
                <w:u w:val="none"/>
              </w:rPr>
            </w:pPr>
          </w:p>
        </w:tc>
      </w:tr>
      <w:tr w14:paraId="32746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78B425">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4DE476AA">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公共交通社保制卡任务处理模块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12A83D85">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主机文件接收、解析、验证；生成与打包数据准备文件主机文件接收，文件解析、验证；社保卡交通模板解析，安全处理；交通卡数据准备；文件打包发送。</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CC0F11">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AA0240">
            <w:pPr>
              <w:jc w:val="center"/>
              <w:rPr>
                <w:rFonts w:hint="eastAsia" w:ascii="彩虹粗仿宋" w:hAnsi="彩虹粗仿宋" w:eastAsia="彩虹粗仿宋" w:cs="彩虹粗仿宋"/>
                <w:i w:val="0"/>
                <w:iCs w:val="0"/>
                <w:color w:val="000000"/>
                <w:sz w:val="22"/>
                <w:szCs w:val="22"/>
                <w:u w:val="none"/>
              </w:rPr>
            </w:pPr>
          </w:p>
        </w:tc>
      </w:tr>
      <w:tr w14:paraId="1CEC7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BC4704">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225A2615">
            <w:pPr>
              <w:keepNext w:val="0"/>
              <w:keepLines w:val="0"/>
              <w:widowControl/>
              <w:suppressLineNumbers w:val="0"/>
              <w:jc w:val="center"/>
              <w:textAlignment w:val="center"/>
              <w:rPr>
                <w:rFonts w:hint="eastAsia" w:ascii="彩虹粗仿宋" w:hAnsi="彩虹粗仿宋" w:eastAsia="彩虹粗仿宋" w:cs="彩虹粗仿宋"/>
                <w:i w:val="0"/>
                <w:iCs w:val="0"/>
                <w:color w:val="000000"/>
                <w:kern w:val="2"/>
                <w:sz w:val="22"/>
                <w:szCs w:val="22"/>
                <w:u w:val="none"/>
                <w:lang w:val="en-US" w:eastAsia="zh-CN" w:bidi="ar-SA"/>
              </w:rPr>
            </w:pPr>
            <w:r>
              <w:rPr>
                <w:rFonts w:hint="eastAsia" w:ascii="彩虹粗仿宋" w:hAnsi="彩虹粗仿宋" w:eastAsia="彩虹粗仿宋" w:cs="彩虹粗仿宋"/>
                <w:i w:val="0"/>
                <w:iCs w:val="0"/>
                <w:color w:val="000000"/>
                <w:kern w:val="0"/>
                <w:sz w:val="22"/>
                <w:szCs w:val="22"/>
                <w:u w:val="none"/>
                <w:lang w:val="en-US" w:eastAsia="zh-CN" w:bidi="ar"/>
              </w:rPr>
              <w:t>公共交通社保监控模块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767C1269">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2"/>
                <w:sz w:val="22"/>
                <w:szCs w:val="22"/>
                <w:u w:val="none"/>
                <w:lang w:val="en-US" w:eastAsia="zh-CN" w:bidi="ar-SA"/>
              </w:rPr>
            </w:pPr>
            <w:r>
              <w:rPr>
                <w:rFonts w:hint="eastAsia" w:ascii="彩虹粗仿宋" w:hAnsi="彩虹粗仿宋" w:eastAsia="彩虹粗仿宋" w:cs="彩虹粗仿宋"/>
                <w:i w:val="0"/>
                <w:iCs w:val="0"/>
                <w:color w:val="000000"/>
                <w:kern w:val="0"/>
                <w:sz w:val="22"/>
                <w:szCs w:val="22"/>
                <w:u w:val="none"/>
                <w:lang w:val="en-US" w:eastAsia="zh-CN" w:bidi="ar"/>
              </w:rPr>
              <w:t>系统资源监测、制卡任务处理流水数据生成。</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3B9827">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09757E5">
            <w:pPr>
              <w:jc w:val="center"/>
              <w:rPr>
                <w:rFonts w:hint="eastAsia" w:ascii="彩虹粗仿宋" w:hAnsi="彩虹粗仿宋" w:eastAsia="彩虹粗仿宋" w:cs="彩虹粗仿宋"/>
                <w:i w:val="0"/>
                <w:iCs w:val="0"/>
                <w:color w:val="000000"/>
                <w:sz w:val="22"/>
                <w:szCs w:val="22"/>
                <w:u w:val="none"/>
              </w:rPr>
            </w:pPr>
          </w:p>
        </w:tc>
      </w:tr>
      <w:tr w14:paraId="7A54B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6440B2">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72A22146">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公共交通社保卡自助机管理模块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2B4A2E00">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实现对银行自助机管理功能，包括自助机注册；自助机参数设备下发；社保卡自助注册、激活、充值、挂失接口管理；远程下发自助机程序。</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5F7513">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B088F14">
            <w:pPr>
              <w:jc w:val="center"/>
              <w:rPr>
                <w:rFonts w:hint="eastAsia" w:ascii="彩虹粗仿宋" w:hAnsi="彩虹粗仿宋" w:eastAsia="彩虹粗仿宋" w:cs="彩虹粗仿宋"/>
                <w:i w:val="0"/>
                <w:iCs w:val="0"/>
                <w:color w:val="000000"/>
                <w:sz w:val="22"/>
                <w:szCs w:val="22"/>
                <w:u w:val="none"/>
              </w:rPr>
            </w:pPr>
          </w:p>
        </w:tc>
      </w:tr>
      <w:tr w14:paraId="4E6BB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AEF9F8">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C9D426D">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社保卡交通应用刷卡交易模块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6F33D09E">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实现汕头社保卡在汕头公交原有刷卡机交易验证、扣费，交易数据上传等；增加社保卡各种卡类交易流程，如老年卡，学生卡，普通卡 ；密钥校验；社保卡参数配置；增加社保卡交易语音提示；黑名单下发；社保卡交易数据上送；交易异常处理。</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1209FB">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38AAF8">
            <w:pPr>
              <w:jc w:val="center"/>
              <w:rPr>
                <w:rFonts w:hint="eastAsia" w:ascii="彩虹粗仿宋" w:hAnsi="彩虹粗仿宋" w:eastAsia="彩虹粗仿宋" w:cs="彩虹粗仿宋"/>
                <w:i w:val="0"/>
                <w:iCs w:val="0"/>
                <w:color w:val="000000"/>
                <w:sz w:val="22"/>
                <w:szCs w:val="22"/>
                <w:u w:val="none"/>
              </w:rPr>
            </w:pPr>
          </w:p>
        </w:tc>
      </w:tr>
      <w:tr w14:paraId="2CB0F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71554D">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5C9183C0">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图书管理系统社保服务板块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7807F057">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bCs/>
                <w:szCs w:val="21"/>
              </w:rPr>
              <w:t>按</w:t>
            </w:r>
            <w:r>
              <w:rPr>
                <w:rFonts w:hint="eastAsia" w:ascii="彩虹粗仿宋" w:hAnsi="彩虹粗仿宋" w:eastAsia="彩虹粗仿宋" w:cs="彩虹粗仿宋"/>
                <w:i w:val="0"/>
                <w:iCs w:val="0"/>
                <w:color w:val="000000"/>
                <w:kern w:val="0"/>
                <w:sz w:val="22"/>
                <w:szCs w:val="22"/>
                <w:u w:val="none"/>
                <w:lang w:val="en-US" w:eastAsia="zh-CN" w:bidi="ar"/>
              </w:rPr>
              <w:t>照人社部门社保卡管理应用技术标准，对汕头市图书馆管理系统进行改造。实现实体社保卡（接触+非接）和电子社保卡（扫码）的身份识别，以及识别后能够自助借还书、窗口办证和借还书。社保卡认证程序的定制开发包含设备读卡功能、电子社保卡解码功能的开发和与汕头市社保卡管理系统的对接、用卡数据同步归集；开发读取社保卡的读卡程序，兼容读取实体社保卡及电子社保卡二维码；可对接图书馆人工服务台，读者提供社保卡实体卡或社保卡电子证给馆员，即可实现扫码借、还书。</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60B8A7">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561DE3">
            <w:pPr>
              <w:jc w:val="center"/>
              <w:rPr>
                <w:rFonts w:hint="eastAsia" w:ascii="彩虹粗仿宋" w:hAnsi="彩虹粗仿宋" w:eastAsia="彩虹粗仿宋" w:cs="彩虹粗仿宋"/>
                <w:i w:val="0"/>
                <w:iCs w:val="0"/>
                <w:color w:val="000000"/>
                <w:sz w:val="22"/>
                <w:szCs w:val="22"/>
                <w:u w:val="none"/>
              </w:rPr>
            </w:pPr>
          </w:p>
        </w:tc>
      </w:tr>
      <w:tr w14:paraId="2465F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30"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6AA794">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59E4A497">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图书借阅自助终端设备社保服务板块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09469AF8">
            <w:pPr>
              <w:pStyle w:val="8"/>
              <w:widowControl/>
              <w:ind w:left="0" w:leftChars="0" w:firstLine="0" w:firstLineChars="0"/>
              <w:jc w:val="both"/>
              <w:textAlignment w:val="center"/>
              <w:rPr>
                <w:rFonts w:hint="eastAsia" w:ascii="彩虹粗仿宋" w:hAnsi="彩虹粗仿宋" w:eastAsia="彩虹粗仿宋" w:cs="彩虹粗仿宋"/>
                <w:color w:val="000000"/>
                <w:kern w:val="0"/>
                <w:sz w:val="22"/>
                <w:u w:val="none"/>
                <w:lang w:val="en-US" w:eastAsia="zh-CN" w:bidi="ar"/>
              </w:rPr>
            </w:pPr>
            <w:r>
              <w:rPr>
                <w:rFonts w:hint="eastAsia" w:ascii="彩虹粗仿宋" w:hAnsi="彩虹粗仿宋" w:eastAsia="彩虹粗仿宋" w:cs="彩虹粗仿宋"/>
                <w:bCs/>
                <w:szCs w:val="21"/>
              </w:rPr>
              <w:t>对图书馆的自助借还一体机设备的系统进行升级改造，</w:t>
            </w:r>
            <w:r>
              <w:rPr>
                <w:rFonts w:hint="eastAsia" w:ascii="彩虹粗仿宋" w:hAnsi="彩虹粗仿宋" w:eastAsia="彩虹粗仿宋" w:cs="彩虹粗仿宋"/>
                <w:color w:val="000000"/>
                <w:kern w:val="0"/>
                <w:szCs w:val="21"/>
                <w:lang w:bidi="ar"/>
              </w:rPr>
              <w:t>保障自助机上加装读卡器后经读卡程序处理后能读取社保卡信息，并将信息传输到自助借还机的软件中</w:t>
            </w:r>
            <w:r>
              <w:rPr>
                <w:rFonts w:hint="eastAsia" w:ascii="彩虹粗仿宋" w:hAnsi="彩虹粗仿宋" w:eastAsia="彩虹粗仿宋" w:cs="彩虹粗仿宋"/>
                <w:color w:val="000000"/>
                <w:kern w:val="0"/>
                <w:szCs w:val="21"/>
                <w:lang w:eastAsia="zh-CN" w:bidi="ar"/>
              </w:rPr>
              <w:t>；</w:t>
            </w:r>
            <w:r>
              <w:rPr>
                <w:rFonts w:hint="eastAsia" w:ascii="彩虹粗仿宋" w:hAnsi="彩虹粗仿宋" w:eastAsia="彩虹粗仿宋" w:cs="彩虹粗仿宋"/>
                <w:bCs/>
                <w:szCs w:val="21"/>
              </w:rPr>
              <w:t>实现实体社保卡和电子社保卡的认证，以及识别后能够自助借还图书。社保卡认证程序的定制开发项包含设备读卡功能与电子社保卡解码功能的开发、同步用卡数据归集。</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BF1D7B">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27C34E">
            <w:pPr>
              <w:jc w:val="center"/>
              <w:rPr>
                <w:rFonts w:hint="eastAsia" w:ascii="彩虹粗仿宋" w:hAnsi="彩虹粗仿宋" w:eastAsia="彩虹粗仿宋" w:cs="彩虹粗仿宋"/>
                <w:i w:val="0"/>
                <w:iCs w:val="0"/>
                <w:color w:val="000000"/>
                <w:sz w:val="22"/>
                <w:szCs w:val="22"/>
                <w:u w:val="none"/>
              </w:rPr>
            </w:pPr>
          </w:p>
        </w:tc>
      </w:tr>
      <w:tr w14:paraId="25E1E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995A59">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5D239EED">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社保卡金融功能复合使用</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74154B7E">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实现调用社保卡金融功能，并在公共交通场景中复用；</w:t>
            </w:r>
            <w:r>
              <w:rPr>
                <w:rFonts w:hint="eastAsia" w:ascii="彩虹粗仿宋" w:hAnsi="彩虹粗仿宋" w:eastAsia="彩虹粗仿宋" w:cs="彩虹粗仿宋"/>
                <w:color w:val="000000"/>
                <w:kern w:val="0"/>
                <w:sz w:val="22"/>
                <w:u w:val="none"/>
                <w:lang w:bidi="ar"/>
              </w:rPr>
              <w:t>社保卡通过云闪付使用金融钱包乘坐公交功能，同时加载汕头市交通部交通应用的功能，让不同年龄人群乘坐公交享受不同优惠</w:t>
            </w:r>
            <w:r>
              <w:rPr>
                <w:rFonts w:hint="eastAsia" w:ascii="彩虹粗仿宋" w:hAnsi="彩虹粗仿宋" w:eastAsia="彩虹粗仿宋" w:cs="彩虹粗仿宋"/>
                <w:color w:val="000000"/>
                <w:kern w:val="0"/>
                <w:sz w:val="22"/>
                <w:u w:val="none"/>
                <w:lang w:eastAsia="zh-CN" w:bidi="ar"/>
              </w:rPr>
              <w:t>。</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69CB75">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1C7C80F">
            <w:pPr>
              <w:jc w:val="center"/>
              <w:rPr>
                <w:rFonts w:hint="eastAsia" w:ascii="彩虹粗仿宋" w:hAnsi="彩虹粗仿宋" w:eastAsia="彩虹粗仿宋" w:cs="彩虹粗仿宋"/>
                <w:i w:val="0"/>
                <w:iCs w:val="0"/>
                <w:color w:val="000000"/>
                <w:sz w:val="22"/>
                <w:szCs w:val="22"/>
                <w:u w:val="none"/>
              </w:rPr>
            </w:pPr>
          </w:p>
        </w:tc>
      </w:tr>
    </w:tbl>
    <w:p w14:paraId="016D7DD7">
      <w:pPr>
        <w:widowControl w:val="0"/>
        <w:numPr>
          <w:ilvl w:val="0"/>
          <w:numId w:val="0"/>
        </w:numPr>
        <w:adjustRightInd w:val="0"/>
        <w:snapToGrid w:val="0"/>
        <w:spacing w:line="560" w:lineRule="atLeast"/>
        <w:ind w:firstLine="640" w:firstLineChars="200"/>
        <w:jc w:val="both"/>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（2）本项目采购的硬件要求如下：</w:t>
      </w:r>
    </w:p>
    <w:tbl>
      <w:tblPr>
        <w:tblStyle w:val="4"/>
        <w:tblW w:w="9078"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56"/>
        <w:gridCol w:w="5362"/>
        <w:gridCol w:w="1080"/>
        <w:gridCol w:w="1080"/>
      </w:tblGrid>
      <w:tr w14:paraId="0CD34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556" w:type="dxa"/>
            <w:tcBorders>
              <w:top w:val="single" w:color="000000" w:sz="4" w:space="0"/>
              <w:left w:val="single" w:color="000000" w:sz="4" w:space="0"/>
              <w:bottom w:val="single" w:color="000000" w:sz="4" w:space="0"/>
              <w:right w:val="single" w:color="000000" w:sz="4" w:space="0"/>
            </w:tcBorders>
            <w:noWrap w:val="0"/>
            <w:vAlign w:val="center"/>
          </w:tcPr>
          <w:p w14:paraId="1B02C7BC">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名称</w:t>
            </w:r>
          </w:p>
        </w:tc>
        <w:tc>
          <w:tcPr>
            <w:tcW w:w="5362" w:type="dxa"/>
            <w:tcBorders>
              <w:top w:val="single" w:color="000000" w:sz="4" w:space="0"/>
              <w:left w:val="single" w:color="000000" w:sz="4" w:space="0"/>
              <w:bottom w:val="single" w:color="000000" w:sz="4" w:space="0"/>
              <w:right w:val="single" w:color="000000" w:sz="4" w:space="0"/>
            </w:tcBorders>
            <w:noWrap w:val="0"/>
            <w:vAlign w:val="center"/>
          </w:tcPr>
          <w:p w14:paraId="5439B473">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功能描述/规格型号</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2249533">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B9F267A">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数量</w:t>
            </w:r>
          </w:p>
        </w:tc>
      </w:tr>
      <w:tr w14:paraId="6EB8C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4" w:hRule="atLeast"/>
        </w:trPr>
        <w:tc>
          <w:tcPr>
            <w:tcW w:w="1556" w:type="dxa"/>
            <w:tcBorders>
              <w:top w:val="single" w:color="000000" w:sz="4" w:space="0"/>
              <w:left w:val="single" w:color="000000" w:sz="4" w:space="0"/>
              <w:bottom w:val="single" w:color="000000" w:sz="4" w:space="0"/>
              <w:right w:val="single" w:color="000000" w:sz="4" w:space="0"/>
            </w:tcBorders>
            <w:noWrap w:val="0"/>
            <w:vAlign w:val="center"/>
          </w:tcPr>
          <w:p w14:paraId="5CD2CB61">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社保卡读卡器</w:t>
            </w:r>
          </w:p>
        </w:tc>
        <w:tc>
          <w:tcPr>
            <w:tcW w:w="5362" w:type="dxa"/>
            <w:tcBorders>
              <w:top w:val="single" w:color="000000" w:sz="4" w:space="0"/>
              <w:left w:val="single" w:color="000000" w:sz="4" w:space="0"/>
              <w:bottom w:val="single" w:color="000000" w:sz="4" w:space="0"/>
              <w:right w:val="single" w:color="000000" w:sz="4" w:space="0"/>
            </w:tcBorders>
            <w:noWrap w:val="0"/>
            <w:vAlign w:val="center"/>
          </w:tcPr>
          <w:p w14:paraId="762A2C4A">
            <w:pPr>
              <w:pStyle w:val="8"/>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1.支持读取实体社保卡的基本信息，如社保卡号、持卡人姓名、发卡机构等。</w:t>
            </w:r>
          </w:p>
          <w:p w14:paraId="4217FE1C">
            <w:pPr>
              <w:pStyle w:val="8"/>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2.支持扫描电子社保卡二维码，获取社保卡基本信息。</w:t>
            </w:r>
          </w:p>
          <w:p w14:paraId="538BFE10">
            <w:pPr>
              <w:pStyle w:val="8"/>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3.确保数据传输过程中的安全性，支持数据加密和解密功能，保护用户隐私信息。</w:t>
            </w:r>
          </w:p>
          <w:p w14:paraId="382AED43">
            <w:pPr>
              <w:pStyle w:val="8"/>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4.支持自动识别卡片类型的功能，简化操作流程。</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48D5B7C">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18D0C62">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28</w:t>
            </w:r>
          </w:p>
        </w:tc>
      </w:tr>
      <w:tr w14:paraId="5374F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1556" w:type="dxa"/>
            <w:tcBorders>
              <w:top w:val="single" w:color="000000" w:sz="4" w:space="0"/>
              <w:left w:val="single" w:color="000000" w:sz="4" w:space="0"/>
              <w:bottom w:val="single" w:color="000000" w:sz="4" w:space="0"/>
              <w:right w:val="single" w:color="000000" w:sz="4" w:space="0"/>
            </w:tcBorders>
            <w:noWrap w:val="0"/>
            <w:vAlign w:val="center"/>
          </w:tcPr>
          <w:p w14:paraId="2A5A3938">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立式一体化自助机</w:t>
            </w:r>
          </w:p>
        </w:tc>
        <w:tc>
          <w:tcPr>
            <w:tcW w:w="5362" w:type="dxa"/>
            <w:tcBorders>
              <w:top w:val="single" w:color="000000" w:sz="4" w:space="0"/>
              <w:left w:val="single" w:color="000000" w:sz="4" w:space="0"/>
              <w:bottom w:val="single" w:color="000000" w:sz="4" w:space="0"/>
              <w:right w:val="single" w:color="000000" w:sz="4" w:space="0"/>
            </w:tcBorders>
            <w:noWrap w:val="0"/>
            <w:vAlign w:val="center"/>
          </w:tcPr>
          <w:p w14:paraId="2D95B038">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windows操作系统，带摄像头，身份证读写器，社保卡读写器、票据打印、4G通信；用于自助激活社保卡公交卡应用</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D7EEE82">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3AFCCE89">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7</w:t>
            </w:r>
          </w:p>
        </w:tc>
      </w:tr>
      <w:tr w14:paraId="69812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556" w:type="dxa"/>
            <w:tcBorders>
              <w:top w:val="single" w:color="000000" w:sz="4" w:space="0"/>
              <w:left w:val="single" w:color="000000" w:sz="4" w:space="0"/>
              <w:bottom w:val="single" w:color="000000" w:sz="4" w:space="0"/>
              <w:right w:val="single" w:color="000000" w:sz="4" w:space="0"/>
            </w:tcBorders>
            <w:noWrap w:val="0"/>
            <w:vAlign w:val="center"/>
          </w:tcPr>
          <w:p w14:paraId="24CDD342">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加密机</w:t>
            </w:r>
          </w:p>
        </w:tc>
        <w:tc>
          <w:tcPr>
            <w:tcW w:w="5362" w:type="dxa"/>
            <w:tcBorders>
              <w:top w:val="single" w:color="000000" w:sz="4" w:space="0"/>
              <w:left w:val="single" w:color="000000" w:sz="4" w:space="0"/>
              <w:bottom w:val="single" w:color="000000" w:sz="4" w:space="0"/>
              <w:right w:val="single" w:color="000000" w:sz="4" w:space="0"/>
            </w:tcBorders>
            <w:noWrap w:val="0"/>
            <w:vAlign w:val="center"/>
          </w:tcPr>
          <w:p w14:paraId="0568A444">
            <w:pPr>
              <w:keepNext w:val="0"/>
              <w:keepLines w:val="0"/>
              <w:widowControl/>
              <w:suppressLineNumbers w:val="0"/>
              <w:jc w:val="left"/>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支持国密，SRJ1401签名验签服务器；用于社保卡交通部应用的密钥存储</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108604D">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5A5F254D">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1</w:t>
            </w:r>
          </w:p>
        </w:tc>
      </w:tr>
    </w:tbl>
    <w:p w14:paraId="1D485749">
      <w:pPr>
        <w:spacing w:line="560" w:lineRule="exact"/>
        <w:ind w:firstLine="643" w:firstLineChars="200"/>
        <w:rPr>
          <w:rFonts w:hint="eastAsia" w:ascii="彩虹粗仿宋" w:hAnsi="宋体" w:eastAsia="彩虹粗仿宋"/>
          <w:b/>
          <w:bCs/>
          <w:sz w:val="32"/>
          <w:szCs w:val="32"/>
          <w:lang w:eastAsia="zh-CN"/>
        </w:rPr>
      </w:pPr>
      <w:r>
        <w:rPr>
          <w:rFonts w:hint="eastAsia" w:ascii="彩虹粗仿宋" w:hAnsi="宋体" w:eastAsia="彩虹粗仿宋"/>
          <w:b/>
          <w:bCs/>
          <w:sz w:val="32"/>
          <w:szCs w:val="32"/>
          <w:lang w:val="en-US" w:eastAsia="zh-CN"/>
        </w:rPr>
        <w:t>3.</w:t>
      </w:r>
      <w:r>
        <w:rPr>
          <w:rFonts w:hint="eastAsia" w:ascii="彩虹粗仿宋" w:hAnsi="宋体" w:eastAsia="彩虹粗仿宋"/>
          <w:b/>
          <w:bCs/>
          <w:sz w:val="32"/>
          <w:szCs w:val="32"/>
          <w:lang w:eastAsia="zh-CN"/>
        </w:rPr>
        <w:t>项目三</w:t>
      </w:r>
      <w:r>
        <w:rPr>
          <w:rFonts w:hint="eastAsia" w:ascii="彩虹粗仿宋" w:hAnsi="宋体" w:eastAsia="彩虹粗仿宋"/>
          <w:b/>
          <w:bCs/>
          <w:sz w:val="32"/>
          <w:szCs w:val="32"/>
          <w:lang w:val="en-US" w:eastAsia="zh-CN"/>
        </w:rPr>
        <w:t>：</w:t>
      </w:r>
      <w:r>
        <w:rPr>
          <w:rFonts w:hint="eastAsia" w:ascii="彩虹粗仿宋" w:hAnsi="宋体" w:eastAsia="彩虹粗仿宋"/>
          <w:b/>
          <w:bCs/>
          <w:sz w:val="32"/>
          <w:szCs w:val="32"/>
          <w:lang w:eastAsia="zh-CN"/>
        </w:rPr>
        <w:t>汕头市医疗保险信息管理系统新增功能项目</w:t>
      </w:r>
    </w:p>
    <w:p w14:paraId="4F7C2B63">
      <w:pPr>
        <w:spacing w:line="360" w:lineRule="auto"/>
        <w:ind w:firstLine="640" w:firstLineChars="200"/>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本项目仅包括软件。</w:t>
      </w:r>
    </w:p>
    <w:tbl>
      <w:tblPr>
        <w:tblStyle w:val="4"/>
        <w:tblW w:w="96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06"/>
        <w:gridCol w:w="2165"/>
        <w:gridCol w:w="4578"/>
        <w:gridCol w:w="1133"/>
        <w:gridCol w:w="951"/>
      </w:tblGrid>
      <w:tr w14:paraId="14241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tcBorders>
              <w:top w:val="single" w:color="000000" w:sz="4" w:space="0"/>
              <w:left w:val="single" w:color="000000" w:sz="4" w:space="0"/>
              <w:bottom w:val="single" w:color="000000" w:sz="4" w:space="0"/>
              <w:right w:val="single" w:color="000000" w:sz="4" w:space="0"/>
            </w:tcBorders>
            <w:noWrap w:val="0"/>
            <w:vAlign w:val="center"/>
          </w:tcPr>
          <w:p w14:paraId="629A2AA0">
            <w:pPr>
              <w:keepNext w:val="0"/>
              <w:keepLines w:val="0"/>
              <w:widowControl/>
              <w:suppressLineNumbers w:val="0"/>
              <w:jc w:val="center"/>
              <w:textAlignment w:val="center"/>
              <w:rPr>
                <w:rFonts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软件名称</w:t>
            </w: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125142D7">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功能板块</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799ABBA3">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功能点</w:t>
            </w:r>
          </w:p>
        </w:tc>
        <w:tc>
          <w:tcPr>
            <w:tcW w:w="1133" w:type="dxa"/>
            <w:tcBorders>
              <w:top w:val="single" w:color="000000" w:sz="4" w:space="0"/>
              <w:left w:val="single" w:color="000000" w:sz="4" w:space="0"/>
              <w:bottom w:val="single" w:color="000000" w:sz="4" w:space="0"/>
              <w:right w:val="single" w:color="000000" w:sz="4" w:space="0"/>
            </w:tcBorders>
            <w:noWrap w:val="0"/>
            <w:vAlign w:val="center"/>
          </w:tcPr>
          <w:p w14:paraId="4CB8B4CE">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单位</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14:paraId="413FAA48">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数量</w:t>
            </w:r>
          </w:p>
        </w:tc>
      </w:tr>
      <w:tr w14:paraId="42C6F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7" w:hRule="atLeast"/>
          <w:jc w:val="center"/>
        </w:trPr>
        <w:tc>
          <w:tcPr>
            <w:tcW w:w="806" w:type="dxa"/>
            <w:vMerge w:val="restart"/>
            <w:tcBorders>
              <w:top w:val="single" w:color="000000" w:sz="4" w:space="0"/>
              <w:left w:val="single" w:color="000000" w:sz="4" w:space="0"/>
              <w:bottom w:val="single" w:color="000000" w:sz="4" w:space="0"/>
              <w:right w:val="single" w:color="000000" w:sz="4" w:space="0"/>
            </w:tcBorders>
            <w:noWrap w:val="0"/>
            <w:vAlign w:val="center"/>
          </w:tcPr>
          <w:p w14:paraId="1626FE0B">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汕头市医疗保险信息管理系统新增功能软件</w:t>
            </w: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628BD87A">
            <w:pPr>
              <w:widowControl/>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汕头市国家集中采购预拨购药款信息管理之医疗保险信息管理系统功能</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32B0A921">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（1）医疗保险信息管理系统医院功能</w:t>
            </w:r>
          </w:p>
          <w:p w14:paraId="2918292E">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根据政策及需求，对医院管理子系统进行系统改造。包括新增“预拨药款登记”、“抵扣预拨购药款查询”模块，以及对医院药店到账情况查询功能调整。</w:t>
            </w:r>
          </w:p>
          <w:p w14:paraId="18E6E06B">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（2）医疗保险信息管理系统结算功能</w:t>
            </w:r>
          </w:p>
          <w:p w14:paraId="6C4D6E64">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根据政策及需求，对结算管理子系统进行改造。包括新增“集采药品预拨购药款登记管理”、“批次定义〔预拨购药款〕”、“抵扣预拨购药款登记管理”模块；调整“银行信息变更”、“批次定义[普通门诊统筹]”、“批次定义[特殊门诊]”模块；开发“集中采购金额生成”（医保局部分）、医院采购数据查询（医保局部分）、医院预拨款申请查询（医保局部分）、医院预拨款详情查询（医保局部分）功能。</w:t>
            </w:r>
          </w:p>
          <w:p w14:paraId="5DA81509">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（3）医疗保险信息管理系统财务管理功能</w:t>
            </w:r>
          </w:p>
          <w:p w14:paraId="1BE2B45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根据政策及需求，对财务管理子系统进行系统改造。包括集中采购药品预拨购药款支付流程调整、抵扣预拨购药款支付流程调整。</w:t>
            </w:r>
          </w:p>
          <w:p w14:paraId="3436A5F2">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（4）医疗保险信息管理系统统计分析报表功能</w:t>
            </w:r>
          </w:p>
          <w:p w14:paraId="5C4ACC04">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根据政策及需求，对涉及集中采购药品预拨购药款及抵扣预拨购药款支付相关的统计报表进行调整。包括结算业务状态查询功能、普通门诊统筹及特殊门诊月度结算等相关统计报表。</w:t>
            </w:r>
          </w:p>
        </w:tc>
        <w:tc>
          <w:tcPr>
            <w:tcW w:w="1133" w:type="dxa"/>
            <w:vMerge w:val="restart"/>
            <w:tcBorders>
              <w:top w:val="single" w:color="000000" w:sz="4" w:space="0"/>
              <w:left w:val="single" w:color="000000" w:sz="4" w:space="0"/>
              <w:bottom w:val="single" w:color="000000" w:sz="4" w:space="0"/>
              <w:right w:val="single" w:color="000000" w:sz="4" w:space="0"/>
            </w:tcBorders>
            <w:noWrap w:val="0"/>
            <w:vAlign w:val="center"/>
          </w:tcPr>
          <w:p w14:paraId="08A6AB8C">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套</w:t>
            </w:r>
          </w:p>
        </w:tc>
        <w:tc>
          <w:tcPr>
            <w:tcW w:w="951" w:type="dxa"/>
            <w:vMerge w:val="restart"/>
            <w:tcBorders>
              <w:top w:val="single" w:color="000000" w:sz="4" w:space="0"/>
              <w:left w:val="single" w:color="000000" w:sz="4" w:space="0"/>
              <w:bottom w:val="single" w:color="000000" w:sz="4" w:space="0"/>
              <w:right w:val="single" w:color="000000" w:sz="4" w:space="0"/>
            </w:tcBorders>
            <w:noWrap w:val="0"/>
            <w:vAlign w:val="center"/>
          </w:tcPr>
          <w:p w14:paraId="1D0258BC">
            <w:pPr>
              <w:keepNext w:val="0"/>
              <w:keepLines w:val="0"/>
              <w:widowControl/>
              <w:suppressLineNumbers w:val="0"/>
              <w:jc w:val="center"/>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1</w:t>
            </w:r>
          </w:p>
        </w:tc>
      </w:tr>
      <w:tr w14:paraId="58D43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D9F477">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49F40B85">
            <w:pPr>
              <w:widowControl/>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汕头基本医疗保障政策调整之医疗保险信息管理系统功能</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405EBB4B">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（1）职工医保普通门诊统筹待遇</w:t>
            </w:r>
          </w:p>
          <w:p w14:paraId="7048CE17">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根据需求对职工医保普通门诊统筹待遇支付计算程序进行改造。同时兼容旧政策的普通门诊的待遇计算，包括对本地参保人的普通门诊待遇实时记账的待遇算法调整，以及常住异地职工参保人的包干算法调整。</w:t>
            </w:r>
          </w:p>
          <w:p w14:paraId="41BF1977">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（2）城乡居民医保（含困难群体）普通门诊待遇功能</w:t>
            </w:r>
          </w:p>
          <w:p w14:paraId="53CCE23F">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根据需求对城乡居民医保（含困难群体）普通门诊待遇功能进行改造。包括对城乡居民本地参保人的普通门诊待遇算法进行调整以及城乡居民常住异地参保人的普通门诊统筹包干待遇算法调整。</w:t>
            </w:r>
          </w:p>
          <w:p w14:paraId="251DF932">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（3）参保险种变更的普门待遇功能</w:t>
            </w:r>
          </w:p>
          <w:p w14:paraId="26D3907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对参保人参保险种变更下的参保人普通门诊统筹待遇算法进行调整。</w:t>
            </w:r>
          </w:p>
          <w:p w14:paraId="6BE25FD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（4）过渡期常住异地人员普门包干问题功能</w:t>
            </w:r>
          </w:p>
          <w:p w14:paraId="3D4DA217">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包括过渡期职工常住异地参保人的普通门诊统筹包干待遇算法调整以及过渡期城乡居民常住异地参保人的普通门诊统筹包干待遇算法调整。</w:t>
            </w:r>
          </w:p>
          <w:p w14:paraId="7F1258CB">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（5）大病保险待遇功能</w:t>
            </w:r>
          </w:p>
          <w:p w14:paraId="45DF5916">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根据2020年度汕头基本医疗保障大病政策及业务科室提交的需求，对大病待遇核心结算程序进行调整。</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0DD007">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46C177">
            <w:pPr>
              <w:jc w:val="center"/>
              <w:rPr>
                <w:rFonts w:hint="eastAsia" w:ascii="彩虹粗仿宋" w:hAnsi="彩虹粗仿宋" w:eastAsia="彩虹粗仿宋" w:cs="彩虹粗仿宋"/>
                <w:i w:val="0"/>
                <w:iCs w:val="0"/>
                <w:color w:val="000000"/>
                <w:sz w:val="22"/>
                <w:szCs w:val="22"/>
                <w:u w:val="none"/>
              </w:rPr>
            </w:pPr>
          </w:p>
        </w:tc>
      </w:tr>
      <w:tr w14:paraId="56C4A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3B3149">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5EFC3B4E">
            <w:pPr>
              <w:widowControl/>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汕头医疗救助“一站式”之医疗保险信息管理系统功能</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79D87403">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（1）医院管理子系统改造</w:t>
            </w:r>
          </w:p>
          <w:p w14:paraId="3E692379">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根据需求，对医院管理子系统进行系统改造，包含住院一站式、门诊一站式。</w:t>
            </w:r>
          </w:p>
          <w:p w14:paraId="0683C5AF">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（2）医院接口子系统改造</w:t>
            </w:r>
          </w:p>
          <w:p w14:paraId="75768A38">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根据需求，对医院接口子系统进行系统改造，包含住院一站式、门诊一站式。</w:t>
            </w:r>
          </w:p>
          <w:p w14:paraId="3542E136">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（3）报销管理子系统改造</w:t>
            </w:r>
          </w:p>
          <w:p w14:paraId="5C6BB7AD">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根据需求，对结算报销子系统进行系统改造，同时需兼容政策实施前的待遇计算。</w:t>
            </w:r>
          </w:p>
          <w:p w14:paraId="07BDB1D4">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（4）结算管理子系统改造</w:t>
            </w:r>
          </w:p>
          <w:p w14:paraId="764ACF3E">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根据需求，对结算管理子系统进行系统改造，同时需兼容政策实施前的待遇计算。</w:t>
            </w:r>
          </w:p>
          <w:p w14:paraId="5B524DDC">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（5）财务管理子系统建设</w:t>
            </w:r>
          </w:p>
          <w:p w14:paraId="5DEBC78E">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根据需求，对财务管理子系统进行系统改造，同时需兼容政策实施前的待遇计算。</w:t>
            </w:r>
          </w:p>
          <w:p w14:paraId="77C212CD">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（6）待遇核心程序系统改造</w:t>
            </w:r>
          </w:p>
          <w:p w14:paraId="3547A4E7">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通过对医保核心待遇支付计算程序的功能改造，对待享受条件、起付标准、年度最支付限额、支付比例进行调整。</w:t>
            </w:r>
          </w:p>
          <w:p w14:paraId="481B9673">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（7）结算报表改造</w:t>
            </w:r>
          </w:p>
          <w:p w14:paraId="34BD9FF3">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根据现有需求，对结算相关报表进行调整。</w:t>
            </w:r>
          </w:p>
          <w:p w14:paraId="23993017">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（8）医保局现金报销模块建设</w:t>
            </w:r>
          </w:p>
          <w:p w14:paraId="4E3D262E">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根据现有需求，在系统中增加现金报销（包括住院及门特医疗费用）模块，实现录入结算单后自动计算生成应核发医疗救助待遇金额、年度封顶线提示等，并自动形成申报台账。</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7710A1B">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25C8066">
            <w:pPr>
              <w:jc w:val="center"/>
              <w:rPr>
                <w:rFonts w:hint="eastAsia" w:ascii="彩虹粗仿宋" w:hAnsi="彩虹粗仿宋" w:eastAsia="彩虹粗仿宋" w:cs="彩虹粗仿宋"/>
                <w:i w:val="0"/>
                <w:iCs w:val="0"/>
                <w:color w:val="000000"/>
                <w:sz w:val="22"/>
                <w:szCs w:val="22"/>
                <w:u w:val="none"/>
              </w:rPr>
            </w:pPr>
          </w:p>
        </w:tc>
      </w:tr>
      <w:tr w14:paraId="381D4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E377C8A">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6FB08568">
            <w:pPr>
              <w:widowControl/>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“粤省事”平台接入医疗保险信息管理系统功能</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64CBF158">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（1）多渠道应用服务开发及平台搭建</w:t>
            </w:r>
          </w:p>
          <w:p w14:paraId="4B5C157F">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包括就医备案申请接口、就医备案申请查询接口、就医备案申请列表查询接口、就医备案申请列表进度详情查询接口、定点医院查询接口、定点药店查询接口、办理指南文案接口、获取地区信息接口、参保缴费状态查询接口、社保个人权益缴费记录查询、个人待遇明细查询接口、个人待遇明细查询生育保险查询待遇核定记录接口、个人待遇明细查询生育保险查询待遇发放信息查询接口、个人待遇明细查询生育保险查询待遇发放信息详情接口、个人待遇明细查询生育保险查询待遇核定记录详情接口、个人待遇明细列表查询、用户参保地查询接口。</w:t>
            </w:r>
          </w:p>
          <w:p w14:paraId="6FD4B827">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（2）医保接口服务功能建设</w:t>
            </w:r>
          </w:p>
          <w:p w14:paraId="78F22797">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包括就医备案申请接口、就医备案申请查询接口、就医备案申请列表查询接口、就医备案申请列表进度详情查询接口、定点医院查询接口、定点药店查询接口、办理指南文案接口、获取地区信息接口、参保缴费状态查询接口、社保个人权益缴费记录查询、个人待遇明细查询接口、个人待遇明细列表查询、用户参保地查询接口。</w:t>
            </w:r>
          </w:p>
          <w:p w14:paraId="015A38A8">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（3）四险系统（生育）接口功能建设</w:t>
            </w:r>
          </w:p>
          <w:p w14:paraId="2AE613AD">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包括个人待遇明细查询生育保险查询待遇核定记录接口、个人待遇明细查询生育保险查询待遇发放信息查询接口、个人待遇明细查询生育保险查询待遇发放信息详情接口、个人待遇明细查询生育保险查询待遇核定记录详情接口。</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684DB1">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53C5CC">
            <w:pPr>
              <w:jc w:val="center"/>
              <w:rPr>
                <w:rFonts w:hint="eastAsia" w:ascii="彩虹粗仿宋" w:hAnsi="彩虹粗仿宋" w:eastAsia="彩虹粗仿宋" w:cs="彩虹粗仿宋"/>
                <w:i w:val="0"/>
                <w:iCs w:val="0"/>
                <w:color w:val="000000"/>
                <w:sz w:val="22"/>
                <w:szCs w:val="22"/>
                <w:u w:val="none"/>
              </w:rPr>
            </w:pPr>
          </w:p>
        </w:tc>
      </w:tr>
      <w:tr w14:paraId="56CFF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FB04D1">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1BE9AF02">
            <w:pPr>
              <w:widowControl/>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汕头市基本医疗保险病种分值调整之医疗保险信息管理系统功能</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784DC273">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（1）病种分值库调整</w:t>
            </w:r>
          </w:p>
          <w:p w14:paraId="6D792E3D">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根据需求对病种分值库进行相应调整，即调整部分病种的分值（包括床日分值）及诊治编码、诊治方式。</w:t>
            </w:r>
          </w:p>
          <w:p w14:paraId="731C6668">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（2）病案首页系统调整</w:t>
            </w:r>
          </w:p>
          <w:p w14:paraId="34E7445F">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建立“日间手术”及“日间化疗”病种目录库，并进行校验，对于不符合规则则进行相应的调整；根据“基层病种库”、“日间手术”及“日间化疗”的相关政策及需求，对预付病种分值的生成算法进行相应的调整。</w:t>
            </w:r>
          </w:p>
          <w:p w14:paraId="47425EAD">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（3）医院接口子系统改造</w:t>
            </w:r>
          </w:p>
          <w:p w14:paraId="6A8611C0">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调整相应的医院接口规范，并配合定点医疗机构进行相应的联调测试；根据需求，增加相应的分值结算表月报表表一、出院结算表表三并升级到医院接口子系统，供定点医疗机构进行查询并汇总提交。</w:t>
            </w:r>
          </w:p>
          <w:p w14:paraId="664FF117">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（4）医院管理子系统改造</w:t>
            </w:r>
          </w:p>
          <w:p w14:paraId="04F3E944">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1）、调整医院管理子系统，在出院登记功能模块中的结算项目编码增加代码“日间手术”、“日间化疗”相关调整功能，在医院管理子系统中实现日间手术”及“日间化疗”的相关政策功能实现。</w:t>
            </w:r>
          </w:p>
          <w:p w14:paraId="17BD2896">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2）、按需求的要求，增加相应的分值结算表月报表表一、出院结算表表三并升级到医院管理子系统，供定点医疗机构进行查询并汇总提交。</w:t>
            </w:r>
          </w:p>
          <w:p w14:paraId="309068DC">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（5）报销管理子系统改造</w:t>
            </w:r>
          </w:p>
          <w:p w14:paraId="267DAFD5">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根据需求，对报销管理子系统进行相应调整，在统计类别”中增加“日间手术”及“日间化疗”，实现“日间手术”及“日间化疗”的相关政策功能。</w:t>
            </w:r>
          </w:p>
          <w:p w14:paraId="538DC36A">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（6）医保结算管理子系统改造</w:t>
            </w:r>
          </w:p>
          <w:p w14:paraId="7EF40CD6">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包括结算预付分值权重系数逻辑修改、住院记账结算报表相应修改、月度结算经办相关功能调整。</w:t>
            </w:r>
          </w:p>
          <w:p w14:paraId="0D2B63C3">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（7）统计分析报表调整功能</w:t>
            </w:r>
          </w:p>
          <w:p w14:paraId="2860E750">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根据业务需求，对相应统计分析报表进行相应的调整，展现“基层病种分值”、“日间手术”及“日间化疗”的相关内容需求。</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81C202">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A66E07">
            <w:pPr>
              <w:jc w:val="center"/>
              <w:rPr>
                <w:rFonts w:hint="eastAsia" w:ascii="彩虹粗仿宋" w:hAnsi="彩虹粗仿宋" w:eastAsia="彩虹粗仿宋" w:cs="彩虹粗仿宋"/>
                <w:i w:val="0"/>
                <w:iCs w:val="0"/>
                <w:color w:val="000000"/>
                <w:sz w:val="22"/>
                <w:szCs w:val="22"/>
                <w:u w:val="none"/>
              </w:rPr>
            </w:pPr>
          </w:p>
        </w:tc>
      </w:tr>
      <w:tr w14:paraId="5CC34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893E68">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3F04B357">
            <w:pPr>
              <w:widowControl/>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汕头市基本医疗保险门诊特定病种管理之医疗保险信息管理系统功能</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231A3180">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（1）门特认证功能模块改造</w:t>
            </w:r>
          </w:p>
          <w:p w14:paraId="2B5FBC32">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包括病种关联数据更新、病种项目与病情编码管理、病种认证医疗机构编码管理、认证功能调整。</w:t>
            </w:r>
          </w:p>
          <w:p w14:paraId="0510B0AC">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（2）门特待遇相关子系统改造</w:t>
            </w:r>
          </w:p>
          <w:p w14:paraId="6723CB8A">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对医保核心待遇支付计算程序功能、医院接口子系统、医院管理子系统、报销管理子系统、药店管理子系统、结算管理子系统、财务管理子系统、统计分析报表功能中与门特待遇相关内容进行改造。</w:t>
            </w:r>
          </w:p>
          <w:p w14:paraId="0D2E6583">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（3）统计分析报表功能</w:t>
            </w:r>
          </w:p>
          <w:p w14:paraId="05860F20">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sz w:val="22"/>
                <w:szCs w:val="22"/>
                <w:u w:val="none"/>
              </w:rPr>
              <w:t>包括大病理赔批次管理、大病接口功能。</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1C10D0">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5344DF">
            <w:pPr>
              <w:jc w:val="center"/>
              <w:rPr>
                <w:rFonts w:hint="eastAsia" w:ascii="彩虹粗仿宋" w:hAnsi="彩虹粗仿宋" w:eastAsia="彩虹粗仿宋" w:cs="彩虹粗仿宋"/>
                <w:i w:val="0"/>
                <w:iCs w:val="0"/>
                <w:color w:val="000000"/>
                <w:sz w:val="22"/>
                <w:szCs w:val="22"/>
                <w:u w:val="none"/>
              </w:rPr>
            </w:pPr>
          </w:p>
        </w:tc>
      </w:tr>
      <w:tr w14:paraId="1BD38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806"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B5F92A">
            <w:pPr>
              <w:jc w:val="center"/>
              <w:rPr>
                <w:rFonts w:hint="eastAsia" w:ascii="彩虹粗仿宋" w:hAnsi="彩虹粗仿宋" w:eastAsia="彩虹粗仿宋" w:cs="彩虹粗仿宋"/>
                <w:i w:val="0"/>
                <w:iCs w:val="0"/>
                <w:color w:val="000000"/>
                <w:sz w:val="22"/>
                <w:szCs w:val="22"/>
                <w:u w:val="none"/>
              </w:rPr>
            </w:pPr>
          </w:p>
        </w:tc>
        <w:tc>
          <w:tcPr>
            <w:tcW w:w="2165" w:type="dxa"/>
            <w:tcBorders>
              <w:top w:val="single" w:color="000000" w:sz="4" w:space="0"/>
              <w:left w:val="single" w:color="000000" w:sz="4" w:space="0"/>
              <w:bottom w:val="single" w:color="000000" w:sz="4" w:space="0"/>
              <w:right w:val="single" w:color="000000" w:sz="4" w:space="0"/>
            </w:tcBorders>
            <w:noWrap w:val="0"/>
            <w:vAlign w:val="center"/>
          </w:tcPr>
          <w:p w14:paraId="7D759087">
            <w:pPr>
              <w:widowControl/>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color w:val="000000"/>
                <w:kern w:val="0"/>
                <w:sz w:val="22"/>
                <w:lang w:bidi="ar"/>
              </w:rPr>
              <w:t>汕头市医疗保险信息管理系统数据采集功能</w:t>
            </w:r>
          </w:p>
        </w:tc>
        <w:tc>
          <w:tcPr>
            <w:tcW w:w="4578" w:type="dxa"/>
            <w:tcBorders>
              <w:top w:val="single" w:color="000000" w:sz="4" w:space="0"/>
              <w:left w:val="single" w:color="000000" w:sz="4" w:space="0"/>
              <w:bottom w:val="single" w:color="000000" w:sz="4" w:space="0"/>
              <w:right w:val="single" w:color="000000" w:sz="4" w:space="0"/>
            </w:tcBorders>
            <w:noWrap w:val="0"/>
            <w:vAlign w:val="center"/>
          </w:tcPr>
          <w:p w14:paraId="0ACD6EC6">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（1）数据清洗</w:t>
            </w:r>
          </w:p>
          <w:p w14:paraId="4DDF24E4">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对基础数据规则、业务数据规则进行梳理。</w:t>
            </w:r>
          </w:p>
          <w:p w14:paraId="26CBEE09">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（2）数据校验</w:t>
            </w:r>
          </w:p>
          <w:p w14:paraId="7D8C10DB">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包括生成CSV文件及上传、地市问题数据处理。</w:t>
            </w:r>
          </w:p>
          <w:p w14:paraId="049FA012">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（3）数据采集上传</w:t>
            </w:r>
          </w:p>
          <w:p w14:paraId="5CD11879">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对基础数据和业务数据进行采集,采集数据严格按照《广东省医疗保障数据规范》进行数据转换。</w:t>
            </w:r>
          </w:p>
          <w:p w14:paraId="1C7D0F99">
            <w:pPr>
              <w:keepNext w:val="0"/>
              <w:keepLines w:val="0"/>
              <w:widowControl/>
              <w:suppressLineNumbers w:val="0"/>
              <w:jc w:val="both"/>
              <w:textAlignment w:val="center"/>
              <w:rPr>
                <w:rFonts w:hint="eastAsia" w:ascii="彩虹粗仿宋" w:hAnsi="彩虹粗仿宋" w:eastAsia="彩虹粗仿宋" w:cs="彩虹粗仿宋"/>
                <w:i w:val="0"/>
                <w:iCs w:val="0"/>
                <w:color w:val="000000"/>
                <w:kern w:val="0"/>
                <w:sz w:val="22"/>
                <w:szCs w:val="22"/>
                <w:u w:val="none"/>
                <w:lang w:val="en-US" w:eastAsia="zh-CN" w:bidi="ar"/>
              </w:rPr>
            </w:pPr>
            <w:r>
              <w:rPr>
                <w:rFonts w:hint="eastAsia" w:ascii="彩虹粗仿宋" w:hAnsi="彩虹粗仿宋" w:eastAsia="彩虹粗仿宋" w:cs="彩虹粗仿宋"/>
                <w:i w:val="0"/>
                <w:iCs w:val="0"/>
                <w:color w:val="000000"/>
                <w:kern w:val="0"/>
                <w:sz w:val="22"/>
                <w:szCs w:val="22"/>
                <w:u w:val="none"/>
                <w:lang w:val="en-US" w:eastAsia="zh-CN" w:bidi="ar"/>
              </w:rPr>
              <w:t>（4）交换库搭建</w:t>
            </w:r>
          </w:p>
          <w:p w14:paraId="5EB1E632">
            <w:pPr>
              <w:keepNext w:val="0"/>
              <w:keepLines w:val="0"/>
              <w:widowControl/>
              <w:suppressLineNumbers w:val="0"/>
              <w:jc w:val="both"/>
              <w:textAlignment w:val="center"/>
              <w:rPr>
                <w:rFonts w:hint="eastAsia" w:ascii="彩虹粗仿宋" w:hAnsi="彩虹粗仿宋" w:eastAsia="彩虹粗仿宋" w:cs="彩虹粗仿宋"/>
                <w:i w:val="0"/>
                <w:iCs w:val="0"/>
                <w:color w:val="000000"/>
                <w:sz w:val="22"/>
                <w:szCs w:val="22"/>
                <w:u w:val="none"/>
              </w:rPr>
            </w:pPr>
            <w:r>
              <w:rPr>
                <w:rFonts w:hint="eastAsia" w:ascii="彩虹粗仿宋" w:hAnsi="彩虹粗仿宋" w:eastAsia="彩虹粗仿宋" w:cs="彩虹粗仿宋"/>
                <w:i w:val="0"/>
                <w:iCs w:val="0"/>
                <w:color w:val="000000"/>
                <w:kern w:val="0"/>
                <w:sz w:val="22"/>
                <w:szCs w:val="22"/>
                <w:u w:val="none"/>
                <w:lang w:val="en-US" w:eastAsia="zh-CN" w:bidi="ar"/>
              </w:rPr>
              <w:t>搭建一台交换库，通过OGG将生产库存数据同步至此交换库，在交换库上执行相关转化脚本，存储相关转换后的目标数据，以实现转换后的全量数据及增量数据的上传。跟据评估，按照现有的医保数据资源及相应扩展需求，预估需要2.5到3T的存储资源。</w:t>
            </w:r>
          </w:p>
        </w:tc>
        <w:tc>
          <w:tcPr>
            <w:tcW w:w="11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6A6210">
            <w:pPr>
              <w:jc w:val="center"/>
              <w:rPr>
                <w:rFonts w:hint="eastAsia" w:ascii="彩虹粗仿宋" w:hAnsi="彩虹粗仿宋" w:eastAsia="彩虹粗仿宋" w:cs="彩虹粗仿宋"/>
                <w:i w:val="0"/>
                <w:iCs w:val="0"/>
                <w:color w:val="000000"/>
                <w:sz w:val="22"/>
                <w:szCs w:val="22"/>
                <w:u w:val="none"/>
              </w:rPr>
            </w:pPr>
          </w:p>
        </w:tc>
        <w:tc>
          <w:tcPr>
            <w:tcW w:w="951"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748037">
            <w:pPr>
              <w:jc w:val="center"/>
              <w:rPr>
                <w:rFonts w:hint="eastAsia" w:ascii="彩虹粗仿宋" w:hAnsi="彩虹粗仿宋" w:eastAsia="彩虹粗仿宋" w:cs="彩虹粗仿宋"/>
                <w:i w:val="0"/>
                <w:iCs w:val="0"/>
                <w:color w:val="000000"/>
                <w:sz w:val="22"/>
                <w:szCs w:val="22"/>
                <w:u w:val="none"/>
              </w:rPr>
            </w:pPr>
          </w:p>
        </w:tc>
      </w:tr>
    </w:tbl>
    <w:p w14:paraId="43D4B3EA">
      <w:pPr>
        <w:spacing w:line="560" w:lineRule="exact"/>
        <w:ind w:firstLine="643" w:firstLineChars="200"/>
        <w:rPr>
          <w:rFonts w:hint="eastAsia" w:ascii="彩虹粗仿宋" w:hAnsi="宋体" w:eastAsia="彩虹粗仿宋"/>
          <w:b/>
          <w:bCs/>
          <w:sz w:val="32"/>
          <w:szCs w:val="32"/>
          <w:lang w:eastAsia="zh-CN"/>
        </w:rPr>
      </w:pPr>
      <w:r>
        <w:rPr>
          <w:rFonts w:hint="eastAsia" w:ascii="彩虹粗仿宋" w:hAnsi="宋体" w:eastAsia="彩虹粗仿宋"/>
          <w:b/>
          <w:bCs/>
          <w:sz w:val="32"/>
          <w:szCs w:val="32"/>
          <w:lang w:val="en-US" w:eastAsia="zh-CN"/>
        </w:rPr>
        <w:t>4.</w:t>
      </w:r>
      <w:r>
        <w:rPr>
          <w:rFonts w:hint="eastAsia" w:ascii="彩虹粗仿宋" w:hAnsi="宋体" w:eastAsia="彩虹粗仿宋"/>
          <w:b/>
          <w:bCs/>
          <w:sz w:val="32"/>
          <w:szCs w:val="32"/>
          <w:lang w:eastAsia="zh-CN"/>
        </w:rPr>
        <w:t>项目四</w:t>
      </w:r>
      <w:r>
        <w:rPr>
          <w:rFonts w:hint="eastAsia" w:ascii="彩虹粗仿宋" w:hAnsi="宋体" w:eastAsia="彩虹粗仿宋"/>
          <w:b/>
          <w:bCs/>
          <w:sz w:val="32"/>
          <w:szCs w:val="32"/>
          <w:lang w:val="en-US" w:eastAsia="zh-CN"/>
        </w:rPr>
        <w:t>：</w:t>
      </w:r>
      <w:r>
        <w:rPr>
          <w:rFonts w:hint="eastAsia" w:ascii="彩虹粗仿宋" w:hAnsi="宋体" w:eastAsia="彩虹粗仿宋"/>
          <w:b/>
          <w:bCs/>
          <w:sz w:val="32"/>
          <w:szCs w:val="32"/>
          <w:lang w:eastAsia="zh-CN"/>
        </w:rPr>
        <w:t>汕头市社会保险基金集中管控系统新增功能项目</w:t>
      </w:r>
    </w:p>
    <w:p w14:paraId="047BEB0F">
      <w:pPr>
        <w:spacing w:line="360" w:lineRule="auto"/>
        <w:ind w:firstLine="640" w:firstLineChars="200"/>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本项目仅包括软件。</w:t>
      </w:r>
    </w:p>
    <w:tbl>
      <w:tblPr>
        <w:tblStyle w:val="4"/>
        <w:tblW w:w="8520" w:type="dxa"/>
        <w:jc w:val="center"/>
        <w:tblLayout w:type="autofit"/>
        <w:tblCellMar>
          <w:top w:w="0" w:type="dxa"/>
          <w:left w:w="108" w:type="dxa"/>
          <w:bottom w:w="0" w:type="dxa"/>
          <w:right w:w="108" w:type="dxa"/>
        </w:tblCellMar>
      </w:tblPr>
      <w:tblGrid>
        <w:gridCol w:w="798"/>
        <w:gridCol w:w="1862"/>
        <w:gridCol w:w="4323"/>
        <w:gridCol w:w="804"/>
        <w:gridCol w:w="733"/>
      </w:tblGrid>
      <w:tr w14:paraId="04C57664">
        <w:tblPrEx>
          <w:tblCellMar>
            <w:top w:w="0" w:type="dxa"/>
            <w:left w:w="108" w:type="dxa"/>
            <w:bottom w:w="0" w:type="dxa"/>
            <w:right w:w="108" w:type="dxa"/>
          </w:tblCellMar>
        </w:tblPrEx>
        <w:trPr>
          <w:trHeight w:val="300" w:hRule="atLeast"/>
          <w:jc w:val="center"/>
        </w:trPr>
        <w:tc>
          <w:tcPr>
            <w:tcW w:w="798" w:type="dxa"/>
            <w:tcBorders>
              <w:top w:val="single" w:color="000000" w:sz="4" w:space="0"/>
              <w:left w:val="single" w:color="000000" w:sz="4" w:space="0"/>
              <w:bottom w:val="single" w:color="000000" w:sz="4" w:space="0"/>
              <w:right w:val="single" w:color="000000" w:sz="4" w:space="0"/>
            </w:tcBorders>
            <w:noWrap w:val="0"/>
            <w:vAlign w:val="center"/>
          </w:tcPr>
          <w:p w14:paraId="745AA9C4">
            <w:pPr>
              <w:widowControl/>
              <w:jc w:val="center"/>
              <w:textAlignment w:val="center"/>
              <w:rPr>
                <w:rFonts w:hint="eastAsia" w:ascii="彩虹粗仿宋" w:hAnsi="彩虹粗仿宋" w:eastAsia="彩虹粗仿宋" w:cs="彩虹粗仿宋"/>
                <w:color w:val="000000"/>
                <w:sz w:val="22"/>
              </w:rPr>
            </w:pPr>
            <w:r>
              <w:rPr>
                <w:rFonts w:hint="eastAsia" w:ascii="彩虹粗仿宋" w:hAnsi="彩虹粗仿宋" w:eastAsia="彩虹粗仿宋" w:cs="彩虹粗仿宋"/>
                <w:color w:val="000000"/>
                <w:kern w:val="0"/>
                <w:sz w:val="22"/>
                <w:lang w:bidi="ar"/>
              </w:rPr>
              <w:t>软件名称</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73E30E7B">
            <w:pPr>
              <w:widowControl/>
              <w:jc w:val="center"/>
              <w:textAlignment w:val="center"/>
              <w:rPr>
                <w:rFonts w:hint="eastAsia" w:ascii="彩虹粗仿宋" w:hAnsi="彩虹粗仿宋" w:eastAsia="彩虹粗仿宋" w:cs="彩虹粗仿宋"/>
                <w:color w:val="000000"/>
                <w:sz w:val="22"/>
                <w:lang w:eastAsia="zh-CN"/>
              </w:rPr>
            </w:pPr>
            <w:r>
              <w:rPr>
                <w:rFonts w:hint="eastAsia" w:ascii="彩虹粗仿宋" w:hAnsi="彩虹粗仿宋" w:eastAsia="彩虹粗仿宋" w:cs="彩虹粗仿宋"/>
                <w:color w:val="000000"/>
                <w:kern w:val="0"/>
                <w:sz w:val="22"/>
                <w:lang w:bidi="ar"/>
              </w:rPr>
              <w:t>功能</w:t>
            </w:r>
            <w:r>
              <w:rPr>
                <w:rFonts w:hint="eastAsia" w:ascii="彩虹粗仿宋" w:hAnsi="彩虹粗仿宋" w:eastAsia="彩虹粗仿宋" w:cs="彩虹粗仿宋"/>
                <w:color w:val="000000"/>
                <w:kern w:val="0"/>
                <w:sz w:val="22"/>
                <w:lang w:eastAsia="zh-CN" w:bidi="ar"/>
              </w:rPr>
              <w:t>板块</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280E3F56">
            <w:pPr>
              <w:widowControl/>
              <w:jc w:val="center"/>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功能点</w:t>
            </w:r>
          </w:p>
        </w:tc>
        <w:tc>
          <w:tcPr>
            <w:tcW w:w="804" w:type="dxa"/>
            <w:tcBorders>
              <w:top w:val="single" w:color="000000" w:sz="4" w:space="0"/>
              <w:left w:val="single" w:color="000000" w:sz="4" w:space="0"/>
              <w:bottom w:val="single" w:color="000000" w:sz="4" w:space="0"/>
              <w:right w:val="single" w:color="000000" w:sz="4" w:space="0"/>
            </w:tcBorders>
            <w:noWrap w:val="0"/>
            <w:vAlign w:val="center"/>
          </w:tcPr>
          <w:p w14:paraId="708530C8">
            <w:pPr>
              <w:widowControl/>
              <w:jc w:val="center"/>
              <w:textAlignment w:val="center"/>
              <w:rPr>
                <w:rFonts w:hint="eastAsia" w:ascii="彩虹粗仿宋" w:hAnsi="彩虹粗仿宋" w:eastAsia="彩虹粗仿宋" w:cs="彩虹粗仿宋"/>
                <w:color w:val="000000"/>
                <w:sz w:val="22"/>
              </w:rPr>
            </w:pPr>
            <w:r>
              <w:rPr>
                <w:rFonts w:hint="eastAsia" w:ascii="彩虹粗仿宋" w:hAnsi="彩虹粗仿宋" w:eastAsia="彩虹粗仿宋" w:cs="彩虹粗仿宋"/>
                <w:color w:val="000000"/>
                <w:kern w:val="0"/>
                <w:sz w:val="22"/>
                <w:lang w:bidi="ar"/>
              </w:rPr>
              <w:t>单位</w:t>
            </w:r>
          </w:p>
        </w:tc>
        <w:tc>
          <w:tcPr>
            <w:tcW w:w="733" w:type="dxa"/>
            <w:tcBorders>
              <w:top w:val="single" w:color="000000" w:sz="4" w:space="0"/>
              <w:left w:val="single" w:color="000000" w:sz="4" w:space="0"/>
              <w:bottom w:val="single" w:color="000000" w:sz="4" w:space="0"/>
              <w:right w:val="single" w:color="000000" w:sz="4" w:space="0"/>
            </w:tcBorders>
            <w:noWrap w:val="0"/>
            <w:vAlign w:val="center"/>
          </w:tcPr>
          <w:p w14:paraId="28CC8026">
            <w:pPr>
              <w:widowControl/>
              <w:jc w:val="center"/>
              <w:textAlignment w:val="center"/>
              <w:rPr>
                <w:rFonts w:hint="eastAsia" w:ascii="彩虹粗仿宋" w:hAnsi="彩虹粗仿宋" w:eastAsia="彩虹粗仿宋" w:cs="彩虹粗仿宋"/>
                <w:color w:val="000000"/>
                <w:sz w:val="22"/>
              </w:rPr>
            </w:pPr>
            <w:r>
              <w:rPr>
                <w:rFonts w:hint="eastAsia" w:ascii="彩虹粗仿宋" w:hAnsi="彩虹粗仿宋" w:eastAsia="彩虹粗仿宋" w:cs="彩虹粗仿宋"/>
                <w:color w:val="000000"/>
                <w:kern w:val="0"/>
                <w:sz w:val="22"/>
                <w:lang w:bidi="ar"/>
              </w:rPr>
              <w:t>数量</w:t>
            </w:r>
          </w:p>
        </w:tc>
      </w:tr>
      <w:tr w14:paraId="1090663F">
        <w:tblPrEx>
          <w:tblCellMar>
            <w:top w:w="0" w:type="dxa"/>
            <w:left w:w="108" w:type="dxa"/>
            <w:bottom w:w="0" w:type="dxa"/>
            <w:right w:w="108" w:type="dxa"/>
          </w:tblCellMar>
        </w:tblPrEx>
        <w:trPr>
          <w:trHeight w:val="300" w:hRule="atLeast"/>
          <w:jc w:val="center"/>
        </w:trPr>
        <w:tc>
          <w:tcPr>
            <w:tcW w:w="798" w:type="dxa"/>
            <w:vMerge w:val="restart"/>
            <w:tcBorders>
              <w:top w:val="single" w:color="000000" w:sz="4" w:space="0"/>
              <w:left w:val="single" w:color="000000" w:sz="4" w:space="0"/>
              <w:bottom w:val="single" w:color="000000" w:sz="4" w:space="0"/>
              <w:right w:val="single" w:color="000000" w:sz="4" w:space="0"/>
            </w:tcBorders>
            <w:noWrap w:val="0"/>
            <w:vAlign w:val="center"/>
          </w:tcPr>
          <w:p w14:paraId="27A184AC">
            <w:pPr>
              <w:widowControl/>
              <w:jc w:val="center"/>
              <w:textAlignment w:val="center"/>
              <w:rPr>
                <w:rFonts w:hint="eastAsia" w:ascii="彩虹粗仿宋" w:hAnsi="彩虹粗仿宋" w:eastAsia="彩虹粗仿宋" w:cs="彩虹粗仿宋"/>
                <w:color w:val="000000"/>
                <w:sz w:val="22"/>
              </w:rPr>
            </w:pPr>
            <w:r>
              <w:rPr>
                <w:rFonts w:hint="eastAsia" w:ascii="彩虹粗仿宋" w:hAnsi="彩虹粗仿宋" w:eastAsia="彩虹粗仿宋" w:cs="彩虹粗仿宋"/>
                <w:color w:val="000000"/>
                <w:kern w:val="0"/>
                <w:sz w:val="22"/>
                <w:lang w:bidi="ar"/>
              </w:rPr>
              <w:t>汕头市社会保险基金集中管控系统新增功能软件</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23534FC8">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城乡养老周转金拨付功能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01086124">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制作界面，用于录入（或导入）、审核、打印和导出城乡养老周转金拨付明细数据，审核后的数据会直接同步到基金交易管理模块的待接收数据中。</w:t>
            </w:r>
          </w:p>
        </w:tc>
        <w:tc>
          <w:tcPr>
            <w:tcW w:w="804" w:type="dxa"/>
            <w:vMerge w:val="restart"/>
            <w:tcBorders>
              <w:top w:val="single" w:color="000000" w:sz="4" w:space="0"/>
              <w:left w:val="single" w:color="000000" w:sz="4" w:space="0"/>
              <w:bottom w:val="single" w:color="000000" w:sz="4" w:space="0"/>
              <w:right w:val="single" w:color="000000" w:sz="4" w:space="0"/>
            </w:tcBorders>
            <w:noWrap w:val="0"/>
            <w:vAlign w:val="center"/>
          </w:tcPr>
          <w:p w14:paraId="2931AAA1">
            <w:pPr>
              <w:widowControl/>
              <w:jc w:val="center"/>
              <w:textAlignment w:val="center"/>
              <w:rPr>
                <w:rFonts w:hint="eastAsia" w:ascii="彩虹粗仿宋" w:hAnsi="彩虹粗仿宋" w:eastAsia="彩虹粗仿宋" w:cs="彩虹粗仿宋"/>
                <w:color w:val="000000"/>
                <w:sz w:val="22"/>
              </w:rPr>
            </w:pPr>
            <w:r>
              <w:rPr>
                <w:rFonts w:hint="eastAsia" w:ascii="彩虹粗仿宋" w:hAnsi="彩虹粗仿宋" w:eastAsia="彩虹粗仿宋" w:cs="彩虹粗仿宋"/>
                <w:color w:val="000000"/>
                <w:kern w:val="0"/>
                <w:sz w:val="22"/>
                <w:lang w:bidi="ar"/>
              </w:rPr>
              <w:t>套</w:t>
            </w:r>
          </w:p>
        </w:tc>
        <w:tc>
          <w:tcPr>
            <w:tcW w:w="733" w:type="dxa"/>
            <w:vMerge w:val="restart"/>
            <w:tcBorders>
              <w:top w:val="single" w:color="000000" w:sz="4" w:space="0"/>
              <w:left w:val="single" w:color="000000" w:sz="4" w:space="0"/>
              <w:bottom w:val="single" w:color="000000" w:sz="4" w:space="0"/>
              <w:right w:val="single" w:color="000000" w:sz="4" w:space="0"/>
            </w:tcBorders>
            <w:noWrap w:val="0"/>
            <w:vAlign w:val="center"/>
          </w:tcPr>
          <w:p w14:paraId="05E51CB6">
            <w:pPr>
              <w:widowControl/>
              <w:jc w:val="center"/>
              <w:textAlignment w:val="center"/>
              <w:rPr>
                <w:rFonts w:hint="eastAsia" w:ascii="彩虹粗仿宋" w:hAnsi="彩虹粗仿宋" w:eastAsia="彩虹粗仿宋" w:cs="彩虹粗仿宋"/>
                <w:color w:val="000000"/>
                <w:sz w:val="22"/>
              </w:rPr>
            </w:pPr>
            <w:r>
              <w:rPr>
                <w:rFonts w:hint="eastAsia" w:ascii="彩虹粗仿宋" w:hAnsi="彩虹粗仿宋" w:eastAsia="彩虹粗仿宋" w:cs="彩虹粗仿宋"/>
                <w:color w:val="000000"/>
                <w:kern w:val="0"/>
                <w:sz w:val="22"/>
                <w:lang w:bidi="ar"/>
              </w:rPr>
              <w:t>1</w:t>
            </w:r>
          </w:p>
        </w:tc>
      </w:tr>
      <w:tr w14:paraId="4DEBED31">
        <w:tblPrEx>
          <w:tblCellMar>
            <w:top w:w="0" w:type="dxa"/>
            <w:left w:w="108" w:type="dxa"/>
            <w:bottom w:w="0" w:type="dxa"/>
            <w:right w:w="108" w:type="dxa"/>
          </w:tblCellMar>
        </w:tblPrEx>
        <w:trPr>
          <w:trHeight w:val="300"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F552D2">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4CD602C0">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城乡医保儿童重疾费用待遇拨付功能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2B285369">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制作界面，用于录入（或导入）、审核、打印和导出城乡医保儿童重疾费用待遇拨付现金台账数据，审核后的数据会直接同步到基金交易管理模块的待接收数据中。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AFC31D">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505C61">
            <w:pPr>
              <w:jc w:val="center"/>
              <w:rPr>
                <w:rFonts w:hint="eastAsia" w:ascii="彩虹粗仿宋" w:hAnsi="彩虹粗仿宋" w:eastAsia="彩虹粗仿宋" w:cs="彩虹粗仿宋"/>
                <w:color w:val="000000"/>
                <w:sz w:val="22"/>
              </w:rPr>
            </w:pPr>
          </w:p>
        </w:tc>
      </w:tr>
      <w:tr w14:paraId="14F12D91">
        <w:tblPrEx>
          <w:tblCellMar>
            <w:top w:w="0" w:type="dxa"/>
            <w:left w:w="108" w:type="dxa"/>
            <w:bottom w:w="0" w:type="dxa"/>
            <w:right w:w="108" w:type="dxa"/>
          </w:tblCellMar>
        </w:tblPrEx>
        <w:trPr>
          <w:trHeight w:val="300"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2F295D3">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5DE92A21">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城乡医保多缴错缴退款拨付功能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789B0071">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制作界面，用于录入（或导入）、审核、打印和导出城乡居民医疗保险多缴错缴退款的数据，审核后的数据会直接同步到基金交易管理模块的待接收数据中。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7B781A">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145E63C">
            <w:pPr>
              <w:jc w:val="center"/>
              <w:rPr>
                <w:rFonts w:hint="eastAsia" w:ascii="彩虹粗仿宋" w:hAnsi="彩虹粗仿宋" w:eastAsia="彩虹粗仿宋" w:cs="彩虹粗仿宋"/>
                <w:color w:val="000000"/>
                <w:sz w:val="22"/>
              </w:rPr>
            </w:pPr>
          </w:p>
        </w:tc>
      </w:tr>
      <w:tr w14:paraId="16A3AF95">
        <w:tblPrEx>
          <w:tblCellMar>
            <w:top w:w="0" w:type="dxa"/>
            <w:left w:w="108" w:type="dxa"/>
            <w:bottom w:w="0" w:type="dxa"/>
            <w:right w:w="108" w:type="dxa"/>
          </w:tblCellMar>
        </w:tblPrEx>
        <w:trPr>
          <w:trHeight w:val="300"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0929EE">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3C5FE9D3">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离休干部医疗费（对私）拨付功能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3D5DDEFD">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制作界面，用于录入（或导入）、审核、打印和导出离休干部医药费划款表（对私）的数据，审核后的数据会直接同步到基金交易管理模块的待接收数据中。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05DD9A">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A732F9">
            <w:pPr>
              <w:jc w:val="center"/>
              <w:rPr>
                <w:rFonts w:hint="eastAsia" w:ascii="彩虹粗仿宋" w:hAnsi="彩虹粗仿宋" w:eastAsia="彩虹粗仿宋" w:cs="彩虹粗仿宋"/>
                <w:color w:val="000000"/>
                <w:sz w:val="22"/>
              </w:rPr>
            </w:pPr>
          </w:p>
        </w:tc>
      </w:tr>
      <w:tr w14:paraId="68864C01">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5EB83F">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4A1F70AA">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离休干部医疗费（对公）拨付功能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09122F51">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制作界面，用于录入（或导入）、审核、打印和导出定点医院离休干部住院医疗费拨付明细数据，审核后的数据会直接同步到基金交易管理模块的待接收数据中。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4C2357">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E27B118">
            <w:pPr>
              <w:jc w:val="center"/>
              <w:rPr>
                <w:rFonts w:hint="eastAsia" w:ascii="彩虹粗仿宋" w:hAnsi="彩虹粗仿宋" w:eastAsia="彩虹粗仿宋" w:cs="彩虹粗仿宋"/>
                <w:color w:val="000000"/>
                <w:sz w:val="22"/>
              </w:rPr>
            </w:pPr>
          </w:p>
        </w:tc>
      </w:tr>
      <w:tr w14:paraId="5D636731">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7C6329">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14448ABE">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职工医保大病保险保费支付拨付功能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1B300661">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制作界面，用于录入（或导入）、审核、打印和导出职工医保大病保险保费支付情况表的数据，审核后的数据会直接同步到基金交易管理模块的待接收数据中。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D04DAF">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FB3D23">
            <w:pPr>
              <w:jc w:val="center"/>
              <w:rPr>
                <w:rFonts w:hint="eastAsia" w:ascii="彩虹粗仿宋" w:hAnsi="彩虹粗仿宋" w:eastAsia="彩虹粗仿宋" w:cs="彩虹粗仿宋"/>
                <w:color w:val="000000"/>
                <w:sz w:val="22"/>
              </w:rPr>
            </w:pPr>
          </w:p>
        </w:tc>
      </w:tr>
      <w:tr w14:paraId="29F16884">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940023">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46B4EEFD">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城乡医保大病保险保费支付拨付功能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6757A365">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制作界面，用于录入（或导入）、审核、打印和导出城乡医保大病保险周转金的数据，审核后的数据会直接同步到基金交易管理模块的待接收数据中。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41E28A">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EEF9CC">
            <w:pPr>
              <w:jc w:val="center"/>
              <w:rPr>
                <w:rFonts w:hint="eastAsia" w:ascii="彩虹粗仿宋" w:hAnsi="彩虹粗仿宋" w:eastAsia="彩虹粗仿宋" w:cs="彩虹粗仿宋"/>
                <w:color w:val="000000"/>
                <w:sz w:val="22"/>
              </w:rPr>
            </w:pPr>
          </w:p>
        </w:tc>
      </w:tr>
      <w:tr w14:paraId="7F0E42AC">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D76497">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577E5FE8">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城乡医保大病保险周转金拨付功能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500FE0FE">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制作界面，用于录入（或导入）、审核、打印和导出职工医保大病保险周转金的数据，审核后的数据会直接同步到基金交易管理模块的待接收数据中。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6EE06C">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740A97">
            <w:pPr>
              <w:jc w:val="center"/>
              <w:rPr>
                <w:rFonts w:hint="eastAsia" w:ascii="彩虹粗仿宋" w:hAnsi="彩虹粗仿宋" w:eastAsia="彩虹粗仿宋" w:cs="彩虹粗仿宋"/>
                <w:color w:val="000000"/>
                <w:sz w:val="22"/>
              </w:rPr>
            </w:pPr>
          </w:p>
        </w:tc>
      </w:tr>
      <w:tr w14:paraId="305678E0">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04AFA3">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605B4EA8">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职工医保大病保险周转金拨付功能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25A78BC1">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制作界面，用于录入（或导入）、审核、打印和导出职工医保多缴错缴退款拨付的数据（包含省内和跨省），审核后的数据会直接同步到基金交易管理模块的待接收数据中。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F02257">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581C7B">
            <w:pPr>
              <w:jc w:val="center"/>
              <w:rPr>
                <w:rFonts w:hint="eastAsia" w:ascii="彩虹粗仿宋" w:hAnsi="彩虹粗仿宋" w:eastAsia="彩虹粗仿宋" w:cs="彩虹粗仿宋"/>
                <w:color w:val="000000"/>
                <w:sz w:val="22"/>
              </w:rPr>
            </w:pPr>
          </w:p>
        </w:tc>
      </w:tr>
      <w:tr w14:paraId="37650B04">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3EB630">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64813123">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职工医保多缴错缴退款拨付功能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079D8123">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制作界面，用于录入（或导入）、审核、打印和导出职工医保异地就医结算预付款的数据（包含省内和跨省），审核后的数据会直接同步到基金交易管理模块的待接收数据中。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0AD7DA">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3A3FAECD">
            <w:pPr>
              <w:jc w:val="center"/>
              <w:rPr>
                <w:rFonts w:hint="eastAsia" w:ascii="彩虹粗仿宋" w:hAnsi="彩虹粗仿宋" w:eastAsia="彩虹粗仿宋" w:cs="彩虹粗仿宋"/>
                <w:color w:val="000000"/>
                <w:sz w:val="22"/>
              </w:rPr>
            </w:pPr>
          </w:p>
        </w:tc>
      </w:tr>
      <w:tr w14:paraId="0E9D36D8">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BC853E">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312F1CA3">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职工医保异地就医结算预付款拨付功能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424AEF2F">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制作界面，用于录入（或导入）、审核、打印和导出职工医保异地就医结算预付款的数据（包含省内和跨省），审核后的数据会直接同步到基金交易管理模块的待接收数据中。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EACA56">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9E5A5F">
            <w:pPr>
              <w:jc w:val="center"/>
              <w:rPr>
                <w:rFonts w:hint="eastAsia" w:ascii="彩虹粗仿宋" w:hAnsi="彩虹粗仿宋" w:eastAsia="彩虹粗仿宋" w:cs="彩虹粗仿宋"/>
                <w:color w:val="000000"/>
                <w:sz w:val="22"/>
              </w:rPr>
            </w:pPr>
          </w:p>
        </w:tc>
      </w:tr>
      <w:tr w14:paraId="35AE5A93">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25D4EB">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167A1A1D">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城乡医保异地就医结算预付款拨付功能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112D7262">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制作界面，用于录入（或导入）、审核、打印和导出城乡医保异地就医结算预付款的数据（包含省内和跨省），审核后的数据会直接同步到基金交易管理模块的待接收数据中。</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E2ABF9">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C56A4F">
            <w:pPr>
              <w:jc w:val="center"/>
              <w:rPr>
                <w:rFonts w:hint="eastAsia" w:ascii="彩虹粗仿宋" w:hAnsi="彩虹粗仿宋" w:eastAsia="彩虹粗仿宋" w:cs="彩虹粗仿宋"/>
                <w:color w:val="000000"/>
                <w:sz w:val="22"/>
              </w:rPr>
            </w:pPr>
          </w:p>
        </w:tc>
      </w:tr>
      <w:tr w14:paraId="37F83643">
        <w:tblPrEx>
          <w:tblCellMar>
            <w:top w:w="0" w:type="dxa"/>
            <w:left w:w="108" w:type="dxa"/>
            <w:bottom w:w="0" w:type="dxa"/>
            <w:right w:w="108" w:type="dxa"/>
          </w:tblCellMar>
        </w:tblPrEx>
        <w:trPr>
          <w:trHeight w:val="30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079335">
            <w:pPr>
              <w:jc w:val="center"/>
              <w:rPr>
                <w:rFonts w:hint="eastAsia" w:ascii="彩虹粗仿宋" w:hAnsi="彩虹粗仿宋" w:eastAsia="彩虹粗仿宋" w:cs="彩虹粗仿宋"/>
                <w:color w:val="000000"/>
                <w:sz w:val="22"/>
              </w:rPr>
            </w:pP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74CECB2A">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T+1数据导入功能</w:t>
            </w:r>
          </w:p>
        </w:tc>
        <w:tc>
          <w:tcPr>
            <w:tcW w:w="4323" w:type="dxa"/>
            <w:tcBorders>
              <w:top w:val="single" w:color="000000" w:sz="4" w:space="0"/>
              <w:left w:val="single" w:color="000000" w:sz="4" w:space="0"/>
              <w:bottom w:val="single" w:color="000000" w:sz="4" w:space="0"/>
              <w:right w:val="single" w:color="000000" w:sz="4" w:space="0"/>
            </w:tcBorders>
            <w:noWrap w:val="0"/>
            <w:vAlign w:val="center"/>
          </w:tcPr>
          <w:p w14:paraId="3E3EB1CA">
            <w:pPr>
              <w:widowControl/>
              <w:textAlignment w:val="center"/>
              <w:rPr>
                <w:rFonts w:hint="eastAsia" w:ascii="彩虹粗仿宋" w:hAnsi="彩虹粗仿宋" w:eastAsia="彩虹粗仿宋" w:cs="彩虹粗仿宋"/>
                <w:color w:val="000000"/>
                <w:kern w:val="0"/>
                <w:sz w:val="22"/>
                <w:lang w:bidi="ar"/>
              </w:rPr>
            </w:pPr>
            <w:r>
              <w:rPr>
                <w:rFonts w:hint="eastAsia" w:ascii="彩虹粗仿宋" w:hAnsi="彩虹粗仿宋" w:eastAsia="彩虹粗仿宋" w:cs="彩虹粗仿宋"/>
                <w:color w:val="000000"/>
                <w:kern w:val="0"/>
                <w:sz w:val="22"/>
                <w:lang w:bidi="ar"/>
              </w:rPr>
              <w:t>将省大集中系统的T+1平台下发的excel中的数据转换为社保基金集中管控系统凭证数据，包括科目转换、辅助账转换、账套转换等，转换后将数据插入到社保基金集中管控系统中。为方便检查和校正，插入后的凭证为未审核状态。</w:t>
            </w:r>
          </w:p>
        </w:tc>
        <w:tc>
          <w:tcPr>
            <w:tcW w:w="80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703EA6">
            <w:pPr>
              <w:jc w:val="center"/>
              <w:rPr>
                <w:rFonts w:hint="eastAsia" w:ascii="彩虹粗仿宋" w:hAnsi="彩虹粗仿宋" w:eastAsia="彩虹粗仿宋" w:cs="彩虹粗仿宋"/>
                <w:color w:val="000000"/>
                <w:sz w:val="22"/>
              </w:rPr>
            </w:pPr>
          </w:p>
        </w:tc>
        <w:tc>
          <w:tcPr>
            <w:tcW w:w="7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ED7C03">
            <w:pPr>
              <w:jc w:val="center"/>
              <w:rPr>
                <w:rFonts w:hint="eastAsia" w:ascii="彩虹粗仿宋" w:hAnsi="彩虹粗仿宋" w:eastAsia="彩虹粗仿宋" w:cs="彩虹粗仿宋"/>
                <w:color w:val="000000"/>
                <w:sz w:val="22"/>
              </w:rPr>
            </w:pPr>
          </w:p>
        </w:tc>
      </w:tr>
    </w:tbl>
    <w:p w14:paraId="63ABD1C7">
      <w:pPr>
        <w:numPr>
          <w:ilvl w:val="0"/>
          <w:numId w:val="0"/>
        </w:numPr>
        <w:spacing w:line="560" w:lineRule="exact"/>
        <w:ind w:firstLine="643" w:firstLineChars="200"/>
        <w:rPr>
          <w:rFonts w:hint="eastAsia" w:ascii="彩虹粗仿宋" w:hAnsi="宋体" w:eastAsia="彩虹粗仿宋" w:cs="Times New Roman"/>
          <w:snapToGrid w:val="0"/>
          <w:kern w:val="0"/>
          <w:sz w:val="28"/>
          <w:szCs w:val="28"/>
          <w:lang w:val="en-US" w:eastAsia="zh-CN"/>
        </w:rPr>
      </w:pPr>
      <w:r>
        <w:rPr>
          <w:rFonts w:hint="eastAsia" w:ascii="彩虹粗仿宋" w:hAnsi="宋体" w:eastAsia="彩虹粗仿宋"/>
          <w:b/>
          <w:bCs/>
          <w:sz w:val="32"/>
          <w:szCs w:val="32"/>
          <w:lang w:eastAsia="zh-CN"/>
        </w:rPr>
        <w:t>三、</w:t>
      </w:r>
      <w:r>
        <w:rPr>
          <w:rFonts w:hint="eastAsia" w:ascii="彩虹粗仿宋" w:hAnsi="宋体" w:eastAsia="彩虹粗仿宋"/>
          <w:b/>
          <w:bCs/>
          <w:sz w:val="32"/>
          <w:szCs w:val="32"/>
        </w:rPr>
        <w:t>维护工作的范围、内容、期限，内容包括：故障诊断、分析、排除及维修服务、远程访问诊断服务、重要客户档案管理服务、系统例行巡检和预防性维护、</w:t>
      </w:r>
      <w:r>
        <w:rPr>
          <w:rFonts w:hint="eastAsia" w:ascii="彩虹粗仿宋" w:hAnsi="宋体" w:eastAsia="彩虹粗仿宋" w:cs="Sim Sun"/>
          <w:b/>
          <w:bCs/>
          <w:sz w:val="32"/>
          <w:szCs w:val="32"/>
        </w:rPr>
        <w:t>现场</w:t>
      </w:r>
      <w:r>
        <w:rPr>
          <w:rFonts w:hint="eastAsia" w:ascii="彩虹粗仿宋" w:hAnsi="宋体" w:eastAsia="彩虹粗仿宋"/>
          <w:b/>
          <w:bCs/>
          <w:sz w:val="32"/>
          <w:szCs w:val="32"/>
        </w:rPr>
        <w:t>健康检查服务、备件保障服务、紧急故障和应急处理服务、系统应急切换方案服务、</w:t>
      </w:r>
      <w:r>
        <w:rPr>
          <w:rFonts w:hint="eastAsia" w:ascii="彩虹粗仿宋" w:hAnsi="宋体" w:eastAsia="彩虹粗仿宋"/>
          <w:b/>
          <w:bCs/>
          <w:color w:val="000000"/>
          <w:sz w:val="32"/>
          <w:szCs w:val="32"/>
        </w:rPr>
        <w:t>生产系统恢复支持服务、</w:t>
      </w:r>
      <w:r>
        <w:rPr>
          <w:rFonts w:hint="eastAsia" w:ascii="彩虹粗仿宋" w:hAnsi="宋体" w:eastAsia="彩虹粗仿宋"/>
          <w:b/>
          <w:bCs/>
          <w:sz w:val="32"/>
          <w:szCs w:val="32"/>
        </w:rPr>
        <w:t>技术交流服务、</w:t>
      </w:r>
      <w:r>
        <w:rPr>
          <w:rFonts w:hint="eastAsia" w:ascii="彩虹粗仿宋" w:hAnsi="宋体" w:eastAsia="彩虹粗仿宋" w:cs="Sim Sun"/>
          <w:b/>
          <w:bCs/>
          <w:sz w:val="32"/>
          <w:szCs w:val="32"/>
        </w:rPr>
        <w:t>软件补丁更新与升级、批次故障预警及更换服务、</w:t>
      </w:r>
      <w:r>
        <w:rPr>
          <w:rFonts w:hint="eastAsia" w:ascii="彩虹粗仿宋" w:hAnsi="宋体" w:eastAsia="彩虹粗仿宋"/>
          <w:b/>
          <w:bCs/>
          <w:sz w:val="32"/>
          <w:szCs w:val="32"/>
        </w:rPr>
        <w:t>参数优化服务、系统升级保障服务等。</w:t>
      </w:r>
    </w:p>
    <w:p w14:paraId="2A57C188">
      <w:pPr>
        <w:adjustRightInd w:val="0"/>
        <w:snapToGrid w:val="0"/>
        <w:spacing w:line="560" w:lineRule="atLeast"/>
        <w:ind w:firstLine="560" w:firstLineChars="200"/>
        <w:rPr>
          <w:rFonts w:hint="eastAsia" w:ascii="彩虹粗仿宋" w:hAnsi="宋体" w:eastAsia="彩虹粗仿宋" w:cs="Times New Roman"/>
          <w:snapToGrid w:val="0"/>
          <w:kern w:val="0"/>
          <w:sz w:val="28"/>
          <w:szCs w:val="28"/>
          <w:highlight w:val="none"/>
          <w:lang w:val="en-US" w:eastAsia="zh-CN"/>
        </w:rPr>
      </w:pPr>
      <w:r>
        <w:rPr>
          <w:rFonts w:hint="eastAsia" w:ascii="彩虹粗仿宋" w:hAnsi="宋体" w:eastAsia="彩虹粗仿宋" w:cs="Times New Roman"/>
          <w:snapToGrid w:val="0"/>
          <w:kern w:val="0"/>
          <w:sz w:val="28"/>
          <w:szCs w:val="28"/>
          <w:highlight w:val="none"/>
          <w:lang w:val="en-US" w:eastAsia="zh-CN"/>
        </w:rPr>
        <w:t>我行享有五年的软件免费保修服务，供应商需保证本次需求功能点在保修期正常使用，保修功能点以项目上线后最终验收确认为准。我行享有硬件为期五年的质量保证期，该期限自产品验收合格之日（对于还需要进行加电测试、安装调试服务的，应自所有相应服务完成并验收合格之日)起开始计算，质量保证期内如产品出现任何质量问题，予以无条件维修、更换或退货，供应商不再另行收费，人为损坏或自然灾害等不可抗拒因素不在免费保修范围内。</w:t>
      </w:r>
    </w:p>
    <w:p w14:paraId="4FD4189D">
      <w:pPr>
        <w:adjustRightInd w:val="0"/>
        <w:snapToGrid w:val="0"/>
        <w:spacing w:line="560" w:lineRule="atLeast"/>
        <w:ind w:firstLine="560" w:firstLineChars="200"/>
        <w:rPr>
          <w:rFonts w:hint="eastAsia" w:ascii="彩虹粗仿宋" w:hAnsi="宋体" w:eastAsia="彩虹粗仿宋" w:cs="Times New Roman"/>
          <w:snapToGrid w:val="0"/>
          <w:kern w:val="0"/>
          <w:sz w:val="28"/>
          <w:szCs w:val="28"/>
          <w:lang w:val="en-US" w:eastAsia="zh-CN"/>
        </w:rPr>
      </w:pPr>
      <w:r>
        <w:rPr>
          <w:rFonts w:hint="eastAsia" w:ascii="彩虹粗仿宋" w:hAnsi="宋体" w:eastAsia="彩虹粗仿宋" w:cs="Times New Roman"/>
          <w:snapToGrid w:val="0"/>
          <w:kern w:val="0"/>
          <w:sz w:val="28"/>
          <w:szCs w:val="28"/>
          <w:lang w:val="en-US" w:eastAsia="zh-CN"/>
        </w:rPr>
        <w:t>维护支持服务期内，维护支持服务提供方提供7×24小时电话、网络等远程支持服务及上门维护支持服务。</w:t>
      </w:r>
    </w:p>
    <w:p w14:paraId="2ED5CE03">
      <w:pPr>
        <w:adjustRightInd w:val="0"/>
        <w:snapToGrid w:val="0"/>
        <w:spacing w:line="560" w:lineRule="atLeast"/>
        <w:ind w:firstLine="562" w:firstLineChars="200"/>
        <w:rPr>
          <w:rFonts w:hint="eastAsia" w:ascii="彩虹粗仿宋" w:hAnsi="宋体" w:eastAsia="彩虹粗仿宋" w:cs="Times New Roman"/>
          <w:b/>
          <w:bCs/>
          <w:snapToGrid w:val="0"/>
          <w:color w:val="auto"/>
          <w:kern w:val="0"/>
          <w:sz w:val="28"/>
          <w:szCs w:val="28"/>
          <w:lang w:val="en-US" w:eastAsia="zh-CN"/>
        </w:rPr>
      </w:pPr>
      <w:r>
        <w:rPr>
          <w:rFonts w:hint="eastAsia" w:ascii="彩虹粗仿宋" w:hAnsi="宋体" w:eastAsia="彩虹粗仿宋" w:cs="Times New Roman"/>
          <w:b/>
          <w:bCs/>
          <w:snapToGrid w:val="0"/>
          <w:color w:val="auto"/>
          <w:kern w:val="0"/>
          <w:sz w:val="28"/>
          <w:szCs w:val="28"/>
          <w:lang w:val="en-US" w:eastAsia="zh-CN"/>
        </w:rPr>
        <w:t>供应商需提供《承诺函》，承诺我行享有软件产品和硬件产品5年维保期。</w:t>
      </w:r>
    </w:p>
    <w:p w14:paraId="44B6C936">
      <w:pPr>
        <w:adjustRightInd w:val="0"/>
        <w:snapToGrid w:val="0"/>
        <w:spacing w:line="560" w:lineRule="atLeast"/>
        <w:ind w:firstLine="562" w:firstLineChars="200"/>
        <w:rPr>
          <w:rFonts w:hint="default" w:ascii="彩虹粗仿宋" w:hAnsi="宋体" w:eastAsia="彩虹粗仿宋" w:cs="Times New Roman"/>
          <w:b/>
          <w:bCs/>
          <w:snapToGrid w:val="0"/>
          <w:color w:val="auto"/>
          <w:kern w:val="0"/>
          <w:sz w:val="28"/>
          <w:szCs w:val="28"/>
          <w:lang w:val="en-US" w:eastAsia="zh-CN"/>
        </w:rPr>
      </w:pPr>
    </w:p>
    <w:p w14:paraId="4AF7D24A">
      <w:pPr>
        <w:numPr>
          <w:ilvl w:val="0"/>
          <w:numId w:val="0"/>
        </w:numPr>
        <w:spacing w:line="560" w:lineRule="exact"/>
        <w:ind w:firstLine="643"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b/>
          <w:bCs/>
          <w:sz w:val="32"/>
          <w:szCs w:val="32"/>
          <w:lang w:eastAsia="zh-CN"/>
        </w:rPr>
        <w:t>四、</w:t>
      </w:r>
      <w:r>
        <w:rPr>
          <w:rFonts w:hint="eastAsia" w:ascii="彩虹粗仿宋" w:hAnsi="宋体" w:eastAsia="彩虹粗仿宋"/>
          <w:b/>
          <w:bCs/>
          <w:sz w:val="32"/>
          <w:szCs w:val="32"/>
        </w:rPr>
        <w:t>维护工作方式（现场、热线、远程控制）。</w:t>
      </w:r>
    </w:p>
    <w:p w14:paraId="662A0820">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维护支持服务提供方可通过电话、网络等远程方式对我行在产品使用过程中出现的一般性问题提供咨询解答。产品出现故障时，我行可以通过电话或网络方式报告故障，维护支持服务提供方应按照合同约定立即作出响应。</w:t>
      </w:r>
    </w:p>
    <w:p w14:paraId="7B045945">
      <w:pPr>
        <w:adjustRightInd w:val="0"/>
        <w:snapToGrid w:val="0"/>
        <w:spacing w:line="560" w:lineRule="atLeast"/>
        <w:ind w:firstLine="560" w:firstLineChars="200"/>
        <w:rPr>
          <w:rFonts w:hint="eastAsia" w:ascii="彩虹粗仿宋" w:hAnsi="宋体" w:eastAsia="彩虹粗仿宋" w:cs="Times New Roman"/>
          <w:snapToGrid w:val="0"/>
          <w:kern w:val="0"/>
          <w:sz w:val="28"/>
          <w:szCs w:val="28"/>
          <w:lang w:val="en-US" w:eastAsia="zh-CN"/>
        </w:rPr>
      </w:pPr>
    </w:p>
    <w:p w14:paraId="755E0F86">
      <w:pPr>
        <w:numPr>
          <w:ilvl w:val="0"/>
          <w:numId w:val="0"/>
        </w:numPr>
        <w:spacing w:line="560" w:lineRule="exact"/>
        <w:ind w:firstLine="643" w:firstLineChars="200"/>
        <w:rPr>
          <w:rFonts w:hint="eastAsia" w:ascii="彩虹粗仿宋" w:hAnsi="宋体" w:eastAsia="彩虹粗仿宋"/>
          <w:b/>
          <w:bCs/>
          <w:sz w:val="32"/>
          <w:szCs w:val="32"/>
        </w:rPr>
      </w:pPr>
      <w:r>
        <w:rPr>
          <w:rFonts w:hint="eastAsia" w:ascii="彩虹粗仿宋" w:hAnsi="宋体" w:eastAsia="彩虹粗仿宋"/>
          <w:b/>
          <w:bCs/>
          <w:sz w:val="32"/>
          <w:szCs w:val="32"/>
          <w:lang w:eastAsia="zh-CN"/>
        </w:rPr>
        <w:t>五、</w:t>
      </w:r>
      <w:r>
        <w:rPr>
          <w:rFonts w:hint="eastAsia" w:ascii="彩虹粗仿宋" w:hAnsi="宋体" w:eastAsia="彩虹粗仿宋"/>
          <w:b/>
          <w:bCs/>
          <w:sz w:val="32"/>
          <w:szCs w:val="32"/>
        </w:rPr>
        <w:t>故障事件级别定义及响应处理的承诺。</w:t>
      </w:r>
    </w:p>
    <w:p w14:paraId="173C627E">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产品故障分为严重、一般、轻微三个等级，维护支持服务提供方应根据产品故障的不同级别，提供不同的故障响应及服务：“严重”为产品无法运行或基本无法运行，或产品重要功能失效或基本失效；“一般”为产品可以运行，但非重要性功能的使用受到限制；“轻微”为其它轻微影响产品使用的故障。</w:t>
      </w:r>
    </w:p>
    <w:p w14:paraId="662DBB39">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维护支持服务提供方应对故障报告做出及时响应：</w:t>
      </w:r>
    </w:p>
    <w:p w14:paraId="00CBFB10">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对于严重级别故障，维护支持服务提供方应立即派出高级技术人员到现场进行维修，与此同时，维护支持服务提供方技术支持人员应通过电话、网络等方式尝试排除故障；维护支持服务提供方派出的高级技术人员应当在8小时内（从故障报告时间起算，下同）到达故障现场，维护支持服务提供方承诺在收到故障报告后24小时内恢复产品正常运行。</w:t>
      </w:r>
    </w:p>
    <w:p w14:paraId="05C1149C">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对于一般级别故障，维护支持服务提供方应立即通过电话、网络等方式尝试排除故障；如故障在2小时内无法排除，维护支持服务提供方应立即派出高级技术人员在8小时内到达故障现场进行维修，维护支持服务提供方承诺在收到故障报告后12小时内恢复产品正常运行。</w:t>
      </w:r>
    </w:p>
    <w:p w14:paraId="6498B69F">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 xml:space="preserve">对于轻微级别故障，维护支持服务提供方应立即通过电话、网络等方式尝试排除故障；如故障在2小时内无法排除，维护支持服务提供方应在8小时内派出技术人员到达故障现场进行维修，维护支持服务提供方承诺在收到故障报告后8小时内恢复产品正常运行。 </w:t>
      </w:r>
    </w:p>
    <w:p w14:paraId="1BE0E56B">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如故障无法现场解决，维护支持服务提供方应当首先用功能相同的自有备用设备替换故障产品或按照我行要求采取其他补救措施。</w:t>
      </w:r>
    </w:p>
    <w:p w14:paraId="73179D99">
      <w:pPr>
        <w:numPr>
          <w:ilvl w:val="0"/>
          <w:numId w:val="0"/>
        </w:numPr>
        <w:spacing w:line="560" w:lineRule="exact"/>
        <w:ind w:leftChars="200"/>
        <w:rPr>
          <w:rFonts w:hint="eastAsia" w:ascii="彩虹粗仿宋" w:hAnsi="宋体" w:eastAsia="彩虹粗仿宋"/>
          <w:sz w:val="32"/>
          <w:szCs w:val="32"/>
        </w:rPr>
      </w:pPr>
    </w:p>
    <w:p w14:paraId="2D4ED73A">
      <w:pPr>
        <w:numPr>
          <w:ilvl w:val="0"/>
          <w:numId w:val="0"/>
        </w:numPr>
        <w:spacing w:line="560" w:lineRule="exact"/>
        <w:ind w:firstLine="643" w:firstLineChars="200"/>
        <w:rPr>
          <w:rFonts w:hint="eastAsia" w:ascii="彩虹粗仿宋" w:hAnsi="宋体" w:eastAsia="彩虹粗仿宋"/>
          <w:b/>
          <w:bCs/>
          <w:sz w:val="32"/>
          <w:szCs w:val="32"/>
        </w:rPr>
      </w:pPr>
      <w:r>
        <w:rPr>
          <w:rFonts w:hint="eastAsia" w:ascii="彩虹粗仿宋" w:hAnsi="宋体" w:eastAsia="彩虹粗仿宋"/>
          <w:b/>
          <w:bCs/>
          <w:sz w:val="32"/>
          <w:szCs w:val="32"/>
          <w:lang w:eastAsia="zh-CN"/>
        </w:rPr>
        <w:t>六、</w:t>
      </w:r>
      <w:r>
        <w:rPr>
          <w:rFonts w:hint="eastAsia" w:ascii="彩虹粗仿宋" w:hAnsi="宋体" w:eastAsia="彩虹粗仿宋"/>
          <w:b/>
          <w:bCs/>
          <w:sz w:val="32"/>
          <w:szCs w:val="32"/>
        </w:rPr>
        <w:t>供应商维护服务人员的数量、资质经验、角色等方面的要求。</w:t>
      </w:r>
    </w:p>
    <w:p w14:paraId="753E198F">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无。</w:t>
      </w:r>
    </w:p>
    <w:p w14:paraId="2DD1A2C1">
      <w:pPr>
        <w:numPr>
          <w:ilvl w:val="0"/>
          <w:numId w:val="0"/>
        </w:numPr>
        <w:spacing w:line="560" w:lineRule="exact"/>
        <w:ind w:leftChars="200"/>
        <w:rPr>
          <w:rFonts w:hint="eastAsia" w:ascii="彩虹粗仿宋" w:hAnsi="宋体" w:eastAsia="彩虹粗仿宋"/>
          <w:sz w:val="32"/>
          <w:szCs w:val="32"/>
        </w:rPr>
      </w:pPr>
    </w:p>
    <w:p w14:paraId="26D5CFC5">
      <w:pPr>
        <w:numPr>
          <w:ilvl w:val="0"/>
          <w:numId w:val="0"/>
        </w:numPr>
        <w:spacing w:line="560" w:lineRule="exact"/>
        <w:ind w:firstLine="643" w:firstLineChars="200"/>
        <w:rPr>
          <w:rFonts w:hint="eastAsia" w:ascii="彩虹粗仿宋" w:hAnsi="宋体" w:eastAsia="彩虹粗仿宋"/>
          <w:b/>
          <w:bCs/>
          <w:sz w:val="32"/>
          <w:szCs w:val="32"/>
        </w:rPr>
      </w:pPr>
      <w:r>
        <w:rPr>
          <w:rFonts w:hint="eastAsia" w:ascii="彩虹粗仿宋" w:hAnsi="宋体" w:eastAsia="彩虹粗仿宋"/>
          <w:b/>
          <w:bCs/>
          <w:sz w:val="32"/>
          <w:szCs w:val="32"/>
          <w:lang w:eastAsia="zh-CN"/>
        </w:rPr>
        <w:t>七、</w:t>
      </w:r>
      <w:r>
        <w:rPr>
          <w:rFonts w:hint="eastAsia" w:ascii="彩虹粗仿宋" w:hAnsi="宋体" w:eastAsia="彩虹粗仿宋"/>
          <w:b/>
          <w:bCs/>
          <w:sz w:val="32"/>
          <w:szCs w:val="32"/>
        </w:rPr>
        <w:t>供应商人员与建行相关部门在系统维护工作中的关系。</w:t>
      </w:r>
    </w:p>
    <w:p w14:paraId="72640369">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供应商负责做好系统维护工作。</w:t>
      </w:r>
    </w:p>
    <w:p w14:paraId="6A108112">
      <w:pPr>
        <w:numPr>
          <w:ilvl w:val="0"/>
          <w:numId w:val="0"/>
        </w:numPr>
        <w:spacing w:line="560" w:lineRule="exact"/>
        <w:ind w:leftChars="200"/>
        <w:rPr>
          <w:rFonts w:hint="eastAsia" w:ascii="彩虹粗仿宋" w:hAnsi="宋体" w:eastAsia="彩虹粗仿宋"/>
          <w:sz w:val="32"/>
          <w:szCs w:val="32"/>
        </w:rPr>
      </w:pPr>
    </w:p>
    <w:p w14:paraId="26736778">
      <w:pPr>
        <w:numPr>
          <w:ilvl w:val="0"/>
          <w:numId w:val="0"/>
        </w:numPr>
        <w:spacing w:line="560" w:lineRule="exact"/>
        <w:ind w:firstLine="643" w:firstLineChars="200"/>
        <w:rPr>
          <w:rFonts w:hint="eastAsia" w:ascii="彩虹粗仿宋" w:hAnsi="宋体" w:eastAsia="彩虹粗仿宋"/>
          <w:b/>
          <w:bCs/>
          <w:sz w:val="32"/>
          <w:szCs w:val="32"/>
        </w:rPr>
      </w:pPr>
      <w:r>
        <w:rPr>
          <w:rFonts w:hint="eastAsia" w:ascii="彩虹粗仿宋" w:hAnsi="宋体" w:eastAsia="彩虹粗仿宋"/>
          <w:b/>
          <w:bCs/>
          <w:sz w:val="32"/>
          <w:szCs w:val="32"/>
          <w:lang w:eastAsia="zh-CN"/>
        </w:rPr>
        <w:t>八、</w:t>
      </w:r>
      <w:r>
        <w:rPr>
          <w:rFonts w:hint="eastAsia" w:ascii="彩虹粗仿宋" w:hAnsi="宋体" w:eastAsia="彩虹粗仿宋"/>
          <w:b/>
          <w:bCs/>
          <w:sz w:val="32"/>
          <w:szCs w:val="32"/>
        </w:rPr>
        <w:t>工作成果要求，包括保密要求、最终提交文档要求、验收标准及验收流程等。</w:t>
      </w:r>
    </w:p>
    <w:p w14:paraId="76653A9E">
      <w:pPr>
        <w:adjustRightInd w:val="0"/>
        <w:snapToGrid w:val="0"/>
        <w:spacing w:line="560" w:lineRule="atLeast"/>
        <w:ind w:firstLine="640" w:firstLineChars="200"/>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双方应当对采购合同的内容以及在签订、履行采购合同过程中知悉或获得的所有有关对方的商业秘密、客户资料等信息予以保密。</w:t>
      </w:r>
    </w:p>
    <w:p w14:paraId="6148AE82">
      <w:pPr>
        <w:numPr>
          <w:ilvl w:val="0"/>
          <w:numId w:val="0"/>
        </w:numPr>
        <w:spacing w:line="560" w:lineRule="exact"/>
        <w:ind w:leftChars="200"/>
        <w:rPr>
          <w:rFonts w:hint="eastAsia" w:ascii="彩虹粗仿宋" w:hAnsi="宋体" w:eastAsia="彩虹粗仿宋"/>
          <w:sz w:val="32"/>
          <w:szCs w:val="32"/>
        </w:rPr>
      </w:pPr>
    </w:p>
    <w:p w14:paraId="6AC5358E">
      <w:pPr>
        <w:numPr>
          <w:ilvl w:val="0"/>
          <w:numId w:val="0"/>
        </w:numPr>
        <w:ind w:firstLine="643" w:firstLineChars="200"/>
        <w:rPr>
          <w:rFonts w:hint="eastAsia" w:ascii="彩虹粗仿宋" w:hAnsi="宋体" w:eastAsia="彩虹粗仿宋"/>
          <w:b/>
          <w:bCs/>
          <w:sz w:val="32"/>
          <w:szCs w:val="32"/>
        </w:rPr>
      </w:pPr>
      <w:r>
        <w:rPr>
          <w:rFonts w:hint="eastAsia" w:ascii="彩虹粗仿宋" w:hAnsi="宋体" w:eastAsia="彩虹粗仿宋"/>
          <w:b/>
          <w:bCs/>
          <w:sz w:val="32"/>
          <w:szCs w:val="32"/>
          <w:lang w:eastAsia="zh-CN"/>
        </w:rPr>
        <w:t>九、</w:t>
      </w:r>
      <w:r>
        <w:rPr>
          <w:rFonts w:hint="eastAsia" w:ascii="彩虹粗仿宋" w:hAnsi="宋体" w:eastAsia="彩虹粗仿宋"/>
          <w:b/>
          <w:bCs/>
          <w:sz w:val="32"/>
          <w:szCs w:val="32"/>
        </w:rPr>
        <w:t>其他要求，如：问题处理流程的说明、系统运行日志和运行报告的内容要求等。</w:t>
      </w:r>
    </w:p>
    <w:p w14:paraId="04F934F3">
      <w:pPr>
        <w:adjustRightInd w:val="0"/>
        <w:snapToGrid w:val="0"/>
        <w:spacing w:line="560" w:lineRule="atLeast"/>
        <w:ind w:firstLine="640" w:firstLineChars="200"/>
        <w:jc w:val="left"/>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highlight w:val="none"/>
          <w:lang w:eastAsia="zh-CN"/>
        </w:rPr>
        <w:t>（一）</w:t>
      </w:r>
      <w:r>
        <w:rPr>
          <w:rFonts w:hint="eastAsia" w:ascii="彩虹粗仿宋" w:hAnsi="宋体" w:eastAsia="彩虹粗仿宋" w:cs="Times New Roman"/>
          <w:snapToGrid w:val="0"/>
          <w:kern w:val="0"/>
          <w:sz w:val="32"/>
          <w:szCs w:val="32"/>
          <w:lang w:val="en-US" w:eastAsia="zh-CN"/>
        </w:rPr>
        <w:t>对签约项目，供应商应提供全保服务，即采购费用已包含保修期限内软件版本升级服务、硬件更新（换），不再收取任何形式的配件费、交通费、食宿费、服务费等其它费用。</w:t>
      </w:r>
    </w:p>
    <w:p w14:paraId="0753F3E3">
      <w:pPr>
        <w:adjustRightInd w:val="0"/>
        <w:snapToGrid w:val="0"/>
        <w:spacing w:line="560" w:lineRule="atLeast"/>
        <w:ind w:firstLine="640" w:firstLineChars="200"/>
        <w:jc w:val="left"/>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highlight w:val="none"/>
          <w:lang w:eastAsia="zh-CN"/>
        </w:rPr>
        <w:t>（二）</w:t>
      </w:r>
      <w:r>
        <w:rPr>
          <w:rFonts w:hint="eastAsia" w:ascii="彩虹粗仿宋" w:hAnsi="宋体" w:eastAsia="彩虹粗仿宋" w:cs="Times New Roman"/>
          <w:snapToGrid w:val="0"/>
          <w:kern w:val="0"/>
          <w:sz w:val="32"/>
          <w:szCs w:val="32"/>
          <w:lang w:val="en-US" w:eastAsia="zh-CN"/>
        </w:rPr>
        <w:t>由供应商将软件产品的介质、技术资料或文档及使用许可证明文件交付至我行指定的交货地点，交货时间为：合同签订后30个自然日内。</w:t>
      </w:r>
    </w:p>
    <w:p w14:paraId="1F35C6EC">
      <w:pPr>
        <w:adjustRightInd w:val="0"/>
        <w:snapToGrid w:val="0"/>
        <w:spacing w:line="560" w:lineRule="atLeast"/>
        <w:ind w:firstLine="640" w:firstLineChars="200"/>
        <w:jc w:val="left"/>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highlight w:val="none"/>
          <w:lang w:eastAsia="zh-CN"/>
        </w:rPr>
        <w:t>（三）</w:t>
      </w:r>
      <w:r>
        <w:rPr>
          <w:rFonts w:hint="eastAsia" w:ascii="彩虹粗仿宋" w:hAnsi="宋体" w:eastAsia="彩虹粗仿宋" w:cs="Times New Roman"/>
          <w:snapToGrid w:val="0"/>
          <w:kern w:val="0"/>
          <w:sz w:val="32"/>
          <w:szCs w:val="32"/>
          <w:lang w:val="en-US" w:eastAsia="zh-CN"/>
        </w:rPr>
        <w:t>供应商必须保证所有软件安装调试维护质量，在收货后10个自然日内完成安装调试并验收合格，确保正常使用。</w:t>
      </w:r>
    </w:p>
    <w:p w14:paraId="40DA82CA">
      <w:pPr>
        <w:adjustRightInd w:val="0"/>
        <w:snapToGrid w:val="0"/>
        <w:spacing w:line="560" w:lineRule="atLeast"/>
        <w:ind w:firstLine="640" w:firstLineChars="200"/>
        <w:jc w:val="left"/>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highlight w:val="none"/>
          <w:lang w:eastAsia="zh-CN"/>
        </w:rPr>
        <w:t>（四）</w:t>
      </w:r>
      <w:r>
        <w:rPr>
          <w:rFonts w:hint="eastAsia" w:ascii="彩虹粗仿宋" w:hAnsi="宋体" w:eastAsia="彩虹粗仿宋" w:cs="Times New Roman"/>
          <w:snapToGrid w:val="0"/>
          <w:kern w:val="0"/>
          <w:sz w:val="32"/>
          <w:szCs w:val="32"/>
          <w:lang w:val="en-US" w:eastAsia="zh-CN"/>
        </w:rPr>
        <w:t>在实施软件、硬件调试后5日内，负责对相关软件系统和硬件实际使用人员进行培训，确保相关产品使用人员能熟练掌握使用。</w:t>
      </w:r>
    </w:p>
    <w:p w14:paraId="5526C308">
      <w:pPr>
        <w:adjustRightInd w:val="0"/>
        <w:snapToGrid w:val="0"/>
        <w:spacing w:line="560" w:lineRule="atLeast"/>
        <w:ind w:firstLine="640" w:firstLineChars="200"/>
        <w:jc w:val="both"/>
        <w:rPr>
          <w:rFonts w:hint="eastAsia" w:ascii="彩虹粗仿宋" w:hAnsi="宋体" w:eastAsia="彩虹粗仿宋" w:cs="Times New Roman"/>
          <w:snapToGrid w:val="0"/>
          <w:kern w:val="0"/>
          <w:sz w:val="32"/>
          <w:szCs w:val="32"/>
          <w:highlight w:val="none"/>
          <w:lang w:val="en-US" w:eastAsia="zh-CN"/>
        </w:rPr>
      </w:pPr>
      <w:r>
        <w:rPr>
          <w:rFonts w:hint="eastAsia" w:ascii="彩虹粗仿宋" w:hAnsi="宋体" w:eastAsia="彩虹粗仿宋" w:cs="Times New Roman"/>
          <w:snapToGrid w:val="0"/>
          <w:kern w:val="0"/>
          <w:sz w:val="32"/>
          <w:szCs w:val="32"/>
          <w:highlight w:val="none"/>
          <w:lang w:eastAsia="zh-CN"/>
        </w:rPr>
        <w:t>（五）</w:t>
      </w:r>
      <w:r>
        <w:rPr>
          <w:rFonts w:hint="eastAsia" w:ascii="彩虹粗仿宋" w:hAnsi="宋体" w:eastAsia="彩虹粗仿宋" w:cs="Times New Roman"/>
          <w:snapToGrid w:val="0"/>
          <w:kern w:val="0"/>
          <w:sz w:val="32"/>
          <w:szCs w:val="32"/>
          <w:highlight w:val="none"/>
          <w:lang w:val="en-US" w:eastAsia="zh-CN"/>
        </w:rPr>
        <w:t>有项目均采购软件，按项目分别支付软件费用。所有项目的软件费用的支付方式均一致：</w:t>
      </w:r>
    </w:p>
    <w:p w14:paraId="3DBD64D6">
      <w:pPr>
        <w:adjustRightInd w:val="0"/>
        <w:snapToGrid w:val="0"/>
        <w:spacing w:line="560" w:lineRule="atLeast"/>
        <w:ind w:firstLine="640" w:firstLineChars="200"/>
        <w:jc w:val="both"/>
        <w:rPr>
          <w:rFonts w:hint="eastAsia" w:ascii="彩虹粗仿宋" w:hAnsi="宋体" w:eastAsia="彩虹粗仿宋" w:cs="Times New Roman"/>
          <w:snapToGrid w:val="0"/>
          <w:kern w:val="0"/>
          <w:sz w:val="32"/>
          <w:szCs w:val="32"/>
          <w:highlight w:val="none"/>
          <w:lang w:val="en-US" w:eastAsia="zh-CN"/>
        </w:rPr>
      </w:pPr>
      <w:r>
        <w:rPr>
          <w:rFonts w:hint="eastAsia" w:ascii="彩虹粗仿宋" w:hAnsi="宋体" w:eastAsia="彩虹粗仿宋" w:cs="Times New Roman"/>
          <w:snapToGrid w:val="0"/>
          <w:kern w:val="0"/>
          <w:sz w:val="32"/>
          <w:szCs w:val="32"/>
          <w:highlight w:val="none"/>
          <w:lang w:val="en-US" w:eastAsia="zh-CN"/>
        </w:rPr>
        <w:t>（1）自所有系统软件安装后调试并测试运行正常，经实际使用方验收合格后30日内，支付该项目软件总价款的95%；（2）自合同项下该项目软件产品免费维护期（伍年）届满后收到供应商向我行提交5%尾款付款通知书后30日内，支付该项目软件总价款的5%。</w:t>
      </w:r>
    </w:p>
    <w:p w14:paraId="302E36F4">
      <w:pPr>
        <w:adjustRightInd w:val="0"/>
        <w:snapToGrid w:val="0"/>
        <w:spacing w:line="560" w:lineRule="atLeast"/>
        <w:ind w:firstLine="640" w:firstLineChars="200"/>
        <w:jc w:val="left"/>
        <w:rPr>
          <w:rFonts w:hint="eastAsia" w:ascii="彩虹粗仿宋" w:hAnsi="宋体" w:eastAsia="彩虹粗仿宋" w:cs="Times New Roman"/>
          <w:snapToGrid w:val="0"/>
          <w:kern w:val="0"/>
          <w:sz w:val="32"/>
          <w:szCs w:val="32"/>
          <w:highlight w:val="none"/>
          <w:lang w:val="en-US" w:eastAsia="zh-CN"/>
        </w:rPr>
      </w:pPr>
      <w:r>
        <w:rPr>
          <w:rFonts w:hint="eastAsia" w:ascii="彩虹粗仿宋" w:hAnsi="宋体" w:eastAsia="彩虹粗仿宋" w:cs="Times New Roman"/>
          <w:snapToGrid w:val="0"/>
          <w:kern w:val="0"/>
          <w:sz w:val="32"/>
          <w:szCs w:val="32"/>
          <w:highlight w:val="none"/>
          <w:lang w:eastAsia="zh-CN"/>
        </w:rPr>
        <w:t>（六）</w:t>
      </w:r>
      <w:r>
        <w:rPr>
          <w:rFonts w:hint="eastAsia" w:ascii="彩虹粗仿宋" w:hAnsi="宋体" w:eastAsia="彩虹粗仿宋" w:cs="Times New Roman"/>
          <w:snapToGrid w:val="0"/>
          <w:kern w:val="0"/>
          <w:sz w:val="32"/>
          <w:szCs w:val="32"/>
          <w:highlight w:val="none"/>
          <w:lang w:val="en-US" w:eastAsia="zh-CN"/>
        </w:rPr>
        <w:t>仅项目二采购硬件，其余项目不采购硬件。硬件费用的支付方式:</w:t>
      </w:r>
    </w:p>
    <w:p w14:paraId="0A76F9C7">
      <w:pPr>
        <w:adjustRightInd w:val="0"/>
        <w:snapToGrid w:val="0"/>
        <w:spacing w:line="560" w:lineRule="atLeast"/>
        <w:ind w:firstLine="640" w:firstLineChars="200"/>
        <w:jc w:val="left"/>
        <w:rPr>
          <w:rFonts w:hint="eastAsia" w:ascii="彩虹粗仿宋" w:hAnsi="宋体" w:eastAsia="彩虹粗仿宋" w:cs="Times New Roman"/>
          <w:snapToGrid w:val="0"/>
          <w:kern w:val="0"/>
          <w:sz w:val="32"/>
          <w:szCs w:val="32"/>
          <w:highlight w:val="none"/>
          <w:lang w:val="en-US" w:eastAsia="zh-CN"/>
        </w:rPr>
      </w:pPr>
      <w:r>
        <w:rPr>
          <w:rFonts w:hint="eastAsia" w:ascii="彩虹粗仿宋" w:hAnsi="宋体" w:eastAsia="彩虹粗仿宋" w:cs="Times New Roman"/>
          <w:snapToGrid w:val="0"/>
          <w:kern w:val="0"/>
          <w:sz w:val="32"/>
          <w:szCs w:val="32"/>
          <w:highlight w:val="none"/>
          <w:lang w:val="en-US" w:eastAsia="zh-CN"/>
        </w:rPr>
        <w:t>（1）自合同生效且该项目所有硬件完成调试并经实际使用方验收合格后10日内，支付合同总价款的95％；（2）自合同项下该项目硬件产品免费维护期（伍年）届满后收到供应商向我行提交5%尾款付款通知书后30日内，支付合同总价款的5%。</w:t>
      </w:r>
    </w:p>
    <w:p w14:paraId="10C059D3">
      <w:pPr>
        <w:adjustRightInd w:val="0"/>
        <w:snapToGrid w:val="0"/>
        <w:spacing w:line="560" w:lineRule="atLeast"/>
        <w:ind w:firstLine="640" w:firstLineChars="200"/>
        <w:jc w:val="both"/>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highlight w:val="none"/>
          <w:lang w:eastAsia="zh-CN"/>
        </w:rPr>
        <w:t>（七）</w:t>
      </w:r>
      <w:r>
        <w:rPr>
          <w:rFonts w:hint="eastAsia" w:ascii="彩虹粗仿宋" w:hAnsi="宋体" w:eastAsia="彩虹粗仿宋" w:cs="Times New Roman"/>
          <w:snapToGrid w:val="0"/>
          <w:kern w:val="0"/>
          <w:sz w:val="32"/>
          <w:szCs w:val="32"/>
          <w:highlight w:val="none"/>
          <w:lang w:val="en-US" w:eastAsia="zh-CN"/>
        </w:rPr>
        <w:t>在收到我行支付的款项前30个工作日开具(或通过税务机关代开）符合规定的全</w:t>
      </w:r>
      <w:r>
        <w:rPr>
          <w:rFonts w:hint="eastAsia" w:ascii="彩虹粗仿宋" w:hAnsi="宋体" w:eastAsia="彩虹粗仿宋" w:cs="Times New Roman"/>
          <w:snapToGrid w:val="0"/>
          <w:kern w:val="0"/>
          <w:sz w:val="32"/>
          <w:szCs w:val="32"/>
          <w:lang w:val="en-US" w:eastAsia="zh-CN"/>
        </w:rPr>
        <w:t>额增值税专用发票,同时应当在发票开具之日起15日内向我行交付。</w:t>
      </w:r>
    </w:p>
    <w:p w14:paraId="64835EE5">
      <w:pPr>
        <w:adjustRightInd w:val="0"/>
        <w:snapToGrid w:val="0"/>
        <w:spacing w:line="560" w:lineRule="atLeast"/>
        <w:ind w:firstLine="640" w:firstLineChars="200"/>
        <w:jc w:val="both"/>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highlight w:val="none"/>
          <w:lang w:eastAsia="zh-CN"/>
        </w:rPr>
        <w:t>（八）</w:t>
      </w:r>
      <w:r>
        <w:rPr>
          <w:rFonts w:hint="eastAsia" w:ascii="彩虹粗仿宋" w:hAnsi="宋体" w:eastAsia="彩虹粗仿宋" w:cs="Times New Roman"/>
          <w:snapToGrid w:val="0"/>
          <w:kern w:val="0"/>
          <w:sz w:val="32"/>
          <w:szCs w:val="32"/>
          <w:lang w:val="en-US" w:eastAsia="zh-CN"/>
        </w:rPr>
        <w:t>应当对合同的内容以及在签订、履行本合同过程中知悉或获得的所有有关对方的商业秘密、客户资料等信息（即“保密信息”）予以保密，保密期限自合同生效之日起算，至合同解除或终止后无限年终止。</w:t>
      </w:r>
    </w:p>
    <w:p w14:paraId="251498A2">
      <w:pPr>
        <w:adjustRightInd w:val="0"/>
        <w:snapToGrid w:val="0"/>
        <w:spacing w:line="560" w:lineRule="atLeast"/>
        <w:ind w:firstLine="640" w:firstLineChars="200"/>
        <w:jc w:val="both"/>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highlight w:val="none"/>
          <w:lang w:eastAsia="zh-CN"/>
        </w:rPr>
        <w:t>（九）</w:t>
      </w:r>
      <w:r>
        <w:rPr>
          <w:rFonts w:hint="eastAsia" w:ascii="彩虹粗仿宋" w:hAnsi="宋体" w:eastAsia="彩虹粗仿宋" w:cs="Times New Roman"/>
          <w:snapToGrid w:val="0"/>
          <w:color w:val="auto"/>
          <w:kern w:val="0"/>
          <w:sz w:val="32"/>
          <w:szCs w:val="32"/>
          <w:lang w:val="en-US" w:eastAsia="zh-CN"/>
        </w:rPr>
        <w:t>如供应商在服务过程中，因自身原因造成产品使用方投诉的，每次我行将对供应商计收违约金人民币1000元。协议期内如供应商违反本条款且次数达到三次（含）以上的，我行有权无条件终止协议。</w:t>
      </w:r>
    </w:p>
    <w:p w14:paraId="46365CF1">
      <w:pPr>
        <w:rPr>
          <w:sz w:val="32"/>
          <w:szCs w:val="32"/>
        </w:rPr>
      </w:pPr>
    </w:p>
    <w:p w14:paraId="0CDB3249">
      <w:pPr>
        <w:rPr>
          <w:sz w:val="32"/>
          <w:szCs w:val="32"/>
        </w:rPr>
      </w:pPr>
    </w:p>
    <w:p w14:paraId="6B4F04E9">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Sim Sun">
    <w:altName w:val="华文仿宋"/>
    <w:panose1 w:val="00000000000000000000"/>
    <w:charset w:val="00"/>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Q4MDBjNmNjNWM5ODcxNmFmNDY2NTU2MWE2M2UyZjIifQ=="/>
  </w:docVars>
  <w:rsids>
    <w:rsidRoot w:val="00E52834"/>
    <w:rsid w:val="000206E5"/>
    <w:rsid w:val="00123FAE"/>
    <w:rsid w:val="00AB58BF"/>
    <w:rsid w:val="00E52834"/>
    <w:rsid w:val="00EB529C"/>
    <w:rsid w:val="FA6E0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12</Words>
  <Characters>75</Characters>
  <Lines>1</Lines>
  <Paragraphs>1</Paragraphs>
  <TotalTime>0</TotalTime>
  <ScaleCrop>false</ScaleCrop>
  <LinksUpToDate>false</LinksUpToDate>
  <CharactersWithSpaces>86</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2023-11-17T17:15:00Z</dcterms:created>
  <dc:creator>供应商管理科</dc:creator>
  <cp:lastModifiedBy>ccb</cp:lastModifiedBy>
  <dcterms:modified xsi:type="dcterms:W3CDTF">2025-10-15T15:50:49Z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D4056CFE4267A1FB5952EF68E025A25C_42</vt:lpwstr>
  </property>
</Properties>
</file>