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snapToGrid w:val="0"/>
          <w:kern w:val="0"/>
          <w:sz w:val="44"/>
          <w:szCs w:val="44"/>
        </w:rPr>
      </w:pPr>
      <w:r>
        <w:rPr>
          <w:rFonts w:hint="eastAsia" w:ascii="彩虹小标宋" w:hAnsi="宋体" w:eastAsia="彩虹小标宋"/>
          <w:snapToGrid w:val="0"/>
          <w:kern w:val="0"/>
          <w:sz w:val="44"/>
          <w:szCs w:val="44"/>
        </w:rPr>
        <w:t>采购需求</w:t>
      </w:r>
    </w:p>
    <w:p>
      <w:pPr>
        <w:spacing w:line="440" w:lineRule="exact"/>
        <w:ind w:firstLine="422" w:firstLineChars="150"/>
        <w:rPr>
          <w:rFonts w:ascii="彩虹粗仿宋" w:hAnsi="宋体" w:eastAsia="彩虹粗仿宋" w:cs="宋体"/>
          <w:b/>
          <w:bCs/>
          <w:sz w:val="28"/>
          <w:szCs w:val="28"/>
        </w:rPr>
      </w:pPr>
      <w:r>
        <w:rPr>
          <w:rFonts w:hint="eastAsia" w:ascii="彩虹粗仿宋" w:hAnsi="宋体" w:eastAsia="彩虹粗仿宋" w:cs="宋体"/>
          <w:b/>
          <w:bCs/>
          <w:sz w:val="28"/>
          <w:szCs w:val="28"/>
        </w:rPr>
        <w:t>一、投标人资质</w:t>
      </w:r>
    </w:p>
    <w:p>
      <w:pPr>
        <w:pStyle w:val="18"/>
        <w:spacing w:line="360" w:lineRule="auto"/>
        <w:ind w:firstLine="480"/>
        <w:rPr>
          <w:rFonts w:ascii="宋体" w:hAnsi="宋体"/>
          <w:b/>
          <w:sz w:val="28"/>
          <w:szCs w:val="28"/>
        </w:rPr>
      </w:pPr>
      <w:r>
        <w:rPr>
          <w:rFonts w:ascii="宋体" w:hAnsi="宋体"/>
          <w:sz w:val="28"/>
          <w:szCs w:val="28"/>
        </w:rPr>
        <w:t>1、投标人为中华人民共和国境内合法注册的独立法人，具有独立承担民事责任的能力。</w:t>
      </w:r>
      <w:r>
        <w:rPr>
          <w:rFonts w:ascii="宋体" w:hAnsi="宋体"/>
          <w:b/>
          <w:sz w:val="28"/>
          <w:szCs w:val="28"/>
        </w:rPr>
        <w:t>（提供营业执照复印件）</w:t>
      </w:r>
    </w:p>
    <w:p>
      <w:pPr>
        <w:pStyle w:val="18"/>
        <w:spacing w:line="360" w:lineRule="auto"/>
        <w:ind w:firstLine="480"/>
        <w:rPr>
          <w:rFonts w:ascii="宋体" w:hAnsi="宋体"/>
          <w:b/>
          <w:sz w:val="28"/>
          <w:szCs w:val="28"/>
        </w:rPr>
      </w:pPr>
      <w:r>
        <w:rPr>
          <w:rFonts w:ascii="宋体" w:hAnsi="宋体"/>
          <w:sz w:val="28"/>
          <w:szCs w:val="28"/>
        </w:rPr>
        <w:t>2、投标人具有依法缴纳税收的证明材料。</w:t>
      </w:r>
      <w:r>
        <w:rPr>
          <w:rFonts w:ascii="宋体" w:hAnsi="宋体"/>
          <w:b/>
          <w:sz w:val="28"/>
          <w:szCs w:val="28"/>
        </w:rPr>
        <w:t>（提供2024年7月1日后不少于6个月的依法缴纳</w:t>
      </w:r>
      <w:r>
        <w:rPr>
          <w:rFonts w:hint="eastAsia" w:ascii="宋体" w:hAnsi="宋体"/>
          <w:b/>
          <w:sz w:val="28"/>
          <w:szCs w:val="28"/>
        </w:rPr>
        <w:t>税收</w:t>
      </w:r>
      <w:r>
        <w:rPr>
          <w:rFonts w:ascii="宋体" w:hAnsi="宋体"/>
          <w:b/>
          <w:sz w:val="28"/>
          <w:szCs w:val="28"/>
        </w:rPr>
        <w:t>的证明材料复印件，如依法免税的，应提供相应证明材料）</w:t>
      </w:r>
    </w:p>
    <w:p>
      <w:pPr>
        <w:pStyle w:val="18"/>
        <w:spacing w:line="360" w:lineRule="auto"/>
        <w:ind w:firstLine="480"/>
        <w:rPr>
          <w:rFonts w:ascii="宋体" w:hAnsi="宋体"/>
          <w:sz w:val="28"/>
          <w:szCs w:val="28"/>
        </w:rPr>
      </w:pPr>
      <w:r>
        <w:rPr>
          <w:rFonts w:ascii="宋体" w:hAnsi="宋体"/>
          <w:sz w:val="28"/>
          <w:szCs w:val="28"/>
        </w:rPr>
        <w:t>3、投标人具有依法缴纳社会保险的凭证。</w:t>
      </w:r>
      <w:r>
        <w:rPr>
          <w:rFonts w:ascii="宋体" w:hAnsi="宋体"/>
          <w:b/>
          <w:sz w:val="28"/>
          <w:szCs w:val="28"/>
        </w:rPr>
        <w:t>（提供2024年7月1日后不少于6个月的依法缴纳社会保险的证明材料复印件（专用收据或社会保险缴纳清单等），如依法不需要缴纳社会保障资金的，应提供相应证明文件）</w:t>
      </w:r>
    </w:p>
    <w:p>
      <w:pPr>
        <w:pStyle w:val="18"/>
        <w:spacing w:line="360" w:lineRule="auto"/>
        <w:ind w:firstLine="480"/>
        <w:rPr>
          <w:rFonts w:ascii="宋体" w:hAnsi="宋体"/>
          <w:b/>
          <w:sz w:val="28"/>
          <w:szCs w:val="28"/>
        </w:rPr>
      </w:pPr>
      <w:r>
        <w:rPr>
          <w:rFonts w:ascii="宋体" w:hAnsi="宋体"/>
          <w:sz w:val="28"/>
          <w:szCs w:val="28"/>
        </w:rPr>
        <w:t>4、投标人具有良好的商业信誉和健全的财务会计制度。</w:t>
      </w:r>
      <w:r>
        <w:rPr>
          <w:rFonts w:ascii="宋体" w:hAnsi="宋体"/>
          <w:b/>
          <w:sz w:val="28"/>
          <w:szCs w:val="28"/>
        </w:rPr>
        <w:t>（提供202</w:t>
      </w:r>
      <w:r>
        <w:rPr>
          <w:rFonts w:hint="eastAsia" w:ascii="宋体" w:hAnsi="宋体"/>
          <w:b/>
          <w:sz w:val="28"/>
          <w:szCs w:val="28"/>
          <w:lang w:val="en-US" w:eastAsia="zh-CN"/>
        </w:rPr>
        <w:t>2</w:t>
      </w:r>
      <w:r>
        <w:rPr>
          <w:rFonts w:ascii="宋体" w:hAnsi="宋体"/>
          <w:b/>
          <w:sz w:val="28"/>
          <w:szCs w:val="28"/>
        </w:rPr>
        <w:t>、202</w:t>
      </w:r>
      <w:r>
        <w:rPr>
          <w:rFonts w:hint="eastAsia" w:ascii="宋体" w:hAnsi="宋体"/>
          <w:b/>
          <w:sz w:val="28"/>
          <w:szCs w:val="28"/>
          <w:lang w:val="en-US" w:eastAsia="zh-CN"/>
        </w:rPr>
        <w:t>3</w:t>
      </w:r>
      <w:r>
        <w:rPr>
          <w:rFonts w:ascii="宋体" w:hAnsi="宋体"/>
          <w:b/>
          <w:sz w:val="28"/>
          <w:szCs w:val="28"/>
        </w:rPr>
        <w:t>和202</w:t>
      </w:r>
      <w:r>
        <w:rPr>
          <w:rFonts w:hint="eastAsia" w:ascii="宋体" w:hAnsi="宋体"/>
          <w:b/>
          <w:sz w:val="28"/>
          <w:szCs w:val="28"/>
          <w:lang w:val="en-US" w:eastAsia="zh-CN"/>
        </w:rPr>
        <w:t>4</w:t>
      </w:r>
      <w:r>
        <w:rPr>
          <w:rFonts w:ascii="宋体" w:hAnsi="宋体"/>
          <w:b/>
          <w:sz w:val="28"/>
          <w:szCs w:val="28"/>
        </w:rPr>
        <w:t>年度经第三方审计的有效的财务报表复印件，至少包括资产负债表，损益表（利润表）、现金流量表,复印件清晰，财务报表须能体现经第三方审计，若投标人提供的202</w:t>
      </w:r>
      <w:r>
        <w:rPr>
          <w:rFonts w:hint="eastAsia" w:ascii="宋体" w:hAnsi="宋体"/>
          <w:b/>
          <w:sz w:val="28"/>
          <w:szCs w:val="28"/>
          <w:lang w:val="en-US" w:eastAsia="zh-CN"/>
        </w:rPr>
        <w:t>2</w:t>
      </w:r>
      <w:r>
        <w:rPr>
          <w:rFonts w:ascii="宋体" w:hAnsi="宋体"/>
          <w:b/>
          <w:sz w:val="28"/>
          <w:szCs w:val="28"/>
        </w:rPr>
        <w:t>、202</w:t>
      </w:r>
      <w:r>
        <w:rPr>
          <w:rFonts w:hint="eastAsia" w:ascii="宋体" w:hAnsi="宋体"/>
          <w:b/>
          <w:sz w:val="28"/>
          <w:szCs w:val="28"/>
          <w:lang w:val="en-US" w:eastAsia="zh-CN"/>
        </w:rPr>
        <w:t>3</w:t>
      </w:r>
      <w:r>
        <w:rPr>
          <w:rFonts w:ascii="宋体" w:hAnsi="宋体"/>
          <w:b/>
          <w:sz w:val="28"/>
          <w:szCs w:val="28"/>
        </w:rPr>
        <w:t>和202</w:t>
      </w:r>
      <w:r>
        <w:rPr>
          <w:rFonts w:hint="eastAsia" w:ascii="宋体" w:hAnsi="宋体"/>
          <w:b/>
          <w:sz w:val="28"/>
          <w:szCs w:val="28"/>
          <w:lang w:val="en-US" w:eastAsia="zh-CN"/>
        </w:rPr>
        <w:t>4</w:t>
      </w:r>
      <w:r>
        <w:rPr>
          <w:rFonts w:ascii="宋体" w:hAnsi="宋体"/>
          <w:b/>
          <w:sz w:val="28"/>
          <w:szCs w:val="28"/>
        </w:rPr>
        <w:t>年度财务报表未经审计，则须同时提供财务报表真实性承诺函）</w:t>
      </w:r>
    </w:p>
    <w:p>
      <w:pPr>
        <w:pStyle w:val="18"/>
        <w:spacing w:line="360" w:lineRule="auto"/>
        <w:ind w:firstLine="480"/>
        <w:rPr>
          <w:rFonts w:ascii="宋体" w:hAnsi="宋体"/>
          <w:b/>
          <w:sz w:val="28"/>
          <w:szCs w:val="28"/>
        </w:rPr>
      </w:pPr>
      <w:r>
        <w:rPr>
          <w:rFonts w:hint="eastAsia" w:ascii="宋体" w:hAnsi="宋体"/>
          <w:sz w:val="28"/>
          <w:szCs w:val="28"/>
        </w:rPr>
        <w:t>5</w:t>
      </w:r>
      <w:r>
        <w:rPr>
          <w:rFonts w:ascii="宋体" w:hAnsi="宋体"/>
          <w:sz w:val="28"/>
          <w:szCs w:val="28"/>
        </w:rPr>
        <w:t>、</w:t>
      </w:r>
      <w:r>
        <w:rPr>
          <w:rFonts w:hint="eastAsia" w:ascii="宋体" w:hAnsi="宋体"/>
          <w:sz w:val="28"/>
          <w:szCs w:val="28"/>
        </w:rPr>
        <w:t>投标人具有至少一项合同签订时间为202</w:t>
      </w:r>
      <w:r>
        <w:rPr>
          <w:rFonts w:ascii="宋体" w:hAnsi="宋体"/>
          <w:sz w:val="28"/>
          <w:szCs w:val="28"/>
        </w:rPr>
        <w:t>2</w:t>
      </w:r>
      <w:r>
        <w:rPr>
          <w:rFonts w:hint="eastAsia" w:ascii="宋体" w:hAnsi="宋体"/>
          <w:sz w:val="28"/>
          <w:szCs w:val="28"/>
        </w:rPr>
        <w:t>年1月1日以来与本项目采购智慧校园项目硬件产品类似的合同。</w:t>
      </w:r>
      <w:r>
        <w:rPr>
          <w:rFonts w:hint="eastAsia" w:ascii="宋体" w:hAnsi="宋体"/>
          <w:b/>
          <w:sz w:val="28"/>
          <w:szCs w:val="28"/>
        </w:rPr>
        <w:t>（提供有效的合同复印件及对应合同的任意一张发票复印件）</w:t>
      </w:r>
    </w:p>
    <w:p>
      <w:pPr>
        <w:pStyle w:val="18"/>
        <w:spacing w:line="360" w:lineRule="auto"/>
        <w:ind w:firstLine="480"/>
        <w:rPr>
          <w:rFonts w:ascii="宋体" w:hAnsi="宋体"/>
          <w:sz w:val="28"/>
          <w:szCs w:val="28"/>
        </w:rPr>
      </w:pPr>
      <w:r>
        <w:rPr>
          <w:rFonts w:ascii="宋体" w:hAnsi="宋体"/>
          <w:sz w:val="28"/>
          <w:szCs w:val="28"/>
        </w:rPr>
        <w:t>6、近三年在经营活动中没有重大违法违规记录（指投标人因违法经营受到刑事处罚或者责令停产停业、吊销许可证或者执照、较大数额(200万元以上)罚款等行政处罚） 。</w:t>
      </w:r>
      <w:r>
        <w:rPr>
          <w:rFonts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7、投标人当前未被“信用中国”网站（http://www.creditchina.gov.cn）列入重大税收违法失信主体；未被“中国执行信息公开网”（http://zxgk.court.gov.cn/）列入失信被执行人名单；未被“中国政府采购网”（http://www.ccgp.gov.cn/）列入政府采购严重违法失信行为记录名单；未被“国家企业信用信息公示系统”网站（http://www.gsxt.gov.cn）列入严重违法失信名单</w:t>
      </w:r>
      <w:r>
        <w:rPr>
          <w:rFonts w:hint="eastAsia" w:ascii="宋体" w:hAnsi="宋体"/>
          <w:sz w:val="28"/>
          <w:szCs w:val="28"/>
        </w:rPr>
        <w:t>。</w:t>
      </w:r>
      <w:r>
        <w:rPr>
          <w:rFonts w:ascii="宋体" w:hAnsi="宋体"/>
          <w:b/>
          <w:sz w:val="28"/>
          <w:szCs w:val="28"/>
        </w:rPr>
        <w:t>（提供以上信息网站网页截图并加盖公章，投标人提供的截图如不符合要求，以招</w:t>
      </w:r>
      <w:r>
        <w:rPr>
          <w:rFonts w:hint="eastAsia" w:ascii="宋体" w:hAnsi="宋体"/>
          <w:b/>
          <w:sz w:val="28"/>
          <w:szCs w:val="28"/>
        </w:rPr>
        <w:t>标代理机构现场查询结果为准）</w:t>
      </w:r>
    </w:p>
    <w:p>
      <w:pPr>
        <w:pStyle w:val="18"/>
        <w:spacing w:line="360" w:lineRule="auto"/>
        <w:ind w:firstLine="480"/>
        <w:rPr>
          <w:rFonts w:ascii="宋体" w:hAnsi="宋体"/>
          <w:sz w:val="28"/>
          <w:szCs w:val="28"/>
        </w:rPr>
      </w:pPr>
      <w:r>
        <w:rPr>
          <w:rFonts w:ascii="宋体" w:hAnsi="宋体"/>
          <w:sz w:val="28"/>
          <w:szCs w:val="28"/>
        </w:rPr>
        <w:t>8</w:t>
      </w:r>
      <w:r>
        <w:rPr>
          <w:rFonts w:hint="eastAsia" w:ascii="宋体" w:hAnsi="宋体"/>
          <w:sz w:val="28"/>
          <w:szCs w:val="28"/>
        </w:rPr>
        <w:t>、</w:t>
      </w:r>
      <w:r>
        <w:rPr>
          <w:rFonts w:ascii="宋体" w:hAnsi="宋体"/>
          <w:sz w:val="28"/>
          <w:szCs w:val="28"/>
        </w:rPr>
        <w:t>投标人当前未处于限制开展生产经营活动、责令停产停业、责令关闭、限制从业等重大行政处罚期内</w:t>
      </w:r>
      <w:r>
        <w:rPr>
          <w:rFonts w:hint="eastAsia" w:ascii="宋体" w:hAnsi="宋体"/>
          <w:sz w:val="28"/>
          <w:szCs w:val="28"/>
        </w:rPr>
        <w:t>。</w:t>
      </w:r>
      <w:r>
        <w:rPr>
          <w:rFonts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9</w:t>
      </w:r>
      <w:r>
        <w:rPr>
          <w:rFonts w:hint="eastAsia" w:ascii="宋体" w:hAnsi="宋体"/>
          <w:sz w:val="28"/>
          <w:szCs w:val="28"/>
        </w:rPr>
        <w:t>、</w:t>
      </w:r>
      <w:r>
        <w:rPr>
          <w:rFonts w:ascii="宋体" w:hAnsi="宋体"/>
          <w:sz w:val="28"/>
          <w:szCs w:val="28"/>
        </w:rPr>
        <w:t>法定代表人（负责人）为同一人或存在控股、管理关系的不同投标人，不得同时参加本项目，具体情形包括但不限于：</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1）双方法人代表或实际控制人相同；</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2）双方法人谈判代表或财务人员存在重合；</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3）双方实际办公地址相同；</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4）一方持有另一方的股份总和达到25%以上；</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5）双方共同具有一名（含）以上的董事/监事/高管人员；</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6）双方法人代表或实际控制人存在亲属等利益关系。</w:t>
      </w:r>
    </w:p>
    <w:p>
      <w:pPr>
        <w:pStyle w:val="18"/>
        <w:spacing w:line="360" w:lineRule="auto"/>
        <w:ind w:firstLine="482"/>
        <w:rPr>
          <w:rFonts w:ascii="宋体" w:hAnsi="宋体"/>
          <w:sz w:val="28"/>
          <w:szCs w:val="28"/>
        </w:rPr>
      </w:pPr>
      <w:r>
        <w:rPr>
          <w:rFonts w:hint="eastAsia"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10</w:t>
      </w:r>
      <w:r>
        <w:rPr>
          <w:rFonts w:hint="eastAsia" w:ascii="宋体" w:hAnsi="宋体"/>
          <w:sz w:val="28"/>
          <w:szCs w:val="28"/>
        </w:rPr>
        <w:t>、</w:t>
      </w:r>
      <w:r>
        <w:rPr>
          <w:rFonts w:ascii="宋体" w:hAnsi="宋体"/>
          <w:sz w:val="28"/>
          <w:szCs w:val="28"/>
        </w:rPr>
        <w:t>投标人须在法律和财务上独立、合法运作并独立于建设银行和招标代理机构</w:t>
      </w:r>
      <w:r>
        <w:rPr>
          <w:rFonts w:hint="eastAsia" w:ascii="宋体" w:hAnsi="宋体"/>
          <w:sz w:val="28"/>
          <w:szCs w:val="28"/>
        </w:rPr>
        <w:t>。</w:t>
      </w:r>
      <w:r>
        <w:rPr>
          <w:rFonts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11</w:t>
      </w:r>
      <w:r>
        <w:rPr>
          <w:rFonts w:hint="eastAsia" w:ascii="宋体" w:hAnsi="宋体"/>
          <w:sz w:val="28"/>
          <w:szCs w:val="28"/>
        </w:rPr>
        <w:t>、</w:t>
      </w:r>
      <w:r>
        <w:rPr>
          <w:rFonts w:ascii="宋体" w:hAnsi="宋体"/>
          <w:sz w:val="28"/>
          <w:szCs w:val="28"/>
        </w:rPr>
        <w:t>投标人与建设银行不存在利益冲突，不存在损害建设银行合法利益和声誉的情形，不存在针对建设银行的重大诚信问题</w:t>
      </w:r>
      <w:r>
        <w:rPr>
          <w:rFonts w:hint="eastAsia" w:ascii="宋体" w:hAnsi="宋体"/>
          <w:sz w:val="28"/>
          <w:szCs w:val="28"/>
        </w:rPr>
        <w:t>。</w:t>
      </w:r>
      <w:r>
        <w:rPr>
          <w:rFonts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12</w:t>
      </w:r>
      <w:r>
        <w:rPr>
          <w:rFonts w:hint="eastAsia" w:ascii="宋体" w:hAnsi="宋体"/>
          <w:sz w:val="28"/>
          <w:szCs w:val="28"/>
        </w:rPr>
        <w:t>、</w:t>
      </w:r>
      <w:r>
        <w:rPr>
          <w:rFonts w:ascii="宋体" w:hAnsi="宋体"/>
          <w:sz w:val="28"/>
          <w:szCs w:val="28"/>
        </w:rPr>
        <w:t>投标人在报名截止之日止未处于建设银行系统内禁用或退出期内，并且在建行系统内被给予“警示谈话”、“取消候选资格”、“削减供应份额”轻微违规行为处理的次数不超过3次。</w:t>
      </w:r>
      <w:r>
        <w:rPr>
          <w:rFonts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13、投标人须承诺，在本项目招标过程中不存在下列情形。如存在下列情形之一，招标人有权取消其投标或中标资格。情形包括但不限于：</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1）法定代表人（负责人）在生产经营活动中受到刑事处罚；</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2）重大并购或重组，影响正常生产经营；</w:t>
      </w:r>
    </w:p>
    <w:p>
      <w:pPr>
        <w:pStyle w:val="18"/>
        <w:spacing w:line="360" w:lineRule="auto"/>
        <w:ind w:firstLine="480"/>
        <w:rPr>
          <w:rFonts w:ascii="宋体" w:hAnsi="宋体"/>
          <w:sz w:val="28"/>
          <w:szCs w:val="28"/>
        </w:rPr>
      </w:pPr>
      <w:r>
        <w:rPr>
          <w:rFonts w:hint="eastAsia" w:ascii="宋体" w:hAnsi="宋体"/>
          <w:sz w:val="28"/>
          <w:szCs w:val="28"/>
        </w:rPr>
        <w:t>（</w:t>
      </w:r>
      <w:r>
        <w:rPr>
          <w:rFonts w:ascii="宋体" w:hAnsi="宋体"/>
          <w:sz w:val="28"/>
          <w:szCs w:val="28"/>
        </w:rPr>
        <w:t>3）其他重大风险事项，影响正常采购合作</w:t>
      </w:r>
      <w:r>
        <w:rPr>
          <w:rFonts w:hint="eastAsia" w:ascii="宋体" w:hAnsi="宋体"/>
          <w:sz w:val="28"/>
          <w:szCs w:val="28"/>
        </w:rPr>
        <w:t>。</w:t>
      </w:r>
    </w:p>
    <w:p>
      <w:pPr>
        <w:pStyle w:val="18"/>
        <w:spacing w:line="360" w:lineRule="auto"/>
        <w:ind w:firstLine="482"/>
        <w:rPr>
          <w:rFonts w:ascii="宋体" w:hAnsi="宋体"/>
          <w:sz w:val="28"/>
          <w:szCs w:val="28"/>
        </w:rPr>
      </w:pPr>
      <w:r>
        <w:rPr>
          <w:rFonts w:hint="eastAsia"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14、被政府部门和监管机构通报或被其他同业禁入、在同类服务中发生纠纷或造成风险事件、被招标人列入黑名单的，不予准入</w:t>
      </w:r>
      <w:r>
        <w:rPr>
          <w:rFonts w:hint="eastAsia" w:ascii="宋体" w:hAnsi="宋体"/>
          <w:sz w:val="28"/>
          <w:szCs w:val="28"/>
        </w:rPr>
        <w:t>。</w:t>
      </w:r>
      <w:r>
        <w:rPr>
          <w:rFonts w:ascii="宋体" w:hAnsi="宋体"/>
          <w:b/>
          <w:sz w:val="28"/>
          <w:szCs w:val="28"/>
        </w:rPr>
        <w:t>（提供加盖公章的书面承诺书）</w:t>
      </w:r>
    </w:p>
    <w:p>
      <w:pPr>
        <w:pStyle w:val="18"/>
        <w:spacing w:line="360" w:lineRule="auto"/>
        <w:ind w:firstLine="480"/>
        <w:rPr>
          <w:rFonts w:ascii="宋体" w:hAnsi="宋体"/>
          <w:sz w:val="28"/>
          <w:szCs w:val="28"/>
        </w:rPr>
      </w:pPr>
      <w:r>
        <w:rPr>
          <w:rFonts w:ascii="宋体" w:hAnsi="宋体"/>
          <w:sz w:val="28"/>
          <w:szCs w:val="28"/>
        </w:rPr>
        <w:t>15、投标人提供的产品或服务不存在任何侵犯第三方知识产权的情形。如果第三方声称投标人向建设银行提供的产品或服务侵犯其知识产权，或已就此对建设银行或投标人提起（包括威胁提起或很可能提起）法律诉讼程序或知识产权行政执法程序（简称侵权诉讼），一方自知悉上述事项起将立即书面通知另一方，建设银行有权采取相应措施，投标人将依法承担建设银行所要求的全部责任。</w:t>
      </w:r>
      <w:r>
        <w:rPr>
          <w:rFonts w:ascii="宋体" w:hAnsi="宋体"/>
          <w:b/>
          <w:sz w:val="28"/>
          <w:szCs w:val="28"/>
        </w:rPr>
        <w:t>（提供加盖公章的书面承诺函）</w:t>
      </w:r>
    </w:p>
    <w:p>
      <w:pPr>
        <w:pStyle w:val="18"/>
        <w:spacing w:line="360" w:lineRule="auto"/>
        <w:ind w:firstLine="480"/>
        <w:rPr>
          <w:rFonts w:ascii="宋体" w:hAnsi="宋体"/>
          <w:sz w:val="28"/>
          <w:szCs w:val="28"/>
        </w:rPr>
      </w:pPr>
      <w:r>
        <w:rPr>
          <w:rFonts w:ascii="宋体" w:hAnsi="宋体"/>
          <w:sz w:val="28"/>
          <w:szCs w:val="28"/>
        </w:rPr>
        <w:t>16、投标人必须通过建设银行龙集采平台（http://ibuy.ccb.com）领取招标文件并登记备案。</w:t>
      </w:r>
    </w:p>
    <w:p>
      <w:pPr>
        <w:pStyle w:val="18"/>
        <w:spacing w:line="360" w:lineRule="auto"/>
        <w:ind w:firstLine="480"/>
        <w:rPr>
          <w:rFonts w:ascii="宋体" w:hAnsi="宋体"/>
          <w:sz w:val="28"/>
          <w:szCs w:val="28"/>
        </w:rPr>
      </w:pPr>
      <w:r>
        <w:rPr>
          <w:rFonts w:ascii="宋体" w:hAnsi="宋体"/>
          <w:sz w:val="28"/>
          <w:szCs w:val="28"/>
        </w:rPr>
        <w:t>17、本项目不接受联合体投标，中标后不得分包与转包。</w:t>
      </w:r>
    </w:p>
    <w:p>
      <w:pPr>
        <w:pStyle w:val="18"/>
        <w:spacing w:line="360" w:lineRule="auto"/>
        <w:ind w:firstLine="480"/>
        <w:rPr>
          <w:rFonts w:ascii="宋体" w:hAnsi="宋体"/>
          <w:sz w:val="28"/>
          <w:szCs w:val="28"/>
        </w:rPr>
      </w:pPr>
    </w:p>
    <w:p>
      <w:pPr>
        <w:numPr>
          <w:ilvl w:val="0"/>
          <w:numId w:val="0"/>
        </w:numPr>
        <w:spacing w:line="360" w:lineRule="auto"/>
        <w:ind w:firstLine="321" w:firstLineChars="100"/>
        <w:rPr>
          <w:rFonts w:ascii="彩虹粗仿宋" w:hAnsi="宋体" w:eastAsia="彩虹粗仿宋"/>
          <w:sz w:val="32"/>
          <w:szCs w:val="32"/>
        </w:rPr>
      </w:pPr>
      <w:r>
        <w:rPr>
          <w:rFonts w:hint="eastAsia" w:ascii="彩虹粗仿宋" w:hAnsi="宋体" w:eastAsia="彩虹粗仿宋"/>
          <w:b/>
          <w:sz w:val="32"/>
          <w:szCs w:val="32"/>
          <w:lang w:eastAsia="zh-CN"/>
        </w:rPr>
        <w:t>二、</w:t>
      </w:r>
      <w:r>
        <w:rPr>
          <w:rFonts w:hint="eastAsia" w:ascii="彩虹粗仿宋" w:hAnsi="宋体" w:eastAsia="彩虹粗仿宋"/>
          <w:b/>
          <w:sz w:val="32"/>
          <w:szCs w:val="32"/>
        </w:rPr>
        <w:t>采购内容及功能要求</w:t>
      </w:r>
    </w:p>
    <w:p>
      <w:pPr>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本次采购的邳州市新城中学智慧校园信息化平台项目，是为学校师生搭建快捷便利的事务申请办理与服务环境，实现对学校不同角色用户的服务提升。具体采购项目明细及需求如下表</w:t>
      </w:r>
      <w:r>
        <w:rPr>
          <w:rFonts w:hint="eastAsia" w:ascii="彩虹粗仿宋" w:hAnsi="宋体" w:eastAsia="彩虹粗仿宋" w:cs="彩虹粗仿宋"/>
          <w:sz w:val="32"/>
          <w:szCs w:val="32"/>
        </w:rPr>
        <w:t>：</w:t>
      </w:r>
      <w:r>
        <w:rPr>
          <w:rFonts w:hint="eastAsia" w:ascii="彩虹粗仿宋" w:hAnsi="宋体" w:eastAsia="彩虹粗仿宋"/>
          <w:sz w:val="32"/>
          <w:szCs w:val="32"/>
        </w:rPr>
        <w:t xml:space="preserve"> </w:t>
      </w:r>
    </w:p>
    <w:tbl>
      <w:tblPr>
        <w:tblStyle w:val="9"/>
        <w:tblW w:w="0" w:type="auto"/>
        <w:jc w:val="center"/>
        <w:tblLayout w:type="autofit"/>
        <w:tblCellMar>
          <w:top w:w="0" w:type="dxa"/>
          <w:left w:w="108" w:type="dxa"/>
          <w:bottom w:w="0" w:type="dxa"/>
          <w:right w:w="108" w:type="dxa"/>
        </w:tblCellMar>
      </w:tblPr>
      <w:tblGrid>
        <w:gridCol w:w="359"/>
        <w:gridCol w:w="396"/>
        <w:gridCol w:w="395"/>
        <w:gridCol w:w="1522"/>
        <w:gridCol w:w="1387"/>
        <w:gridCol w:w="1746"/>
        <w:gridCol w:w="2717"/>
      </w:tblGrid>
      <w:tr>
        <w:tblPrEx>
          <w:tblCellMar>
            <w:top w:w="0" w:type="dxa"/>
            <w:left w:w="108" w:type="dxa"/>
            <w:bottom w:w="0" w:type="dxa"/>
            <w:right w:w="108" w:type="dxa"/>
          </w:tblCellMar>
        </w:tblPrEx>
        <w:trPr>
          <w:wAfter w:w="1" w:type="dxa"/>
          <w:trHeight w:val="645" w:hRule="atLeast"/>
          <w:jc w:val="center"/>
        </w:trPr>
        <w:tc>
          <w:tcPr>
            <w:tcW w:w="0" w:type="auto"/>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b/>
                <w:bCs/>
                <w:kern w:val="0"/>
                <w:sz w:val="18"/>
                <w:szCs w:val="18"/>
              </w:rPr>
            </w:pPr>
            <w:r>
              <w:rPr>
                <w:rFonts w:hint="eastAsia" w:ascii="宋体" w:hAnsi="宋体" w:eastAsia="宋体" w:cs="宋体"/>
                <w:b/>
                <w:bCs/>
                <w:kern w:val="0"/>
                <w:sz w:val="18"/>
                <w:szCs w:val="18"/>
              </w:rPr>
              <w:t>序号</w:t>
            </w:r>
          </w:p>
        </w:tc>
        <w:tc>
          <w:tcPr>
            <w:tcW w:w="0" w:type="auto"/>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宋体"/>
                <w:b/>
                <w:bCs/>
                <w:kern w:val="0"/>
                <w:sz w:val="18"/>
                <w:szCs w:val="18"/>
              </w:rPr>
            </w:pPr>
            <w:r>
              <w:rPr>
                <w:rFonts w:hint="eastAsia" w:ascii="宋体" w:hAnsi="宋体" w:eastAsia="宋体" w:cs="宋体"/>
                <w:b/>
                <w:bCs/>
                <w:kern w:val="0"/>
                <w:sz w:val="18"/>
                <w:szCs w:val="18"/>
              </w:rPr>
              <w:t>类型</w:t>
            </w:r>
          </w:p>
        </w:tc>
        <w:tc>
          <w:tcPr>
            <w:tcW w:w="0" w:type="auto"/>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宋体"/>
                <w:b/>
                <w:bCs/>
                <w:kern w:val="0"/>
                <w:sz w:val="18"/>
                <w:szCs w:val="18"/>
              </w:rPr>
            </w:pPr>
            <w:r>
              <w:rPr>
                <w:rFonts w:hint="eastAsia" w:ascii="宋体" w:hAnsi="宋体" w:eastAsia="宋体" w:cs="宋体"/>
                <w:b/>
                <w:bCs/>
                <w:kern w:val="0"/>
                <w:sz w:val="18"/>
                <w:szCs w:val="18"/>
              </w:rPr>
              <w:t>功能项目名称</w:t>
            </w:r>
          </w:p>
        </w:tc>
        <w:tc>
          <w:tcPr>
            <w:tcW w:w="0" w:type="auto"/>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宋体"/>
                <w:b/>
                <w:bCs/>
                <w:kern w:val="0"/>
                <w:sz w:val="18"/>
                <w:szCs w:val="18"/>
              </w:rPr>
            </w:pPr>
            <w:r>
              <w:rPr>
                <w:rFonts w:hint="eastAsia" w:ascii="宋体" w:hAnsi="宋体" w:eastAsia="宋体" w:cs="宋体"/>
                <w:b/>
                <w:bCs/>
                <w:kern w:val="0"/>
                <w:sz w:val="18"/>
                <w:szCs w:val="18"/>
              </w:rPr>
              <w:t>数量（套）</w:t>
            </w:r>
          </w:p>
        </w:tc>
        <w:tc>
          <w:tcPr>
            <w:tcW w:w="0" w:type="auto"/>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宋体"/>
                <w:b/>
                <w:bCs/>
                <w:kern w:val="0"/>
                <w:sz w:val="18"/>
                <w:szCs w:val="18"/>
              </w:rPr>
            </w:pPr>
            <w:r>
              <w:rPr>
                <w:rFonts w:hint="eastAsia" w:ascii="宋体" w:hAnsi="宋体" w:eastAsia="宋体" w:cs="宋体"/>
                <w:b/>
                <w:bCs/>
                <w:kern w:val="0"/>
                <w:sz w:val="18"/>
                <w:szCs w:val="18"/>
              </w:rPr>
              <w:t>内容</w:t>
            </w:r>
          </w:p>
        </w:tc>
      </w:tr>
      <w:tr>
        <w:tblPrEx>
          <w:tblCellMar>
            <w:top w:w="0" w:type="dxa"/>
            <w:left w:w="108" w:type="dxa"/>
            <w:bottom w:w="0" w:type="dxa"/>
            <w:right w:w="108" w:type="dxa"/>
          </w:tblCellMar>
        </w:tblPrEx>
        <w:trPr>
          <w:wAfter w:w="1" w:type="dxa"/>
          <w:trHeight w:val="495" w:hRule="atLeast"/>
          <w:jc w:val="center"/>
        </w:trPr>
        <w:tc>
          <w:tcPr>
            <w:tcW w:w="0" w:type="auto"/>
            <w:gridSpan w:val="2"/>
            <w:tcBorders>
              <w:top w:val="nil"/>
              <w:left w:val="single" w:color="auto" w:sz="4" w:space="0"/>
              <w:bottom w:val="single" w:color="auto" w:sz="4" w:space="0"/>
              <w:right w:val="single" w:color="auto" w:sz="4" w:space="0"/>
            </w:tcBorders>
            <w:noWrap/>
            <w:vAlign w:val="center"/>
          </w:tcPr>
          <w:p>
            <w:pPr>
              <w:widowControl/>
              <w:spacing w:line="360" w:lineRule="auto"/>
              <w:jc w:val="center"/>
              <w:rPr>
                <w:rFonts w:ascii="彩虹粗仿宋" w:hAnsi="宋体" w:eastAsia="彩虹粗仿宋" w:cs="宋体"/>
                <w:kern w:val="0"/>
                <w:sz w:val="22"/>
              </w:rPr>
            </w:pPr>
            <w:r>
              <w:rPr>
                <w:rFonts w:hint="eastAsia" w:ascii="彩虹粗仿宋" w:hAnsi="宋体" w:eastAsia="彩虹粗仿宋" w:cs="宋体"/>
                <w:kern w:val="0"/>
                <w:sz w:val="22"/>
              </w:rPr>
              <w:t>1</w:t>
            </w:r>
          </w:p>
        </w:tc>
        <w:tc>
          <w:tcPr>
            <w:tcW w:w="0" w:type="auto"/>
            <w:gridSpan w:val="2"/>
            <w:tcBorders>
              <w:top w:val="nil"/>
              <w:left w:val="nil"/>
              <w:bottom w:val="single" w:color="auto" w:sz="4" w:space="0"/>
              <w:right w:val="single" w:color="auto" w:sz="4" w:space="0"/>
            </w:tcBorders>
            <w:vAlign w:val="center"/>
          </w:tcPr>
          <w:p>
            <w:pPr>
              <w:widowControl/>
              <w:spacing w:line="360" w:lineRule="auto"/>
              <w:jc w:val="center"/>
              <w:rPr>
                <w:rFonts w:ascii="彩虹粗仿宋" w:hAnsi="宋体" w:eastAsia="彩虹粗仿宋" w:cs="宋体"/>
                <w:kern w:val="0"/>
                <w:sz w:val="24"/>
                <w:szCs w:val="24"/>
              </w:rPr>
            </w:pPr>
            <w:r>
              <w:rPr>
                <w:rFonts w:hint="eastAsia" w:ascii="彩虹粗仿宋" w:hAnsi="宋体" w:eastAsia="彩虹粗仿宋" w:cs="宋体"/>
                <w:kern w:val="0"/>
                <w:sz w:val="24"/>
                <w:szCs w:val="24"/>
              </w:rPr>
              <w:t>软件投入</w:t>
            </w:r>
          </w:p>
        </w:tc>
        <w:tc>
          <w:tcPr>
            <w:tcW w:w="0" w:type="auto"/>
            <w:tcBorders>
              <w:top w:val="nil"/>
              <w:left w:val="nil"/>
              <w:bottom w:val="single" w:color="auto" w:sz="4" w:space="0"/>
              <w:right w:val="single" w:color="auto" w:sz="4" w:space="0"/>
            </w:tcBorders>
            <w:vAlign w:val="center"/>
          </w:tcPr>
          <w:p>
            <w:pPr>
              <w:widowControl/>
              <w:spacing w:line="360" w:lineRule="auto"/>
              <w:jc w:val="center"/>
              <w:rPr>
                <w:rFonts w:ascii="彩虹粗仿宋" w:hAnsi="宋体" w:eastAsia="彩虹粗仿宋" w:cs="宋体"/>
                <w:kern w:val="0"/>
                <w:sz w:val="22"/>
              </w:rPr>
            </w:pPr>
            <w:r>
              <w:rPr>
                <w:rFonts w:hint="eastAsia" w:ascii="彩虹粗仿宋" w:hAnsi="宋体" w:eastAsia="彩虹粗仿宋" w:cs="宋体"/>
                <w:kern w:val="0"/>
                <w:sz w:val="22"/>
              </w:rPr>
              <w:t>智慧校园信息化平台</w:t>
            </w:r>
          </w:p>
        </w:tc>
        <w:tc>
          <w:tcPr>
            <w:tcW w:w="0" w:type="auto"/>
            <w:tcBorders>
              <w:top w:val="nil"/>
              <w:left w:val="nil"/>
              <w:bottom w:val="single" w:color="auto" w:sz="4" w:space="0"/>
              <w:right w:val="single" w:color="auto" w:sz="4" w:space="0"/>
            </w:tcBorders>
            <w:vAlign w:val="center"/>
          </w:tcPr>
          <w:p>
            <w:pPr>
              <w:widowControl/>
              <w:spacing w:line="360" w:lineRule="auto"/>
              <w:jc w:val="center"/>
              <w:rPr>
                <w:rFonts w:ascii="彩虹粗仿宋" w:hAnsi="宋体" w:eastAsia="彩虹粗仿宋" w:cs="宋体"/>
                <w:kern w:val="0"/>
                <w:sz w:val="22"/>
              </w:rPr>
            </w:pPr>
            <w:r>
              <w:rPr>
                <w:rFonts w:hint="eastAsia" w:ascii="彩虹粗仿宋" w:hAnsi="宋体" w:eastAsia="彩虹粗仿宋" w:cs="宋体"/>
                <w:kern w:val="0"/>
                <w:sz w:val="22"/>
              </w:rPr>
              <w:t>1</w:t>
            </w:r>
          </w:p>
        </w:tc>
        <w:tc>
          <w:tcPr>
            <w:tcW w:w="0" w:type="auto"/>
            <w:tcBorders>
              <w:top w:val="nil"/>
              <w:left w:val="nil"/>
              <w:bottom w:val="single" w:color="auto" w:sz="4" w:space="0"/>
              <w:right w:val="single" w:color="auto" w:sz="4" w:space="0"/>
            </w:tcBorders>
            <w:vAlign w:val="center"/>
          </w:tcPr>
          <w:p>
            <w:pPr>
              <w:widowControl/>
              <w:spacing w:line="360" w:lineRule="auto"/>
              <w:jc w:val="left"/>
              <w:rPr>
                <w:rFonts w:ascii="彩虹粗仿宋" w:hAnsi="宋体" w:eastAsia="彩虹粗仿宋" w:cs="宋体"/>
                <w:kern w:val="0"/>
                <w:szCs w:val="21"/>
              </w:rPr>
            </w:pPr>
            <w:r>
              <w:rPr>
                <w:rFonts w:hint="eastAsia" w:ascii="彩虹粗仿宋" w:hAnsi="宋体" w:eastAsia="彩虹粗仿宋" w:cs="宋体"/>
                <w:kern w:val="0"/>
                <w:szCs w:val="21"/>
              </w:rPr>
              <w:t>见附件：项目需求说明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720" w:hRule="atLeast"/>
          <w:jc w:val="center"/>
        </w:trPr>
        <w:tc>
          <w:tcPr>
            <w:tcW w:w="908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徐州经邳州市新城中学智慧校园信息化平台软件项目需求说明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499" w:hRule="atLeast"/>
          <w:jc w:val="center"/>
        </w:trPr>
        <w:tc>
          <w:tcPr>
            <w:tcW w:w="9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2"/>
                <w:szCs w:val="22"/>
                <w:u w:val="none"/>
              </w:rPr>
            </w:pPr>
            <w:r>
              <w:rPr>
                <w:rFonts w:hint="eastAsia" w:ascii="华文宋体" w:hAnsi="华文宋体" w:eastAsia="华文宋体" w:cs="华文宋体"/>
                <w:b/>
                <w:bCs/>
                <w:i w:val="0"/>
                <w:iCs w:val="0"/>
                <w:color w:val="000000"/>
                <w:kern w:val="0"/>
                <w:sz w:val="22"/>
                <w:szCs w:val="22"/>
                <w:u w:val="none"/>
                <w:lang w:val="en-US" w:eastAsia="zh-CN" w:bidi="ar"/>
              </w:rPr>
              <w:t>子系统名称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2"/>
                <w:szCs w:val="22"/>
                <w:u w:val="none"/>
              </w:rPr>
            </w:pPr>
            <w:r>
              <w:rPr>
                <w:rFonts w:hint="eastAsia" w:ascii="华文宋体" w:hAnsi="华文宋体" w:eastAsia="华文宋体" w:cs="华文宋体"/>
                <w:b/>
                <w:bCs/>
                <w:i w:val="0"/>
                <w:iCs w:val="0"/>
                <w:color w:val="000000"/>
                <w:kern w:val="0"/>
                <w:sz w:val="22"/>
                <w:szCs w:val="22"/>
                <w:u w:val="none"/>
                <w:lang w:val="en-US" w:eastAsia="zh-CN" w:bidi="ar"/>
              </w:rPr>
              <w:t>功能模块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2"/>
                <w:szCs w:val="22"/>
                <w:u w:val="none"/>
              </w:rPr>
            </w:pPr>
            <w:r>
              <w:rPr>
                <w:rFonts w:hint="eastAsia" w:ascii="华文宋体" w:hAnsi="华文宋体" w:eastAsia="华文宋体" w:cs="华文宋体"/>
                <w:b/>
                <w:bCs/>
                <w:i w:val="0"/>
                <w:iCs w:val="0"/>
                <w:color w:val="000000"/>
                <w:kern w:val="0"/>
                <w:sz w:val="22"/>
                <w:szCs w:val="22"/>
                <w:u w:val="none"/>
                <w:lang w:val="en-US" w:eastAsia="zh-CN" w:bidi="ar"/>
              </w:rPr>
              <w:t>子功能</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2"/>
                <w:szCs w:val="22"/>
                <w:u w:val="none"/>
              </w:rPr>
            </w:pPr>
            <w:r>
              <w:rPr>
                <w:rFonts w:hint="eastAsia" w:ascii="华文宋体" w:hAnsi="华文宋体" w:eastAsia="华文宋体" w:cs="华文宋体"/>
                <w:b/>
                <w:bCs/>
                <w:i w:val="0"/>
                <w:iCs w:val="0"/>
                <w:color w:val="000000"/>
                <w:kern w:val="0"/>
                <w:sz w:val="22"/>
                <w:szCs w:val="22"/>
                <w:u w:val="none"/>
                <w:lang w:val="en-US" w:eastAsia="zh-CN" w:bidi="ar"/>
              </w:rPr>
              <w:t>功能需求说明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0" w:hRule="atLeast"/>
          <w:jc w:val="center"/>
        </w:trPr>
        <w:tc>
          <w:tcPr>
            <w:tcW w:w="9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智慧校园统一认证基础管理平台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统一认证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统一身份认证</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1．技术要求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（1）业务无关性，与被保护应用系统的业务逻辑无关，支持多应用系统之间的单点登录。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（2）平台无关性，具有平台无关性的特点。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（3）标准化，以CAS单点登录认证解决方案为基础进行深度开发，支持LDAP、JAAS、HTTP、SSL、TLS、SAML、OAuth等标准。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高安全性，通过整体部署的安全性、安全审计、密码策略和行为统计等多种控制手段保证平台高度安全。支持集群、热备、负载均衡部署。对个人用户而言，提供恶意登录锁定、二次登录、动态码登录、密码移动提醒等功能，增加帐号的安全性。</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（5）可集成性，支持对不同技术中台、不同开发模式的应用系统的认证集成和单点登录集成，提供多种认证接口。提供基于反向代理的集成方式，集成方接入简单，适用于不同语言。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（6）简单易用性，提供友好易用的界面，更符合学校用户的操作习惯。集中的身份帐号管理，不仅提供了用户帐号的维护，还提供了便捷的基于Excel文件的批量操作功能。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（7）高稳定性，成熟的目录服务器技术，支持多主复制，可实现远程灾备的部署要求。对平台相关的设备和服务进行实时监控，出现异常时会自动预警，并立刻通知相关责任人，保证系统安全稳定运行。</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（8）适应学校管理模式，需支持用户多重身份属性的定义和存储，符合学校教职工多重身份、多重职务的现状。</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（9）开放性，OAuth标准协议是目前互联网业界普遍接受的认证授权体系。通过身份认证开放OAuth的能力，为独立开发应用的师生提供基础。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（10）前端适配的浏览器主流版本有谷歌、火狐、EDGE。</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（11）该项目为校内本地化部署，适配国产超融合虚拟化平台。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2．功能要求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管理员能够管理全校的身份数据及其权限关系，查看统计全校身份数据的管理状态和使用状态，审计全校身份数据管理和使用的问题，监控身份管理平台各系统服务的运作状态。须提供如下内容：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（1）帐号管理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用于全校身份帐号数据的增加、删除、修改、过期设置、锁定/解锁和加入组、批量操作、账号同步、账号统计、联合登录、转为校友等功能。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（2）认证管理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提供对全校身份认证需要集成应用的管理功能，以及认证统计汇总。①认证应用管理：用于管理全校已经集成的所有应用系统，每个集成的应用系统均需要在此注册。</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②认证统计管理：展现平台帐号的认证情况，包括认证成功和认证失败的概况，同时系统还提供各个认证细节的查询，包括认证的帐号、认证的时间、认证的IP等。③应用日志管理：管理员可以查询到认证失败的日志，包括认证失败的原因。可以实现应用访问统计，管理员可以看到一个时间段内，通过身份认证访问系统的统计信息。④OAuth注册应用管理：注册通过Oauth2协议访问的系统，包括应用名称、客户端ID、客户端密钥、授权回调地址、基础授权范围、扩展授权范围。通过提供OAuth2.0接口，用户可以使用第三方用户账号登录平台，如微博、QQ、钉钉、微信、阿里云等账号绑定登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（3）授权管理实现账户访问应用的授权，应用内部的权限控制是应用内部自己处理，包含群组授权、用户授权、批量授权、授权统计。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（4）系统管理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包含对用户在平台内的所有操作记录进行查询，还可以配置日志迁移任务；对整个系统运行需要的参数设置，包括密码策略定义、系统参数信息等；提供使用LDAP接口的集成应用需要的集成账号，比如VPN、WIFI等。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（5）身份认证能力</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基于统一用户身份库，对校内各应用系统进行身份认证集成，实现跨服务器及业务应用的身份认证服务及代理，确保跨业务系统身份认证识别。</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（6）帐号安全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帐号密码以不可逆方式存储，只存储在身份认证中，其他系统接触不到密码；帐号动态锁定，账号被恶意攻击后，会被锁定不许登录，以邮件和短信方式提醒用户；密码变动有通知，密码有变动时，系统会通过邮件和短信方式提醒用户，用户也可看到密码修改历史；单点登录控制，用户可设置同一时刻只有一个登录端（PC浏览器和移动客户端可共存）；用户可以进行二次登录设置，如果某一个应用被设置为需要二次登录，那么在访问该应用时，用户需要再次输入密码（或动态验证码）。</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（7）审计管理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为管理员及时发现问题之用，可发现帐号、认证和授权中出现的一些问题，包含账号审计、认证审计、授权审计、差异审计等支持自定义审计的阈值来满足学校个性化审计要求。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（8）监控管理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监控管理为管理员提供了掌握系统各项服务运行状态的可能性，管理员可在实时掌握系统的运行状态。包括服务器情况、会话情况、监控配置。</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（9）数据存储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支持目录数据库（LDAP）和结构化数据库（oracle、mysql等）存储。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（10）对外服务功能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集成接口，提供单点登录服务，从而使学校现有各个应用系统和后续新建业务系统实现统一身份认证和单点登录；在招标人没有融合信息服务门户的情况下，系统提供单点登录面板模板。在提供融合信息服务门户的情况下，提供必须的接口和条件，建立应用系统的单点登录面板。</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（11）身份自助服务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主要面向学校内的最终用户，包括所有学生、教师和工作人员。身份自助服务需满足用户对自己帐号信息和密码信息的维护需求。包括：</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找回密码、账号绑定、关联多个账号、个人认证信息查看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（12）生物特征识别。支持人脸、指纹登录。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407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基础管理平台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管理端</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综合服务管理平台系统可汇聚校内各个应用系统的动态数据，然后通过平台的数据清洗将教育部需要的动态数据，推送到前置API接口，API接口再转换数据格式，将动态数据推送到教育部数据中台。对不支持数据推送的上级主管单位系统，可实现定制化导出相关数据表单。（投标人需提供功能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平台支持定制接口开发，可免费支持其它系统接入，可通过拓展、解耦、补缺，来解决随着学校信息化不断深入 和各种新业务需求的涌现，同时传统业务系统无法快速满足的学校 业务需求，引入低代码、组件化的信息化服务模式，自主化搭建学校应用，快速搭建平台，突破传统的单体业务系统开发的技术瓶颈，实现信息化服务供给模式改革。快速将各种微应用下达到用户层，在此集成上经验不断迭代、持续发育，从而形成一个开放的校园综合管理服务平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 用户管理支持对用户基本信息、单位组织架构、用户扩展属性、用户角色、单位认证管理的个性化管理。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 学校可以根据自身的情况，在平台上进行组织架构的个性化管理。支持单次管理和批量管理，为学校提供导入模板，满足学校批量录入信息的需求，自动生成学校的组织架构和人员信息。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 平台上的应用只要涉及到人员架构信息，都会从组织架构里统一调取。</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4.可以通过应用市场和自建应用两种方式添加学校的应用库。</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在确定好所需应用后，可以对应用自定义分类，并对单位分类和应用进行增、删、改操作；对单个应用进行修改基本信息、设置管理员操作；另外，可以从应用管理直接进入每个应用对应的后台。3.管理完成后，可以预览调整应用显示顺序及效果，操作完成后，配置好的单位应用中心将同步显示在移动端和个人空间界面管理中。</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6.提供灵活的终端管理工具，具备可视化全功能后台，学校可以自定义设置学校门户、移动端功能界面、个人空间、大数据屏展示和管理后台。（投标人需提供功能演示视频）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门户配置：可以快速开通门户，输入门户基本信息即可定制域名，要求预置多套精美模板，学校根据情况随意选择，快速进行个性化配置，支持多种尺寸版型，同时自适应手机端，内置多种功能控件，后台支持自助管理和维护，一键发布立即生效。（投标人需提供功能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8.移动端配置：需要支持对首页显示的banner、应用、通讯录进行配置和管理。可根据角色的不同配置专属的角色首页界面。（投标人需提供功能演示视频）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9.个人空间配置：需要支持页面、左侧菜单、工作台、PC端应用配置，可以将最近使用的模块加入常用当中，减少信息干扰。可根据角色的不同配置专属的界面。</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10.大数据屏管理：需要主要包括版面布局、模块管理和大屏地址管理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11.管理后台：需要支持按角色对二级管理员后台的权限设置。</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12.数据中心需要汇聚学校应用数据，并实现其他应用开发对数据的统一调用。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13.在开放平台，需要为单位开发者提供开发环境、数据接口和开发标准，第三方公司和学校可以基于该平台，按照标准开发应用，对接到该平台。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14.满足管理员管理、单位基础信息设置、管理员权限设置、单位转让的要求。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231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用户端</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1.需要为微服务平台有配套的PC端使用入口，根据用户不同的身份，使用的微应用不同，满足用户个人的学习、教学、管理、活动等需求，并且包含课程、笔记、消息、收藏、小组、云盘等基础功能。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2.需要通过管理后台对学校组织架构和应用设置后，会同步到相应的移动端。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3.移动端需要满足全业务场景需求，提供教学、管理和校园活动等各项服务。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要满足管理员通过终端配置可以快速开通门户，输入门户基本信息即可定制域名，后台预置多套精美模板，管理员可根据单位情况随意选择，快速进行门户个性化配置，让学校拥有自己定制的个性化门户网站。</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5.需要支持将用户行为数据、应用分析数据以及特色数据以接口形式展示到学校不同场地的大屏上。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819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系统应用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校园应用</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1．通讯录管理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1）需要提供基于单位组织架构的通讯录和对应的管理功能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2）需要支持导入Excel表格直接生成单位通讯录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3）需要支持增、删、查、改单位部门，部门可以无限多级扩展，并对部门进行排序</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4）需要支持设置每个部门的权限，设置部门在通讯录显示或隐藏，是否有查看其他部门特权</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5）需要支持设置部门主管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6）需要支持导出完整单位通讯录为Excel表格</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7）需要支持用户通过搜索姓名、手机号码查找单位内成员</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8）需要支持用户在通讯录中与他人一键发消息、语音聊天、拨打电话、发送邮件</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2.通知、站内信函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1）需要提供收、发通知/站内信函功能并且支持在PC端和移动端使用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2）通知/站内信函需要支持编辑并发送文本、图片、音视频、链接、文档、小组、投票等内容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3）通知/站内信函需要具有查看已读/未读人员功能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4）通知、站内信函需要具有未读提醒功能。支持通过APP内推送、邮箱、短信、智能语音电话、微信等方式提醒未读人员及时阅读通知/站内信函</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3.即时通讯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1）需要提供即时通讯（单聊、群聊）功能并且支持在移动端、web端、PC客户端使用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2）需要支持用户自建文件夹对会话进行自由分类管理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3）会话需要支持发送文本、音频、图片、视频、文档、笔记、直播等多种内容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4）会话需要支持查看对方已读未读状态；群聊具有未读提醒功能。支持通过APP内推送、邮箱、短信、智能语音电话、微信等方式提醒未读人员及时阅读消息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5）需要支持用户将选定会话在消息列表置顶</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6）需要支持按日期、图片、视频、附件筛选聊天记录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7）群聊需要支持设置消息免打扰；支持查看群聊历史</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8）单聊需要支持发起语音聊天；群聊支持发起投票/问卷、签到、抢答、选人、评分、直播等活动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4.云盘</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1）需要提供100G容量的个人云盘并且支持在移动端、web端、PC客户端使用（质保期内免费）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2）需要支持用户通过手机、电脑上传文件到个人云盘；支持将他人通过消息、笔记、小组等方式发送、公开的文件转存到个人云盘</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3）需要支持用户在个人云盘内创建文件夹进行自由分类管理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4）需要支持按图片、音乐、视频、文档和其他分类筛选查看个人云盘内的文件</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5.笔记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1）需要提供在线笔记本功能，支持用户记录、创作、分享富媒体内容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2）需要支持用户创建文件夹对笔记进行自由分类管理；支持用户将选定文件夹在列表置顶</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3）笔记编写需要支持文本、图片、视频、文档、支持实时录音上传、需要支持插入个人云盘内的文件、支持插入投票、评分、直播等内容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4）笔记编写需要支持设置格式、字体颜色、字体大小、字体加粗、下划线等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5）需要支持用户自定义笔记/文件夹是否公开给他人阅读；支持用户自定义笔记公开范围</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6）需要支持用户查看他人公开的笔记时评论、点赞、转发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7）需要支持用户对有权限查看的他人笔记进行分组管理、按分组查看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6.小组</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1）需要支持用户创建工作小组</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2）需要支持小组创建者、管理员从单位通讯录批量选择人员加入小组</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小组需要具有话题、资料模块；话题模块支持小组成员发帖、回帖、点赞、转发；资料模块支持小组管理员从收藏、笔记、云盘、电脑上传资料文件并建文件夹分类管理；小组成员可以查看、下载资料模块的文件</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4）每个小组需要都具有统计模块；支持查看本小组成员积分排行、签到排行、发表话题数排行、话题被阅读/点赞/回复数排行等维度的数据统计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5）需要支持自主添加待办事项，并设置提醒时间、优先级、标签</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6）需要支持手动对待办事项进行排序、删除操作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7）需要满足可便捷直观的标记事项的完成情况</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8）需要支持待办事项按照时间、优先级、标签进行排序</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9）需要支持待办事项多终端进行同步</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10）需要支持从消息、笔记、通知等一键添加至待办</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会议室预约</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1.需要支持发起会议，并可选择地点、日期、主题、附件、参会人员、签到方式等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2.需要地点可选择会议室，并进行可视化预约，同一时间预约被占后</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3.需要满足参与人会收到会议通知，并可选择参会或请假</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4.需要满足支持发送会议提醒，会议前可按时提醒</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5.需要满足支持设置二维码签到，支持设置是否签退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6.需要满足参会人参会时可扫码进行签到签退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7.需要支持上传会议纪要，上传会议纪要后所有与会人员均可收到通知，并进行查看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8.需要满足与会相关人员跟针对会议内容进行讨论</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9.需要满足管理员可查看会议统计：会议数量、时长、参与人数、签到人数、趋势图、会议室使用排行</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10.需要满足管理员可设置会议类型，会议发布权限及会议审批权限</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11.需要满足管理员可查看会议列表：包括主题、时间、地点、发起人、会议状态、参与人数、签到人数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12.需要满足管理员可导出参与人员/签到人员名单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13.需要满足管理员可导出会议纪要</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14.需满足管理员可进行会议室管理：添加会议室、设置会议室规则</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审批申请</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1.需要满足汇总所有审批处理，包括待审批、已审批和抄送的，支持批量处理审批请求，移动端和PC端均可使用。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校园生活</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1.活动管理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1）需要支持对单位已发布的各类活动进行统一检索，便于读者快速查找获取相关的活动信息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2）需要支持精炼检索，提供各类活动分类聚类检索，如学术、会议、社团等，让检索结果更加精准化</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3）需要支持按活动进行状态筛选分类，包括进行中、待开始、已结束、待发布、待审核、已下架。其中，待发布、待审核、已下架三种状态仅活动管理员可见</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4）需要支持活动信息卡片式展示，包括活动宣传图、活动当前进行状态、当前活动报名状态、活动名称、活动时间、活动地点、活动主办方、活动类型、活动浏览量、活动报名量、评论量、评分等信息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5）需要支持活动详细信息展示，包括活动详情、集锦和展览</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支持活动详情展示，包括活动宣传图、活动当前进行状态、当前活动评分、名称、时间、地点、类型、主办方、报名人数、介绍、评论区数据、当前报名状态、当前报名名单、当前活动收藏状态等信息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6）需要支持活动集锦展示，以富媒体形式展示并记录活动过程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7）需要支持活动报名机制，实现读者在线报名/取消报名活动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8）需要支持活动评论机制，包括对于评论的点赞与持续回复的交互设计。活动管理员可自定义开启/关闭活动评论区</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9）需要支持活动的收藏功能，用户可收藏/取消收藏活动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10）需要支持活动分享机制，用户可将活动信息快速转发到消息、小组、微信好友、朋友圈、QQ等传播渠道</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11）需要提供“我的活动”查询并管理我创建的的活动、我参与的活动、我收藏的活动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12）需要支持创建活动，包括活动banner图上传、活动标题、活动时间、活动地点、活动类型、活动主办方、活动介绍、是否显示报名人数、是否限制报名人数、是否显示报名名单、报名日期限制、报名表单设置、报名审批设置、作品设置、是否开放评论区等活动信息的编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13）需要支持自定义报名表单，包括随机拖拽各个基础字段（单行输入、多行输入、数字输入、日期、单选、多选、下拉框、下拉复选、说明文字等）和高级字段（图片、附件、子表单等），便于用户填写个人信息，快速收集活动报名人员数据，如姓名、性别、联系方式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14）需要支持报名审批机制，实现用户报名成功同时提交活动管理员审批，审批通过即报名成功</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15）需要支持生成活动二维码，实现二维码快速转发到消息、小组、微信好友、朋友圈、QQ等传播渠道</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16）支持用户自主上传活动作品。活动管理员可自定义设置开启/关闭活动作品上传</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17）需提供单一活动的管理，包括发活动通知、发签到、报名名单、签到统计、编辑活动、活动集锦、下架活动等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18）需支持发活动通知，面向活动已报名的用户传递活动信息，将通知、图片、文档和视频等资源融合，实时统计通知的未读/已读信息情况，实现活动进度的有效监管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19）需要支持活动报名名单的数据导出</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20）需支持活动签到数据的统一呈现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21）需要支持活动集锦的编辑管理，实现基于活动过程快速记录并发布活动信息，管理员可编辑活动文案以及上传活动图片、活动视频等，以富媒体形式展现活动集锦</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22）需支持活动作品展览的管理，实现活动作品的上传和展示</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23）需支持活动发布审核机制，活动创建人创建活动后需提交审核，单位负责人审核通过后正式发布活动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24）需支持活动下架功能，实现活动信息卡片在用户端的隐藏</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2.校历公告</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1）需要支持在后台按时间、地点、内容、责任人等字段添加公告内容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2）后台需要支持校历公告的导入、导出、查询等操作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3）需要支持用户在pc端和移动端查看校历公告</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4）需支持用户基于校历公告添加个人备忘录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3.资讯聚合</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需要满足通过资讯了解到校园的最新公告、活动等信息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4.阅读数据</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需满足通过对老师和学生阅读行为的统计分析，得出阅读关键词、阅读时长等阅读数据，并设置阅读排行、阅读挑战等功能，鼓励老师和学生的阅读。此外，根据阅读习惯，后台会个性化推荐一些相关书籍，老师和学生可以一键开始阅读。有利于帮助学生培养阅读习惯，提高阅读效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27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教学管理模块</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学生空间： 1）需满足学生进行校历、课表、选课、成绩、学业进程、考试信息、个人信息、空闲教室、学籍预警、教务通知的查询。（投标人需提供功能演示视频）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2）需提供网络云盘功能，提供给全校师生进行资料上传、下载、相关学习文件保存</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1）需满足教师端可进行个人信息、教务通知、教学任务、课表、监考信息、学生成绩、空教室、全校性课表、校历的查询。</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教师空间：2）需支持手机调课、停课、补课、借空教室等各类申请审批，并发送通知到审批人和申请人，并自动变更课表。支持调停课申请人因公因私分类申请，可在单条调课申请信息中添加多门课程，实现调课课时量的统一核算。（投标人需提供功能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3）需满足教师端通过课表查询上课相关资料，可对应教学任务撰写教师日志和在线记录考勤状态</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4）需支持手机端进行签到、在线测试、选人、发放资料、投屏等操作。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 xml:space="preserve">5）支持移动端APP查询用户个人课表，支持从课表直接查看课程上课地点、班级等信息，支持上课地点设置为线上三方直播平台，如ZOOM、腾讯会议等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 xml:space="preserve">6）支持可以通过课表查询上课相关资料，根据课程名称推送相关资源，并可对接学校的教学平台，直接进入此课程进行签到、在线测试、选人、发放资料等课堂活动。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 xml:space="preserve">7）系统界面提供智能引导客服功能，既可以在线与智能客服问答，解决系统操作和使用问题，也可以转人工在线，为操作员和师生提供便捷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管理空间：1）需支持管理者通过手机查询全校课表，如班级课表、教师课表、课程课表、教室课表及考试安排信息查询；</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2）需支持全校学生数据、教师数据、课程数据的查询统计分析。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8190" w:hRule="atLeast"/>
          <w:jc w:val="center"/>
        </w:trPr>
        <w:tc>
          <w:tcPr>
            <w:tcW w:w="9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智慧食堂银校消费系统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基础平台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基础平台</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▲1、基础人员管理（提供真实演示视频）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支持人员组织管理，可设置账号名称、账号类型、账号代码、身份证号码、性别、卡号、人员照片，可单独设置账号权限管理。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支持根据账号名称、人员账号、身份证号、卡号、角色、性别、手机号、是否采集照片、特征值状态、卡状态查询人员账号。</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支持批量下发/批量撤回人员特征值，查看单一账号人脸特征值状态。</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支持开启/关闭单一账户的人脸识别权限。</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▲2、权限管理（提供真实演示视频）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支持自由配置角色权限，可自由配置按钮权限、组织管理权限、部门数据权限、消费营业组权限、PC端路由（页面）权限、手机端导航（页面）权限。</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支持账号管理页面单独配置单个账号的角色权限。</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▲3、日志管理（提供真实演示视频）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支持查看、导出、删除日志，支持查看日志信息码、日志来源、操作IP、响应代码、操作时间，支持保存日志≥100000条。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▲4、系统应支持通过建设银行智慧食堂充值系统账户。（提供真实演示视频）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▲5、系统应支持通过建设银行智慧食堂手机端和PC端查询消费记录、充值记录和账户余额。（提供真实演示视频）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▲6、系统应支持通过建设银行校园E码通实现账户绑定、账户充值、余额查询。（提供产品功能截图）</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7、系统应支持通过安全硬件加密模块完成数字人民币硬钱包的支付交易结算。</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▲8、投标人应具有智慧校园银校平台计算机软件著作权登记证书。（提供软件著作权登记证书）</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▲9、系统应支持使用建设银行龙支付进行账户充值，用户点击支付后，应能顺畅跳转至建行H5龙支付界面，完成安全支付流程。（投标人应提供建设银行龙支付充值功能截图并加盖投标人公章）</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10、系统应支持用户通过中国建设银行手机银行APP内“校园卡充值”完成校园卡账户充值、实时余额查询等业务操作。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▲11、系统应支持发放代金券，可查看代金券发放明细和扣除明细，系统可查看代金券营业报表。（投标人应提供软件功能截图并加盖投标人公章）</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▲12、系统应支持卡片授权功能。（投标人应提供软件功能截图并加盖投标人公章）</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▲13、系统支持信创系统，应支持国产操作系统和数据库。（投标人应提供国产操作系统和数据库的互认证证书）</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14、系统应支持月末结算封账机制，通过配置化策略阻断建行支付渠道在关键时段的操作，确保账务周期完整性，规避结算日充值延迟到账导致的跨月账务错位。</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15、月末封账精细化控制项至少包含：可设置月末前的天数、具体禁用时间段（例：18:00-24:00）、友好的提示语。</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16、系统应支持月初封账控制项设置：可设置月初后的天数、每周几。</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17、系统应支持每日自动调用建行外联平台获取交易流水，完成与本地系统的账务核对。对账字段需至少覆盖订单号、交易时间、金额、用户ID、交易状态，对账完成提供对账结果可视化看板（如“对账结果一致”）。</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18、系统报表丰富：各用户、各营业组、各区域、消费终端的消费明细及汇总统计信息，提供系统年报、月报、日报、周报等，也可自定义选择时间生成报表；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19、采用多级科目、借贷记账法，完全按照国家财政部校园财务的标准，实现与财务系统的无缝链接；</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20、商户管理，对校内所有商户进行管理和权限分配，各个商户分权限、分区域对自己的营业帐目进行查询和打印。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231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消费系统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餐饮消费管理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支持金额、定额、快捷菜单等扣费模式；</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可指定卡类别和终端定向消费；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支持自定义设置餐次及时间段；</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可根据身份类别进行优惠打折；</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可根据商户类型进行管理费用收取；</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支持设置终端机最大脱机时间，超时禁止消费，联网后自动恢复；</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支持设置餐次消费限额和日消费限额，超额须密码验证。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198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客户中心模块</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支持卡类型和挂失类型管理；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支持客户批次和客户身份管理；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支持客户部门管理；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支持客户信息管理；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客户信息数据支持自定义扩展字段；</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支持过期黑名单管理。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6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制卡中心模块</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支持各类卡务操作，包括制卡、挂失/解挂、补卡、注销等；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支持基本用户信息管理，支持从三方系统同步、文件导入或手工操作；信息维护支持批量操作；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支持副卡管理；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支持用户照片批量导入或实时联机证照拍摄采集；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支持各类功能卡的发放、挂失、补卡等操作；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支持存款、取款、领款、消费纠错、暂存款领取、修改卡失效期、修改消费密码、退卡等持卡人操作；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支持批量/批次挂失和批量/批次注销；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支持指纹采集及管理。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在线填写个人制卡信息（姓名、身份证号、学号、班级、年级等），支持通过在线拍照或上传照片的形式上传个人人脸照片，并支持照片审核，信息收集完成系统自动生成制卡订单，用户可通过姓名、学号、身份证号查询制卡订单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结算中心模块</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支持对出纳账目和结算账目进行结转；</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支持交易未决管理，支持自动处理和手工处理；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支持对批次注销客户的账户余额进行领取；</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支持卡务费、卡押金管理，其中，补卡费支持挂账；</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支持结算报表管理，作为商户、职员进行账目结算的凭证；</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支持平衡报表，体现收支汇总情况；</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支持各类客户信息查询，包括但不限于交易明细、交易统计、注销账户等；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支持各类审计信息查询，包括但不限于存取款审计、终端机审计等；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支持各类统计分析，包括但不限于管理费账目、出纳交易、终端交易、打折账目等；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支持定制报表管理。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132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补助系统</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支持补助计划的生成、审查、调整、提交生效和撤销；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 xml:space="preserve">支持自动生成和文件导入补助；支持按卡类型设置不同补助金额；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支持文件导入充值补助、冻结金额、三方系统结转金额等代发款项；</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支持明细查询和统计报表。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231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数据采集系统</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支持非智能设备接入，完成数据的上传下达；</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兼容交易类和身份识别类终端设备；兼容TCP/IP直连和网关/采集器级连；</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支持设备运行参数下发；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支持黑/白名单下发；</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支持交易记录、身份识别记录和日志记录上传；</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支持业务处理相关的联机通信；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支持设备运行状态上传。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231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虚拟卡基础应用服务</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虚拟校园卡以H5轻应用为载体，支持嵌入多种APP；</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虚拟卡二维码支持动态加密、自动更新，与后台通信支持加密传输；</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 xml:space="preserve">支持启用/关闭用户的虚拟卡功能；支持为临时人员开通虚拟卡功能的审批管理；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支持按校园卡卡类型分别设置其虚拟卡功能的启用/关闭；</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开通后虚拟卡与校园卡账户绑定；</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虚拟卡支持线下交易支付，支持“扫一扫”支付，使用校园卡余额，余额不足时可使用三方支付渠道完成支付，支持“二维码”支付，使用校园卡余额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运维稽核平台</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支持系统检测、设备监控、业务监控、安全检测、性能检测和拓扑图展示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90" w:hRule="atLeast"/>
          <w:jc w:val="center"/>
        </w:trPr>
        <w:tc>
          <w:tcPr>
            <w:tcW w:w="9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洗衣房自助消费管理系统</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用户管理模块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Style w:val="19"/>
                <w:lang w:val="en-US" w:eastAsia="zh-CN" w:bidi="ar"/>
              </w:rPr>
              <w:t>​​</w:t>
            </w:r>
            <w:r>
              <w:rPr>
                <w:rStyle w:val="20"/>
                <w:lang w:val="en-US" w:eastAsia="zh-CN" w:bidi="ar"/>
              </w:rPr>
              <w:t>多角色权限控制</w:t>
            </w:r>
            <w:r>
              <w:rPr>
                <w:rStyle w:val="19"/>
                <w:lang w:val="en-US" w:eastAsia="zh-CN" w:bidi="ar"/>
              </w:rPr>
              <w:t>​</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用户分级管理（普通用户、设备维护员、管理员），权限精确到功能按钮级（如普通用户仅可下单、查询；维护员可报修；管理员可配置参数）。登录需双重验证（手机号+动态验证码），连续3次失败自动锁定账户30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用户注册与身份认证</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支持微信/手机号一键注册，自动绑定学生证/工牌信息（适用于校园/企业场景）。实名认证需上传身份证正反面并联网核验，数据加密存储。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设备管理模块​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Style w:val="19"/>
                <w:lang w:val="en-US" w:eastAsia="zh-CN" w:bidi="ar"/>
              </w:rPr>
              <w:t>​​</w:t>
            </w:r>
            <w:r>
              <w:rPr>
                <w:rStyle w:val="20"/>
                <w:lang w:val="en-US" w:eastAsia="zh-CN" w:bidi="ar"/>
              </w:rPr>
              <w:t>设备状态监控</w:t>
            </w:r>
            <w:r>
              <w:rPr>
                <w:rStyle w:val="19"/>
                <w:lang w:val="en-US" w:eastAsia="zh-CN" w:bidi="ar"/>
              </w:rPr>
              <w:t>​</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实时显示洗衣机/烘干机状态（空闲、运行、故障），故障时自动推送告警至维护员APP。能耗监控：记录单次洗涤水电消耗（精确至0.01kWh/0.01m³），超标10%自动触发检修提示。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故障预警与报修​</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内置AI诊断引擎，通过电流、振动数据预测设备故障（准确率≥95%）。用户可扫码提交故障图片/视频，系统自动归类为“机械故障”或“系统错误”并分配工单。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9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支付与订单管理模块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多支付渠道接入</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支持龙支付、校园一卡通、预付卡支付，支付成功率≥99.9%。预付卡余额不足时自动切换其他支付方式，避免流程中断。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订单实时生成与追溯​</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订单包含洗涤参数（水温、时长）、设备编号、消费金额，数据保留≥3年。支持订单异常申诉（如扣费未启动），15分钟内自动审核退款。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9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库存与耗材管理模块​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洗涤剂智能投放​</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内置称重传感器，根据衣物重量自动计算洗涤剂用量（误差±2ml），支持低液量预警。耗材库存联动：当库存低于10%时自动提醒管理员下单补货。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​​耗材使用追溯​</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每笔订单关联消耗的洗涤剂批次号，支持扫码查验供应商信息及质检报告。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90" w:hRule="atLeast"/>
          <w:jc w:val="center"/>
        </w:trPr>
        <w:tc>
          <w:tcPr>
            <w:tcW w:w="9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自助图书售借系统</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用户服务模块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​​身份认证与权限管理​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支持多类型证件识别：二代身份证、IC读者证、RFID卡、社保卡、二维码读者证（需兼容ISO 14443A/15693标准）。隐私保护功能：姓名、证件号等敏感信息自动脱敏显示（如“张*三”）。权限分级：普通用户（借阅/查询）、管理员（设备配置/数据导出）、维护员（故障报修）。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图书检索与导航​</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多维度检索：支持关键词、ISBN、分类号、作者名混合检索，响应时间≤1秒。智能导航：实时显示图书定位（架位号+层架标），支持3D地图导航。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自助借还书</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本识别能力：单次操作支持≥5本图书同时借还（RFID读写距离≥25cm）。自动状态转换：根据标签状态自动切换借书/还书模式，无需手动选择。离线模式：断网时可暂存操作记录，联网后自动同步（数据丢失率≤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自助购书​</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支持龙支付、校园一卡通、预付卡支付，支付成功率≥99.9%。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图书管理模块​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库存管理​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自动盘点：手持盘点仪支持WiFi/BT传输，盘点速度≥20册/秒，错架识别准确率≥98%。动态库存更新：借还/购书操作后实时刷新馆藏数据。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​​图书状态跟踪​</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全流程监控：记录图书从采购、编目到流通的全生命周期状态。异常预警：磁条消磁/标签损坏时自动报警。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支付与交易模块​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支付处理​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多场景适配：支持图书购买、逾期罚金、预付款充值。交易限额：单笔支付上限可设（默认500元），超限需管理员审批。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交易记录管理​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全链路追溯：记录支付时间、金额、方式，数据保留≥3年。异常处理：支付失败自动触发退款，15分钟内到账。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系统管理模块​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Style w:val="19"/>
                <w:lang w:val="en-US" w:eastAsia="zh-CN" w:bidi="ar"/>
              </w:rPr>
              <w:t>​​</w:t>
            </w:r>
            <w:r>
              <w:rPr>
                <w:rStyle w:val="20"/>
                <w:lang w:val="en-US" w:eastAsia="zh-CN" w:bidi="ar"/>
              </w:rPr>
              <w:t>远程监控与维护</w:t>
            </w:r>
            <w:r>
              <w:rPr>
                <w:rStyle w:val="19"/>
                <w:lang w:val="en-US" w:eastAsia="zh-CN" w:bidi="ar"/>
              </w:rPr>
              <w:t>​</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状态实时看板：设备在线率、故障率、使用峰值热力图可视化。远程升级：支持批量下发固件/软件更新，断点续传成功率≥99%。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数据管理​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自动备份：每日凌晨备份至云端+本地，故障恢复时间≤15分钟。统计报表：生成借阅量、销售额、读者画像报告，支持PDF/JPG导出。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平台财务管理系统</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基础管理模块​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组织机构管理​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多层级组织架构，实现独立账套与合并报表的自动映射。支持组织架构批量导入/导出，数据冲突时自动检测重复编码并预警。​​权限需求​​：基于RBAC模型控制数据权限，权限变更实时生效（延迟≤3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9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​​科目体系管理​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预置符合会计准则的科目模板（企业会计/政府会计），支持10级科目自定义。科目属性联动控制（如银行科目需绑定结算方式，现金科目强制参与现金流分配）。​​数据需求​​：科目变更时自动同步至历史账套，版本追溯保留≥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汇率与税率管理​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支持多币种实时汇率对接央行接口，汇兑损益自动生成凭证。增值税/所得税率按政策动态更新，变更时自动触发税务报表重算。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99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账务管理模块​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凭证自动化处理​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Style w:val="20"/>
                <w:lang w:val="en-US" w:eastAsia="zh-CN" w:bidi="ar"/>
              </w:rPr>
              <w:t>支持多源凭证生成：业务系统接口凭证（如采购单→应付凭证）、AI识别票据生成凭证（OCR准确率≥99%）、手动录入凭证。</w:t>
            </w:r>
            <w:r>
              <w:rPr>
                <w:rStyle w:val="19"/>
                <w:lang w:val="en-US" w:eastAsia="zh-CN" w:bidi="ar"/>
              </w:rPr>
              <w:t>​​</w:t>
            </w:r>
            <w:r>
              <w:rPr>
                <w:rStyle w:val="20"/>
                <w:lang w:val="en-US" w:eastAsia="zh-CN" w:bidi="ar"/>
              </w:rPr>
              <w:t>控制需求</w:t>
            </w:r>
            <w:r>
              <w:rPr>
                <w:rStyle w:val="19"/>
                <w:lang w:val="en-US" w:eastAsia="zh-CN" w:bidi="ar"/>
              </w:rPr>
              <w:t>​​</w:t>
            </w:r>
            <w:r>
              <w:rPr>
                <w:rStyle w:val="20"/>
                <w:lang w:val="en-US" w:eastAsia="zh-CN" w:bidi="ar"/>
              </w:rPr>
              <w:t>：凭证提交时自动校验（科目平衡性、预算超限预警、附件完整性），异常锁定至修改完成。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账簿与核算管理​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多维度辅助核算：支持部门/项目/供应商/合同等多标签穿透查询。​​实时性需求​​：总账/明细账查询响应≤3秒，跨年度数据合并计算延迟≤1分钟。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​​期末处理​</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自动结转损益：按预设规则生成结转凭证，支持按比例分摊间接费用。关账控制：关账期间数据锁定不可修改，支持按科目分批关账。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资金管理模块​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资金流水监控​</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银行直连接口：实时同步账户余额（延迟≤1分钟），自动标记未达账项。智能对账引擎：支持千万级流水自动勾稽，差异＞0.1%时触发预警。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支付与结算​</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多通道支付：支持银企直连、第三方支付（微信/支付宝）、票据贴现。​​风控需求​​：单笔支付超阈值需双人生物认证（如指纹+人脸），支付失败自动熔断切换通道。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现金流预测​</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基于历史数据+AI算法预测未来30日现金流，准确率≥90%。缺口预警：当预测余额低于安全线时自动提示融资需求。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预算管理模块​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​​预算编制与控制​</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多版本预算模板：支持零基预算、滚动预算、项目专项预算。​​强控规则​​：费用报销时自动拦截超预算申请，支持按浮动率（如±10%）柔性控制。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​​预算执行分析​</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可视化看板：按部门/项目展示预算执行率，钻取至明细凭证。红绿灯预警：执行偏差＞15%时自动标记红色，推送责任人。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报表与分析模块​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法定报表</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自动生成三大表（资产负债表/利润表/现金流量表），符合财政部XBRL格式要求。税务报表：一键生成增值税申报表、企业所得税汇算清缴表。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66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​​管理分析报表​</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多维度财务分析：同比/环比分析、费用结构饼图、现金流趋势图。​​预测功能​​：基于回归模型预测季度营收，支持敏感性分析（如汇率变动对利润的影响）。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90" w:type="dxa"/>
          <w:trHeight w:val="330" w:hRule="atLeast"/>
          <w:jc w:val="center"/>
        </w:trPr>
        <w:tc>
          <w:tcPr>
            <w:tcW w:w="9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宋体" w:hAnsi="华文宋体" w:eastAsia="华文宋体" w:cs="华文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定制化输出​</w:t>
            </w:r>
          </w:p>
        </w:tc>
        <w:tc>
          <w:tcPr>
            <w:tcW w:w="6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支持拖拽式报表设计器，自定义公式字段。输出格式：PDF/Excel/HTML，支持移动端实时刷新。</w:t>
            </w:r>
          </w:p>
        </w:tc>
      </w:tr>
    </w:tbl>
    <w:p>
      <w:pPr>
        <w:spacing w:line="360" w:lineRule="auto"/>
        <w:ind w:firstLine="643" w:firstLineChars="200"/>
        <w:rPr>
          <w:rFonts w:ascii="彩虹粗仿宋" w:hAnsi="宋体" w:eastAsia="彩虹粗仿宋"/>
          <w:b/>
          <w:sz w:val="32"/>
          <w:szCs w:val="32"/>
        </w:rPr>
      </w:pPr>
    </w:p>
    <w:p>
      <w:pPr>
        <w:spacing w:line="360" w:lineRule="auto"/>
        <w:ind w:firstLine="643" w:firstLineChars="200"/>
        <w:rPr>
          <w:rFonts w:ascii="彩虹粗仿宋" w:hAnsi="宋体" w:eastAsia="彩虹粗仿宋"/>
          <w:b/>
          <w:sz w:val="32"/>
          <w:szCs w:val="32"/>
        </w:rPr>
      </w:pPr>
      <w:r>
        <w:rPr>
          <w:rFonts w:hint="eastAsia" w:ascii="彩虹粗仿宋" w:hAnsi="宋体" w:eastAsia="彩虹粗仿宋"/>
          <w:b/>
          <w:sz w:val="32"/>
          <w:szCs w:val="32"/>
        </w:rPr>
        <w:t>三、基本要求：</w:t>
      </w:r>
    </w:p>
    <w:p>
      <w:pPr>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1.软件产品必须具有在中国境内的正式合法使用权和销售权；</w:t>
      </w:r>
    </w:p>
    <w:p>
      <w:pPr>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2.软件产品在国内有可靠的技术支持力量；</w:t>
      </w:r>
    </w:p>
    <w:p>
      <w:pPr>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3.软件产品必须为正式版本；</w:t>
      </w:r>
    </w:p>
    <w:p>
      <w:pPr>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4.软件产品必须具有完整的技术资料。</w:t>
      </w:r>
    </w:p>
    <w:p>
      <w:pPr>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5</w:t>
      </w:r>
      <w:r>
        <w:rPr>
          <w:rFonts w:ascii="彩虹粗仿宋" w:hAnsi="宋体" w:eastAsia="彩虹粗仿宋"/>
          <w:sz w:val="32"/>
          <w:szCs w:val="32"/>
        </w:rPr>
        <w:t>.</w:t>
      </w:r>
      <w:r>
        <w:rPr>
          <w:rFonts w:hint="eastAsia" w:ascii="彩虹粗仿宋" w:hAnsi="宋体" w:eastAsia="彩虹粗仿宋"/>
          <w:sz w:val="32"/>
          <w:szCs w:val="32"/>
        </w:rPr>
        <w:t>本次采购的软件系统应</w:t>
      </w:r>
      <w:r>
        <w:rPr>
          <w:rFonts w:hint="eastAsia" w:ascii="彩虹粗仿宋" w:hAnsi="宋体" w:eastAsia="彩虹粗仿宋"/>
          <w:kern w:val="0"/>
          <w:sz w:val="32"/>
          <w:szCs w:val="32"/>
        </w:rPr>
        <w:t>当具备我行要求的功能，且不存在任何侵犯第三方知识产权的情形，软件系统</w:t>
      </w:r>
      <w:r>
        <w:rPr>
          <w:rFonts w:hint="eastAsia" w:ascii="彩虹粗仿宋" w:hAnsi="宋体" w:eastAsia="彩虹粗仿宋"/>
          <w:sz w:val="32"/>
          <w:szCs w:val="32"/>
        </w:rPr>
        <w:t>所有权归属中国建设银行徐州分行。</w:t>
      </w:r>
    </w:p>
    <w:p>
      <w:pPr>
        <w:spacing w:line="360" w:lineRule="auto"/>
        <w:ind w:firstLine="643" w:firstLineChars="200"/>
        <w:rPr>
          <w:rFonts w:ascii="彩虹粗仿宋" w:hAnsi="宋体" w:eastAsia="彩虹粗仿宋"/>
          <w:sz w:val="32"/>
          <w:szCs w:val="32"/>
        </w:rPr>
      </w:pPr>
      <w:r>
        <w:rPr>
          <w:rFonts w:hint="eastAsia" w:ascii="彩虹粗仿宋" w:hAnsi="宋体" w:eastAsia="彩虹粗仿宋"/>
          <w:b/>
          <w:sz w:val="32"/>
          <w:szCs w:val="32"/>
        </w:rPr>
        <w:t>四、技术要求</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软件系统需满足学校及我行要求，详见附件：项目需求说明。</w:t>
      </w:r>
    </w:p>
    <w:p>
      <w:pPr>
        <w:numPr>
          <w:ilvl w:val="0"/>
          <w:numId w:val="1"/>
        </w:numPr>
        <w:spacing w:line="360" w:lineRule="auto"/>
        <w:ind w:firstLine="643" w:firstLineChars="200"/>
        <w:rPr>
          <w:rFonts w:ascii="彩虹粗仿宋" w:hAnsi="宋体" w:eastAsia="彩虹粗仿宋"/>
          <w:sz w:val="32"/>
          <w:szCs w:val="32"/>
        </w:rPr>
      </w:pPr>
      <w:r>
        <w:rPr>
          <w:rFonts w:hint="eastAsia" w:ascii="彩虹粗仿宋" w:hAnsi="宋体" w:eastAsia="彩虹粗仿宋"/>
          <w:b/>
          <w:sz w:val="32"/>
          <w:szCs w:val="32"/>
        </w:rPr>
        <w:t>交付日期及验收标准等</w:t>
      </w:r>
      <w:r>
        <w:rPr>
          <w:rFonts w:hint="eastAsia" w:ascii="彩虹粗仿宋" w:hAnsi="宋体" w:eastAsia="彩虹粗仿宋"/>
          <w:sz w:val="32"/>
          <w:szCs w:val="32"/>
        </w:rPr>
        <w:t>。</w:t>
      </w:r>
    </w:p>
    <w:p>
      <w:pPr>
        <w:spacing w:line="360" w:lineRule="auto"/>
        <w:ind w:firstLine="640" w:firstLineChars="200"/>
        <w:jc w:val="left"/>
        <w:rPr>
          <w:rFonts w:ascii="彩虹粗仿宋" w:hAnsi="宋体" w:eastAsia="彩虹粗仿宋" w:cs="宋体"/>
          <w:kern w:val="0"/>
          <w:sz w:val="32"/>
          <w:szCs w:val="32"/>
          <w:lang w:bidi="ar"/>
        </w:rPr>
      </w:pPr>
      <w:r>
        <w:rPr>
          <w:rFonts w:hint="eastAsia" w:ascii="彩虹粗仿宋" w:hAnsi="宋体" w:eastAsia="彩虹粗仿宋" w:cs="宋体"/>
          <w:kern w:val="0"/>
          <w:sz w:val="32"/>
          <w:szCs w:val="32"/>
          <w:lang w:bidi="ar"/>
        </w:rPr>
        <w:t>1.交付使用时间：供应商需根据学校及我行要求，在签订合同后一个月内完成系统搭建并实现交付使用。</w:t>
      </w:r>
    </w:p>
    <w:p>
      <w:pPr>
        <w:spacing w:line="360" w:lineRule="auto"/>
        <w:ind w:firstLine="640" w:firstLineChars="200"/>
        <w:jc w:val="left"/>
        <w:rPr>
          <w:rFonts w:ascii="彩虹粗仿宋" w:hAnsi="宋体" w:eastAsia="彩虹粗仿宋" w:cs="宋体"/>
          <w:kern w:val="0"/>
          <w:sz w:val="32"/>
          <w:szCs w:val="32"/>
          <w:lang w:bidi="ar"/>
        </w:rPr>
      </w:pPr>
      <w:r>
        <w:rPr>
          <w:rFonts w:hint="eastAsia" w:ascii="彩虹粗仿宋" w:hAnsi="宋体" w:eastAsia="彩虹粗仿宋" w:cs="宋体"/>
          <w:kern w:val="0"/>
          <w:sz w:val="32"/>
          <w:szCs w:val="32"/>
          <w:lang w:bidi="ar"/>
        </w:rPr>
        <w:t>2.交付地点：邳州市新城中学</w:t>
      </w:r>
    </w:p>
    <w:p>
      <w:pPr>
        <w:spacing w:line="360" w:lineRule="auto"/>
        <w:ind w:firstLine="640" w:firstLineChars="200"/>
        <w:jc w:val="left"/>
        <w:rPr>
          <w:rFonts w:ascii="彩虹粗仿宋" w:hAnsi="宋体" w:eastAsia="彩虹粗仿宋" w:cs="宋体"/>
          <w:kern w:val="0"/>
          <w:sz w:val="32"/>
          <w:szCs w:val="32"/>
          <w:lang w:bidi="ar"/>
        </w:rPr>
      </w:pPr>
      <w:r>
        <w:rPr>
          <w:rFonts w:hint="eastAsia" w:ascii="彩虹粗仿宋" w:hAnsi="宋体" w:eastAsia="彩虹粗仿宋" w:cs="宋体"/>
          <w:kern w:val="0"/>
          <w:sz w:val="32"/>
          <w:szCs w:val="32"/>
          <w:lang w:bidi="ar"/>
        </w:rPr>
        <w:t>3.验收标准：供应商派技术人员到学校进行软件实施、培训等工作，按照学校及我行要求完成系统的各项功能要求，系统上线试运行正常方可验收。实施结果只有得到学校、我行、供应商三方验收签字，项目才算验收合格。</w:t>
      </w:r>
    </w:p>
    <w:p>
      <w:pPr>
        <w:numPr>
          <w:ilvl w:val="0"/>
          <w:numId w:val="1"/>
        </w:numPr>
        <w:adjustRightInd w:val="0"/>
        <w:snapToGrid w:val="0"/>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款项支付要求</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eastAsia="彩虹粗仿宋"/>
          <w:sz w:val="32"/>
          <w:szCs w:val="32"/>
        </w:rPr>
        <w:t>供应商必须开具符合规定的增值税专用发票，采用分阶段方式支付价款，合同签订后，待项目系统</w:t>
      </w:r>
      <w:r>
        <w:rPr>
          <w:rFonts w:hint="eastAsia" w:ascii="彩虹粗仿宋" w:hAnsi="宋体" w:eastAsia="彩虹粗仿宋"/>
          <w:sz w:val="32"/>
          <w:szCs w:val="32"/>
        </w:rPr>
        <w:t>交付使用</w:t>
      </w:r>
      <w:r>
        <w:rPr>
          <w:rFonts w:hint="eastAsia" w:ascii="彩虹粗仿宋" w:eastAsia="彩虹粗仿宋"/>
          <w:sz w:val="32"/>
          <w:szCs w:val="32"/>
        </w:rPr>
        <w:t>，经我行、</w:t>
      </w:r>
      <w:r>
        <w:rPr>
          <w:rFonts w:hint="eastAsia" w:ascii="彩虹粗仿宋" w:hAnsi="宋体" w:eastAsia="彩虹粗仿宋" w:cs="宋体"/>
          <w:kern w:val="0"/>
          <w:sz w:val="32"/>
          <w:szCs w:val="32"/>
          <w:lang w:bidi="ar"/>
        </w:rPr>
        <w:t>邳州市新城中学</w:t>
      </w:r>
      <w:r>
        <w:rPr>
          <w:rFonts w:hint="eastAsia" w:ascii="彩虹粗仿宋" w:eastAsia="彩虹粗仿宋"/>
          <w:sz w:val="32"/>
          <w:szCs w:val="32"/>
        </w:rPr>
        <w:t>、供应商三方验收合格后，根据《付款确认书》、《验收报告》及供应商开具的符合规定的增值税专用发票（</w:t>
      </w:r>
      <w:r>
        <w:rPr>
          <w:rFonts w:hint="eastAsia" w:ascii="彩虹粗仿宋" w:hAnsi="宋体" w:eastAsia="彩虹粗仿宋" w:cs="Times New Roman"/>
          <w:snapToGrid w:val="0"/>
          <w:kern w:val="0"/>
          <w:sz w:val="32"/>
          <w:szCs w:val="32"/>
        </w:rPr>
        <w:t>供应商所开具的本项目软件系统增值税专用发票须为系统或软件产品销售发票，我行不接受开票内容为软件开发服务的增值税专用发票</w:t>
      </w:r>
      <w:r>
        <w:rPr>
          <w:rFonts w:hint="eastAsia" w:ascii="彩虹粗仿宋" w:eastAsia="彩虹粗仿宋"/>
          <w:sz w:val="32"/>
          <w:szCs w:val="32"/>
        </w:rPr>
        <w:t>）支付合同金额的95%；剩余合同金额的5%，作为质量保证金，待项目质保期届满，根据《付款确认书》，扣除已发生的因供应商责任造成的维修款项后支付，不计利息。</w:t>
      </w:r>
    </w:p>
    <w:p>
      <w:pPr>
        <w:adjustRightInd w:val="0"/>
        <w:snapToGrid w:val="0"/>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b/>
          <w:sz w:val="32"/>
          <w:szCs w:val="32"/>
        </w:rPr>
        <w:t>七</w:t>
      </w:r>
      <w:r>
        <w:rPr>
          <w:rFonts w:hint="eastAsia" w:ascii="彩虹粗仿宋" w:hAnsi="宋体" w:eastAsia="彩虹粗仿宋" w:cs="Times New Roman"/>
          <w:b/>
          <w:snapToGrid w:val="0"/>
          <w:kern w:val="0"/>
          <w:sz w:val="32"/>
          <w:szCs w:val="32"/>
        </w:rPr>
        <w:t>、报价要求</w:t>
      </w:r>
    </w:p>
    <w:p>
      <w:pPr>
        <w:adjustRightInd w:val="0"/>
        <w:snapToGrid w:val="0"/>
        <w:spacing w:line="360" w:lineRule="auto"/>
        <w:ind w:firstLine="560" w:firstLineChars="200"/>
        <w:rPr>
          <w:rFonts w:hint="eastAsia" w:ascii="彩虹粗仿宋" w:eastAsia="彩虹粗仿宋"/>
          <w:sz w:val="28"/>
          <w:szCs w:val="28"/>
        </w:rPr>
      </w:pPr>
      <w:r>
        <w:rPr>
          <w:rFonts w:hint="eastAsia" w:ascii="彩虹粗仿宋" w:eastAsia="彩虹粗仿宋"/>
          <w:sz w:val="28"/>
          <w:szCs w:val="28"/>
        </w:rPr>
        <w:t>1、投标人报价需为目的地交货价格；报价采用人民币，报价含成本、利润、税金、运输费用、装卸费用、配送费用、安装调试费用等各种支出。</w:t>
      </w:r>
    </w:p>
    <w:p>
      <w:pPr>
        <w:adjustRightInd w:val="0"/>
        <w:snapToGrid w:val="0"/>
        <w:spacing w:line="360" w:lineRule="auto"/>
        <w:ind w:firstLine="560" w:firstLineChars="200"/>
        <w:rPr>
          <w:rFonts w:hint="eastAsia" w:ascii="彩虹粗仿宋" w:eastAsia="彩虹粗仿宋"/>
          <w:sz w:val="28"/>
          <w:szCs w:val="28"/>
        </w:rPr>
      </w:pPr>
      <w:r>
        <w:rPr>
          <w:rFonts w:hint="eastAsia" w:ascii="彩虹粗仿宋" w:eastAsia="彩虹粗仿宋"/>
          <w:sz w:val="28"/>
          <w:szCs w:val="28"/>
        </w:rPr>
        <w:t>2、报价必须是唯一的，不接受任何选择性报价，投标人需提供增值税专用发票。报价不得高于</w:t>
      </w:r>
      <w:bookmarkStart w:id="0" w:name="_GoBack"/>
      <w:bookmarkEnd w:id="0"/>
      <w:r>
        <w:rPr>
          <w:rFonts w:hint="eastAsia" w:ascii="彩虹粗仿宋" w:eastAsia="彩虹粗仿宋"/>
          <w:sz w:val="28"/>
          <w:szCs w:val="28"/>
        </w:rPr>
        <w:t>控制总价</w:t>
      </w:r>
      <w:r>
        <w:rPr>
          <w:rFonts w:hint="eastAsia" w:ascii="彩虹粗仿宋" w:eastAsia="彩虹粗仿宋"/>
          <w:sz w:val="28"/>
          <w:szCs w:val="28"/>
          <w:lang w:val="en-US" w:eastAsia="zh-CN"/>
        </w:rPr>
        <w:t>85</w:t>
      </w:r>
      <w:r>
        <w:rPr>
          <w:rFonts w:hint="eastAsia" w:ascii="彩虹粗仿宋" w:eastAsia="彩虹粗仿宋"/>
          <w:sz w:val="28"/>
          <w:szCs w:val="28"/>
        </w:rPr>
        <w:t>万元。</w:t>
      </w:r>
    </w:p>
    <w:p>
      <w:pPr>
        <w:adjustRightInd w:val="0"/>
        <w:snapToGrid w:val="0"/>
        <w:spacing w:line="360" w:lineRule="auto"/>
        <w:ind w:firstLine="640" w:firstLineChars="200"/>
        <w:rPr>
          <w:rFonts w:ascii="彩虹粗仿宋" w:hAnsi="宋体" w:eastAsia="彩虹粗仿宋" w:cs="Times New Roman"/>
          <w:b/>
          <w:snapToGrid w:val="0"/>
          <w:kern w:val="0"/>
          <w:sz w:val="32"/>
          <w:szCs w:val="32"/>
        </w:rPr>
      </w:pPr>
      <w:r>
        <w:rPr>
          <w:rFonts w:hint="eastAsia" w:ascii="彩虹粗仿宋" w:hAnsi="宋体" w:eastAsia="彩虹粗仿宋"/>
          <w:sz w:val="32"/>
          <w:szCs w:val="32"/>
        </w:rPr>
        <w:t>八</w:t>
      </w:r>
      <w:r>
        <w:rPr>
          <w:rFonts w:hint="eastAsia" w:ascii="彩虹粗仿宋" w:hAnsi="宋体" w:eastAsia="彩虹粗仿宋"/>
          <w:b/>
          <w:sz w:val="32"/>
          <w:szCs w:val="32"/>
        </w:rPr>
        <w:t>、</w:t>
      </w:r>
      <w:r>
        <w:rPr>
          <w:rFonts w:hint="eastAsia" w:ascii="彩虹粗仿宋" w:hAnsi="宋体" w:eastAsia="彩虹粗仿宋" w:cs="Times New Roman"/>
          <w:b/>
          <w:snapToGrid w:val="0"/>
          <w:kern w:val="0"/>
          <w:sz w:val="32"/>
          <w:szCs w:val="32"/>
        </w:rPr>
        <w:t>售后服务要求</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1.免费保修期：免费保修期最短不少于三年（自验收合格之日起）。保修期满后，仍需提供售后终身维护，由</w:t>
      </w:r>
      <w:r>
        <w:rPr>
          <w:rFonts w:hint="eastAsia" w:ascii="彩虹粗仿宋" w:hAnsi="宋体" w:eastAsia="彩虹粗仿宋" w:cs="宋体"/>
          <w:kern w:val="0"/>
          <w:sz w:val="32"/>
          <w:szCs w:val="32"/>
          <w:lang w:bidi="ar"/>
        </w:rPr>
        <w:t>邳州市新城中学</w:t>
      </w:r>
      <w:r>
        <w:rPr>
          <w:rFonts w:hint="eastAsia" w:ascii="彩虹粗仿宋" w:hAnsi="Times New Roman" w:eastAsia="彩虹粗仿宋" w:cs="Times New Roman"/>
          <w:sz w:val="32"/>
          <w:szCs w:val="32"/>
          <w:lang w:bidi="ar"/>
        </w:rPr>
        <w:t>支付维护费用。</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2.免费送货上门、安装、调试，免费培训使用人员和维护人员。</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3.故障响应时间：维护支持服务期内，供应商应提供7×24小时电话、网络等远程支持服务及上门维护支持服务。</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软件产品故障分为严重、一般、轻微三个等级，维护支持服务提供方应根据软件故障的不同级别，提供不同的故障响应及服务。</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对于严重级别故障：供应商应立即派出高级技术人员到现场进行维修，供应商需派出的高级技术人员应当在</w:t>
      </w:r>
      <w:r>
        <w:rPr>
          <w:rFonts w:hint="eastAsia" w:ascii="彩虹粗仿宋" w:hAnsi="Times New Roman" w:eastAsia="彩虹粗仿宋" w:cs="Times New Roman"/>
          <w:sz w:val="32"/>
          <w:szCs w:val="32"/>
          <w:u w:val="single"/>
          <w:lang w:bidi="ar"/>
        </w:rPr>
        <w:t xml:space="preserve"> 4 </w:t>
      </w:r>
      <w:r>
        <w:rPr>
          <w:rFonts w:hint="eastAsia" w:ascii="彩虹粗仿宋" w:hAnsi="Times New Roman" w:eastAsia="彩虹粗仿宋" w:cs="Times New Roman"/>
          <w:sz w:val="32"/>
          <w:szCs w:val="32"/>
          <w:lang w:bidi="ar"/>
        </w:rPr>
        <w:t>小时内到达故障现场，维护支持服务提供方承诺在收到故障报告后</w:t>
      </w:r>
      <w:r>
        <w:rPr>
          <w:rFonts w:hint="eastAsia" w:ascii="彩虹粗仿宋" w:hAnsi="Times New Roman" w:eastAsia="彩虹粗仿宋" w:cs="Times New Roman"/>
          <w:sz w:val="32"/>
          <w:szCs w:val="32"/>
          <w:u w:val="single"/>
          <w:lang w:bidi="ar"/>
        </w:rPr>
        <w:t xml:space="preserve"> 24 </w:t>
      </w:r>
      <w:r>
        <w:rPr>
          <w:rFonts w:hint="eastAsia" w:ascii="彩虹粗仿宋" w:hAnsi="Times New Roman" w:eastAsia="彩虹粗仿宋" w:cs="Times New Roman"/>
          <w:sz w:val="32"/>
          <w:szCs w:val="32"/>
          <w:lang w:bidi="ar"/>
        </w:rPr>
        <w:t>小时内恢复软件产品正常运行。</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对于一般级别故障：供应商应立即通过电话、网络等方式尝试排除故障，如故障在</w:t>
      </w:r>
      <w:r>
        <w:rPr>
          <w:rFonts w:hint="eastAsia" w:ascii="彩虹粗仿宋" w:hAnsi="Times New Roman" w:eastAsia="彩虹粗仿宋" w:cs="Times New Roman"/>
          <w:sz w:val="32"/>
          <w:szCs w:val="32"/>
          <w:u w:val="single"/>
          <w:lang w:bidi="ar"/>
        </w:rPr>
        <w:t xml:space="preserve"> 2 </w:t>
      </w:r>
      <w:r>
        <w:rPr>
          <w:rFonts w:hint="eastAsia" w:ascii="彩虹粗仿宋" w:hAnsi="Times New Roman" w:eastAsia="彩虹粗仿宋" w:cs="Times New Roman"/>
          <w:sz w:val="32"/>
          <w:szCs w:val="32"/>
          <w:lang w:bidi="ar"/>
        </w:rPr>
        <w:t>小时内无法排除，维护支持服务提供方应立即派出高级技术人员在</w:t>
      </w:r>
      <w:r>
        <w:rPr>
          <w:rFonts w:hint="eastAsia" w:ascii="彩虹粗仿宋" w:hAnsi="Times New Roman" w:eastAsia="彩虹粗仿宋" w:cs="Times New Roman"/>
          <w:sz w:val="32"/>
          <w:szCs w:val="32"/>
          <w:u w:val="single"/>
          <w:lang w:bidi="ar"/>
        </w:rPr>
        <w:t xml:space="preserve"> 8 </w:t>
      </w:r>
      <w:r>
        <w:rPr>
          <w:rFonts w:hint="eastAsia" w:ascii="彩虹粗仿宋" w:hAnsi="Times New Roman" w:eastAsia="彩虹粗仿宋" w:cs="Times New Roman"/>
          <w:sz w:val="32"/>
          <w:szCs w:val="32"/>
          <w:lang w:bidi="ar"/>
        </w:rPr>
        <w:t>小时内到达故障现场进行维修，维护支持服务提供方承诺在收到故障报告后</w:t>
      </w:r>
      <w:r>
        <w:rPr>
          <w:rFonts w:hint="eastAsia" w:ascii="彩虹粗仿宋" w:hAnsi="Times New Roman" w:eastAsia="彩虹粗仿宋" w:cs="Times New Roman"/>
          <w:sz w:val="32"/>
          <w:szCs w:val="32"/>
          <w:u w:val="single"/>
          <w:lang w:bidi="ar"/>
        </w:rPr>
        <w:t xml:space="preserve"> 24 </w:t>
      </w:r>
      <w:r>
        <w:rPr>
          <w:rFonts w:hint="eastAsia" w:ascii="彩虹粗仿宋" w:hAnsi="Times New Roman" w:eastAsia="彩虹粗仿宋" w:cs="Times New Roman"/>
          <w:sz w:val="32"/>
          <w:szCs w:val="32"/>
          <w:lang w:bidi="ar"/>
        </w:rPr>
        <w:t>小时内恢复软件产品正常运行。</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r>
        <w:rPr>
          <w:rFonts w:hint="eastAsia" w:ascii="彩虹粗仿宋" w:hAnsi="Times New Roman" w:eastAsia="彩虹粗仿宋" w:cs="Times New Roman"/>
          <w:sz w:val="32"/>
          <w:szCs w:val="32"/>
          <w:lang w:bidi="ar"/>
        </w:rPr>
        <w:t>对于轻微级别故障：供应商应立即通过电话、网络等方式尝试排除故障，如故障在</w:t>
      </w:r>
      <w:r>
        <w:rPr>
          <w:rFonts w:hint="eastAsia" w:ascii="彩虹粗仿宋" w:hAnsi="Times New Roman" w:eastAsia="彩虹粗仿宋" w:cs="Times New Roman"/>
          <w:sz w:val="32"/>
          <w:szCs w:val="32"/>
          <w:u w:val="single"/>
          <w:lang w:bidi="ar"/>
        </w:rPr>
        <w:t xml:space="preserve"> 4 </w:t>
      </w:r>
      <w:r>
        <w:rPr>
          <w:rFonts w:hint="eastAsia" w:ascii="彩虹粗仿宋" w:hAnsi="Times New Roman" w:eastAsia="彩虹粗仿宋" w:cs="Times New Roman"/>
          <w:sz w:val="32"/>
          <w:szCs w:val="32"/>
          <w:lang w:bidi="ar"/>
        </w:rPr>
        <w:t>小时内无法排除，维护支持服务提供方应立即派出高级技术人员在</w:t>
      </w:r>
      <w:r>
        <w:rPr>
          <w:rFonts w:hint="eastAsia" w:ascii="彩虹粗仿宋" w:hAnsi="Times New Roman" w:eastAsia="彩虹粗仿宋" w:cs="Times New Roman"/>
          <w:sz w:val="32"/>
          <w:szCs w:val="32"/>
          <w:u w:val="single"/>
          <w:lang w:bidi="ar"/>
        </w:rPr>
        <w:t xml:space="preserve"> 24 </w:t>
      </w:r>
      <w:r>
        <w:rPr>
          <w:rFonts w:hint="eastAsia" w:ascii="彩虹粗仿宋" w:hAnsi="Times New Roman" w:eastAsia="彩虹粗仿宋" w:cs="Times New Roman"/>
          <w:sz w:val="32"/>
          <w:szCs w:val="32"/>
          <w:lang w:bidi="ar"/>
        </w:rPr>
        <w:t>小时内到达故障现场进行维修，维护支持服务提供方承诺在收到故障报告后</w:t>
      </w:r>
      <w:r>
        <w:rPr>
          <w:rFonts w:hint="eastAsia" w:ascii="彩虹粗仿宋" w:hAnsi="Times New Roman" w:eastAsia="彩虹粗仿宋" w:cs="Times New Roman"/>
          <w:sz w:val="32"/>
          <w:szCs w:val="32"/>
          <w:u w:val="single"/>
          <w:lang w:bidi="ar"/>
        </w:rPr>
        <w:t xml:space="preserve"> 48 </w:t>
      </w:r>
      <w:r>
        <w:rPr>
          <w:rFonts w:hint="eastAsia" w:ascii="彩虹粗仿宋" w:hAnsi="Times New Roman" w:eastAsia="彩虹粗仿宋" w:cs="Times New Roman"/>
          <w:sz w:val="32"/>
          <w:szCs w:val="32"/>
          <w:lang w:bidi="ar"/>
        </w:rPr>
        <w:t>小时内恢复软件产品正常运行。</w:t>
      </w:r>
    </w:p>
    <w:p>
      <w:pPr>
        <w:adjustRightInd w:val="0"/>
        <w:snapToGrid w:val="0"/>
        <w:spacing w:line="360" w:lineRule="auto"/>
        <w:ind w:left="420" w:leftChars="200" w:firstLine="640" w:firstLineChars="200"/>
        <w:rPr>
          <w:rFonts w:ascii="彩虹粗仿宋" w:hAnsi="Times New Roman" w:eastAsia="彩虹粗仿宋" w:cs="Times New Roman"/>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0000012" w:usb3="00000000" w:csb0="4002009F" w:csb1="DFD70000"/>
  </w:font>
  <w:font w:name="华文宋体">
    <w:panose1 w:val="02010600040101010101"/>
    <w:charset w:val="86"/>
    <w:family w:val="auto"/>
    <w:pitch w:val="default"/>
    <w:sig w:usb0="00000287" w:usb1="080F0000" w:usb2="00000000" w:usb3="00000000" w:csb0="0004009F" w:csb1="DFD7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AF489D"/>
    <w:multiLevelType w:val="singleLevel"/>
    <w:tmpl w:val="C5AF489D"/>
    <w:lvl w:ilvl="0" w:tentative="0">
      <w:start w:val="5"/>
      <w:numFmt w:val="chineseCounting"/>
      <w:suff w:val="nothing"/>
      <w:lvlText w:val="%1、"/>
      <w:lvlJc w:val="left"/>
      <w:rPr>
        <w:rFonts w:hint="eastAsia"/>
        <w:color w:val="000000" w:themeColor="text1"/>
        <w14:textFill>
          <w14:solidFill>
            <w14:schemeClr w14:val="tx1"/>
          </w14:solidFill>
        </w14:textFil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2DD"/>
    <w:rsid w:val="0002315A"/>
    <w:rsid w:val="000B2CCD"/>
    <w:rsid w:val="001373DC"/>
    <w:rsid w:val="001F6B02"/>
    <w:rsid w:val="0021682B"/>
    <w:rsid w:val="00220690"/>
    <w:rsid w:val="002608DA"/>
    <w:rsid w:val="00266FDA"/>
    <w:rsid w:val="00285838"/>
    <w:rsid w:val="0029711B"/>
    <w:rsid w:val="002B045B"/>
    <w:rsid w:val="002C4E32"/>
    <w:rsid w:val="002F67A8"/>
    <w:rsid w:val="00373423"/>
    <w:rsid w:val="00373E8C"/>
    <w:rsid w:val="003817CD"/>
    <w:rsid w:val="003E04D6"/>
    <w:rsid w:val="003F1233"/>
    <w:rsid w:val="004103FA"/>
    <w:rsid w:val="00422D94"/>
    <w:rsid w:val="00477212"/>
    <w:rsid w:val="00513949"/>
    <w:rsid w:val="00524217"/>
    <w:rsid w:val="00525956"/>
    <w:rsid w:val="005335B5"/>
    <w:rsid w:val="00534B60"/>
    <w:rsid w:val="005444E2"/>
    <w:rsid w:val="005A216C"/>
    <w:rsid w:val="005C2BDD"/>
    <w:rsid w:val="006322DD"/>
    <w:rsid w:val="00652FA8"/>
    <w:rsid w:val="00665BF6"/>
    <w:rsid w:val="006705BA"/>
    <w:rsid w:val="007545FD"/>
    <w:rsid w:val="0076696F"/>
    <w:rsid w:val="00767384"/>
    <w:rsid w:val="007A1D6E"/>
    <w:rsid w:val="007B6925"/>
    <w:rsid w:val="007C3A6F"/>
    <w:rsid w:val="0087510C"/>
    <w:rsid w:val="008768FE"/>
    <w:rsid w:val="00890345"/>
    <w:rsid w:val="008D1CE1"/>
    <w:rsid w:val="009414D9"/>
    <w:rsid w:val="009546E1"/>
    <w:rsid w:val="009B1486"/>
    <w:rsid w:val="009C5720"/>
    <w:rsid w:val="00A524A6"/>
    <w:rsid w:val="00A77D63"/>
    <w:rsid w:val="00AE5338"/>
    <w:rsid w:val="00B067A0"/>
    <w:rsid w:val="00B94CF8"/>
    <w:rsid w:val="00BE2CDD"/>
    <w:rsid w:val="00C52FE1"/>
    <w:rsid w:val="00C623C0"/>
    <w:rsid w:val="00CD5218"/>
    <w:rsid w:val="00CE100D"/>
    <w:rsid w:val="00D04320"/>
    <w:rsid w:val="00D10CDD"/>
    <w:rsid w:val="00DB5751"/>
    <w:rsid w:val="00DE6DFD"/>
    <w:rsid w:val="00E22100"/>
    <w:rsid w:val="00E56927"/>
    <w:rsid w:val="00E778F0"/>
    <w:rsid w:val="00EB79B4"/>
    <w:rsid w:val="00ED6357"/>
    <w:rsid w:val="00EE125E"/>
    <w:rsid w:val="00EF63DB"/>
    <w:rsid w:val="00F06BE5"/>
    <w:rsid w:val="00F616E5"/>
    <w:rsid w:val="00F86CB9"/>
    <w:rsid w:val="00F9072E"/>
    <w:rsid w:val="00FB0C7A"/>
    <w:rsid w:val="00FE4909"/>
    <w:rsid w:val="07131CFE"/>
    <w:rsid w:val="0C0034EC"/>
    <w:rsid w:val="19064B0B"/>
    <w:rsid w:val="1EAB6CAF"/>
    <w:rsid w:val="28F7268B"/>
    <w:rsid w:val="28FD4A97"/>
    <w:rsid w:val="35EB5B14"/>
    <w:rsid w:val="37D85423"/>
    <w:rsid w:val="39DE2D7E"/>
    <w:rsid w:val="46443BA5"/>
    <w:rsid w:val="46521569"/>
    <w:rsid w:val="46CE7CC6"/>
    <w:rsid w:val="53105213"/>
    <w:rsid w:val="5BBB1911"/>
    <w:rsid w:val="5CC0676B"/>
    <w:rsid w:val="5E2947A6"/>
    <w:rsid w:val="5E6D57AB"/>
    <w:rsid w:val="6F77392E"/>
    <w:rsid w:val="797238ED"/>
    <w:rsid w:val="7F7D1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ody Text Indent"/>
    <w:basedOn w:val="1"/>
    <w:qFormat/>
    <w:uiPriority w:val="0"/>
    <w:pPr>
      <w:spacing w:after="120"/>
      <w:ind w:left="420" w:leftChars="200"/>
    </w:pPr>
    <w:rPr>
      <w:rFonts w:ascii="Tahoma" w:hAnsi="Tahoma"/>
    </w:rPr>
  </w:style>
  <w:style w:type="paragraph" w:styleId="4">
    <w:name w:val="Plain Text"/>
    <w:basedOn w:val="1"/>
    <w:qFormat/>
    <w:uiPriority w:val="0"/>
    <w:rPr>
      <w:rFonts w:ascii="宋体" w:hAnsi="Courier New"/>
      <w:szCs w:val="20"/>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16"/>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字符"/>
    <w:basedOn w:val="10"/>
    <w:link w:val="7"/>
    <w:qFormat/>
    <w:uiPriority w:val="99"/>
    <w:rPr>
      <w:sz w:val="18"/>
      <w:szCs w:val="18"/>
    </w:rPr>
  </w:style>
  <w:style w:type="character" w:customStyle="1" w:styleId="14">
    <w:name w:val="页脚 字符"/>
    <w:basedOn w:val="10"/>
    <w:link w:val="6"/>
    <w:qFormat/>
    <w:uiPriority w:val="99"/>
    <w:rPr>
      <w:sz w:val="18"/>
      <w:szCs w:val="18"/>
    </w:rPr>
  </w:style>
  <w:style w:type="character" w:customStyle="1" w:styleId="15">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6">
    <w:name w:val="批注主题 字符"/>
    <w:basedOn w:val="15"/>
    <w:link w:val="8"/>
    <w:semiHidden/>
    <w:qFormat/>
    <w:uiPriority w:val="99"/>
    <w:rPr>
      <w:rFonts w:asciiTheme="minorHAnsi" w:hAnsiTheme="minorHAnsi" w:eastAsiaTheme="minorEastAsia" w:cstheme="minorBidi"/>
      <w:b/>
      <w:bCs/>
      <w:kern w:val="2"/>
      <w:sz w:val="21"/>
      <w:szCs w:val="22"/>
    </w:rPr>
  </w:style>
  <w:style w:type="character" w:customStyle="1" w:styleId="17">
    <w:name w:val="批注框文本 字符"/>
    <w:basedOn w:val="10"/>
    <w:link w:val="5"/>
    <w:semiHidden/>
    <w:qFormat/>
    <w:uiPriority w:val="99"/>
    <w:rPr>
      <w:rFonts w:asciiTheme="minorHAnsi" w:hAnsiTheme="minorHAnsi" w:eastAsiaTheme="minorEastAsia" w:cstheme="minorBidi"/>
      <w:kern w:val="2"/>
      <w:sz w:val="18"/>
      <w:szCs w:val="18"/>
    </w:rPr>
  </w:style>
  <w:style w:type="paragraph" w:customStyle="1" w:styleId="18">
    <w:name w:val="_Style 1"/>
    <w:basedOn w:val="1"/>
    <w:qFormat/>
    <w:uiPriority w:val="34"/>
    <w:pPr>
      <w:ind w:firstLine="420" w:firstLineChars="200"/>
    </w:pPr>
  </w:style>
  <w:style w:type="character" w:customStyle="1" w:styleId="19">
    <w:name w:val="font51"/>
    <w:basedOn w:val="10"/>
    <w:qFormat/>
    <w:uiPriority w:val="0"/>
    <w:rPr>
      <w:rFonts w:ascii="MS Gothic" w:hAnsi="MS Gothic" w:eastAsia="MS Gothic" w:cs="MS Gothic"/>
      <w:color w:val="000000"/>
      <w:sz w:val="22"/>
      <w:szCs w:val="22"/>
      <w:u w:val="none"/>
    </w:rPr>
  </w:style>
  <w:style w:type="character" w:customStyle="1" w:styleId="20">
    <w:name w:val="font11"/>
    <w:basedOn w:val="10"/>
    <w:qFormat/>
    <w:uiPriority w:val="0"/>
    <w:rPr>
      <w:rFonts w:hint="eastAsia" w:ascii="华文宋体" w:hAnsi="华文宋体" w:eastAsia="华文宋体" w:cs="华文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1602</Words>
  <Characters>1626</Characters>
  <Lines>11</Lines>
  <Paragraphs>3</Paragraphs>
  <TotalTime>0</TotalTime>
  <ScaleCrop>false</ScaleCrop>
  <LinksUpToDate>false</LinksUpToDate>
  <CharactersWithSpaces>1644</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2025-08-20T06:25:00Z</dcterms:created>
  <dc:creator>Apache POI</dc:creator>
  <cp:lastModifiedBy>User</cp:lastModifiedBy>
  <cp:lastPrinted>2025-02-20T22:40:00Z</cp:lastPrinted>
  <dcterms:modified xsi:type="dcterms:W3CDTF">2025-09-16T08:06:50Z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265928A50CD2443D928862C66B4FA082_13</vt:lpwstr>
  </property>
  <property fmtid="{D5CDD505-2E9C-101B-9397-08002B2CF9AE}" pid="4" name="KSOTemplateDocerSaveRecord">
    <vt:lpwstr>eyJoZGlkIjoiNGQ0YWZhYjY3NWZkMDk0NzVjZTBiZjhlMGRiZjhhMzYiLCJ1c2VySWQiOiIxMzA4MjI4MjQ1In0=</vt:lpwstr>
  </property>
</Properties>
</file>