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彩虹小标宋" w:hAnsi="宋体" w:eastAsia="彩虹小标宋" w:cs="Times New Roman"/>
          <w:bCs/>
          <w:snapToGrid w:val="0"/>
          <w:color w:val="000000" w:themeColor="text1"/>
          <w:kern w:val="0"/>
          <w:sz w:val="36"/>
          <w:szCs w:val="36"/>
          <w14:textFill>
            <w14:solidFill>
              <w14:schemeClr w14:val="tx1"/>
            </w14:solidFill>
          </w14:textFill>
        </w:rPr>
      </w:pPr>
      <w:r>
        <w:rPr>
          <w:rFonts w:hint="eastAsia" w:ascii="彩虹小标宋" w:hAnsi="宋体" w:eastAsia="彩虹小标宋" w:cs="Times New Roman"/>
          <w:bCs/>
          <w:snapToGrid w:val="0"/>
          <w:color w:val="000000" w:themeColor="text1"/>
          <w:kern w:val="0"/>
          <w:sz w:val="36"/>
          <w:szCs w:val="36"/>
          <w14:textFill>
            <w14:solidFill>
              <w14:schemeClr w14:val="tx1"/>
            </w14:solidFill>
          </w14:textFill>
        </w:rPr>
        <w:t>个人不良贷款诉讼催收外包（</w:t>
      </w:r>
      <w:r>
        <w:rPr>
          <w:rFonts w:ascii="彩虹小标宋" w:hAnsi="宋体" w:eastAsia="彩虹小标宋" w:cs="Times New Roman"/>
          <w:bCs/>
          <w:snapToGrid w:val="0"/>
          <w:color w:val="000000" w:themeColor="text1"/>
          <w:kern w:val="0"/>
          <w:sz w:val="36"/>
          <w:szCs w:val="36"/>
          <w14:textFill>
            <w14:solidFill>
              <w14:schemeClr w14:val="tx1"/>
            </w14:solidFill>
          </w14:textFill>
        </w:rPr>
        <w:t>2024年度） 项目</w:t>
      </w:r>
    </w:p>
    <w:p>
      <w:pPr>
        <w:adjustRightInd w:val="0"/>
        <w:snapToGrid w:val="0"/>
        <w:spacing w:line="360" w:lineRule="auto"/>
        <w:jc w:val="center"/>
        <w:rPr>
          <w:rFonts w:ascii="彩虹小标宋" w:hAnsi="宋体" w:eastAsia="彩虹小标宋" w:cs="Times New Roman"/>
          <w:bCs/>
          <w:snapToGrid w:val="0"/>
          <w:color w:val="000000" w:themeColor="text1"/>
          <w:kern w:val="0"/>
          <w:sz w:val="36"/>
          <w:szCs w:val="36"/>
          <w14:textFill>
            <w14:solidFill>
              <w14:schemeClr w14:val="tx1"/>
            </w14:solidFill>
          </w14:textFill>
        </w:rPr>
      </w:pPr>
      <w:r>
        <w:rPr>
          <w:rFonts w:hint="eastAsia" w:ascii="彩虹小标宋" w:hAnsi="宋体" w:eastAsia="彩虹小标宋" w:cs="Times New Roman"/>
          <w:bCs/>
          <w:snapToGrid w:val="0"/>
          <w:color w:val="000000" w:themeColor="text1"/>
          <w:kern w:val="0"/>
          <w:sz w:val="36"/>
          <w:szCs w:val="36"/>
          <w14:textFill>
            <w14:solidFill>
              <w14:schemeClr w14:val="tx1"/>
            </w14:solidFill>
          </w14:textFill>
        </w:rPr>
        <w:t>采购需求</w:t>
      </w:r>
    </w:p>
    <w:p>
      <w:pPr>
        <w:adjustRightInd w:val="0"/>
        <w:snapToGrid w:val="0"/>
        <w:spacing w:line="540" w:lineRule="exact"/>
        <w:ind w:firstLine="643" w:firstLineChars="200"/>
        <w:rPr>
          <w:rFonts w:ascii="彩虹黑体" w:hAnsi="宋体" w:eastAsia="彩虹黑体" w:cs="Times New Roman"/>
          <w:b/>
          <w:bCs/>
          <w:snapToGrid w:val="0"/>
          <w:color w:val="000000" w:themeColor="text1"/>
          <w:kern w:val="0"/>
          <w:sz w:val="32"/>
          <w:szCs w:val="32"/>
          <w14:textFill>
            <w14:solidFill>
              <w14:schemeClr w14:val="tx1"/>
            </w14:solidFill>
          </w14:textFill>
        </w:rPr>
      </w:pPr>
    </w:p>
    <w:p>
      <w:pPr>
        <w:adjustRightInd w:val="0"/>
        <w:snapToGrid w:val="0"/>
        <w:spacing w:line="540" w:lineRule="exact"/>
        <w:ind w:firstLine="643" w:firstLineChars="200"/>
        <w:rPr>
          <w:rFonts w:ascii="彩虹黑体" w:hAnsi="宋体" w:eastAsia="彩虹黑体" w:cs="Times New Roman"/>
          <w:b/>
          <w:bCs/>
          <w:snapToGrid w:val="0"/>
          <w:color w:val="000000" w:themeColor="text1"/>
          <w:kern w:val="0"/>
          <w:sz w:val="32"/>
          <w:szCs w:val="32"/>
          <w14:textFill>
            <w14:solidFill>
              <w14:schemeClr w14:val="tx1"/>
            </w14:solidFill>
          </w14:textFill>
        </w:rPr>
      </w:pPr>
      <w:r>
        <w:rPr>
          <w:rFonts w:hint="eastAsia" w:ascii="彩虹黑体" w:hAnsi="宋体" w:eastAsia="彩虹黑体" w:cs="Times New Roman"/>
          <w:b/>
          <w:bCs/>
          <w:snapToGrid w:val="0"/>
          <w:color w:val="000000" w:themeColor="text1"/>
          <w:kern w:val="0"/>
          <w:sz w:val="32"/>
          <w:szCs w:val="32"/>
          <w14:textFill>
            <w14:solidFill>
              <w14:schemeClr w14:val="tx1"/>
            </w14:solidFill>
          </w14:textFill>
        </w:rPr>
        <w:t>一、对候选供应商要求</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候选的律师事务所须在我行律所库内，且具备以下条件：</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（一）投标人须具有律师事务所执业资格证并年审合格。</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 xml:space="preserve">（二）具有良好的商业信誉和健全的财务会计制度，提供2021年-2023年的财务报表或经审计的财务报告（新成立企业从成立日计算）。 </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（三）投标人自2021年1月1日以来具有同类个人贷款诉讼催收项目业绩（以合同签订日期为准，须提供合同扫描件）。</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四）信用要求：投标人当前未被“信用中国”网站列入重大税收违法失信主体；未被“中国执行信息公开网”列入失信被执行人名单；未被“中国政府采购网”列入政府采购严重违法失信行为记录名单；未被“国家企业信用信息公示系统”网站列入严重违法失信名单（黑名单）。查询时间须在本项目招标公告发布日期之后，投标文件中提供查询截图。以招标人或代理机构在开标当日查询为准。</w:t>
      </w:r>
    </w:p>
    <w:p>
      <w:pPr>
        <w:widowControl/>
        <w:shd w:val="clear" w:color="auto" w:fill="FFFFFF"/>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查询网址：</w:t>
      </w:r>
    </w:p>
    <w:p>
      <w:pPr>
        <w:widowControl/>
        <w:shd w:val="clear" w:color="auto" w:fill="FFFFFF"/>
        <w:spacing w:line="540" w:lineRule="exact"/>
        <w:ind w:firstLine="480"/>
        <w:jc w:val="left"/>
        <w:rPr>
          <w:rFonts w:ascii="彩虹粗仿宋" w:hAnsi="Calibri" w:eastAsia="彩虹粗仿宋" w:cs="Times New Roman"/>
          <w:color w:val="000000" w:themeColor="text1"/>
          <w:sz w:val="2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（1）重大税收违法失信主体名单查询</w:t>
      </w:r>
      <w:r>
        <w:rPr>
          <w:rFonts w:hint="eastAsia" w:ascii="彩虹粗仿宋" w:hAnsi="Calibri" w:eastAsia="彩虹粗仿宋" w:cs="Times New Roman"/>
          <w:color w:val="000000" w:themeColor="text1"/>
          <w:sz w:val="22"/>
          <w:szCs w:val="32"/>
          <w14:textFill>
            <w14:solidFill>
              <w14:schemeClr w14:val="tx1"/>
            </w14:solidFill>
          </w14:textFill>
        </w:rPr>
        <w:t>（https://www.creditchina.gov.cn/xinyongfuwu/zhongdashuishouweifaanjian/）；</w:t>
      </w:r>
    </w:p>
    <w:p>
      <w:pPr>
        <w:widowControl/>
        <w:shd w:val="clear" w:color="auto" w:fill="FFFFFF"/>
        <w:spacing w:line="540" w:lineRule="exact"/>
        <w:ind w:firstLine="480"/>
        <w:jc w:val="left"/>
        <w:rPr>
          <w:rFonts w:ascii="彩虹粗仿宋" w:hAnsi="Calibri" w:eastAsia="彩虹粗仿宋" w:cs="Times New Roman"/>
          <w:color w:val="000000" w:themeColor="text1"/>
          <w:sz w:val="2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（2）全国法院失信被执行人查询（企业及法定代表人）</w:t>
      </w:r>
      <w:r>
        <w:rPr>
          <w:rFonts w:hint="eastAsia" w:ascii="彩虹粗仿宋" w:hAnsi="Calibri" w:eastAsia="彩虹粗仿宋" w:cs="Times New Roman"/>
          <w:color w:val="000000" w:themeColor="text1"/>
          <w:sz w:val="22"/>
          <w:szCs w:val="32"/>
          <w14:textFill>
            <w14:solidFill>
              <w14:schemeClr w14:val="tx1"/>
            </w14:solidFill>
          </w14:textFill>
        </w:rPr>
        <w:t>（http://zxgk.court.gov.cn/shixin/）；</w:t>
      </w:r>
    </w:p>
    <w:p>
      <w:pPr>
        <w:widowControl/>
        <w:shd w:val="clear" w:color="auto" w:fill="FFFFFF"/>
        <w:spacing w:line="540" w:lineRule="exact"/>
        <w:ind w:firstLine="480"/>
        <w:jc w:val="left"/>
        <w:rPr>
          <w:rFonts w:ascii="彩虹粗仿宋" w:hAnsi="Calibri" w:eastAsia="彩虹粗仿宋" w:cs="Times New Roman"/>
          <w:color w:val="000000" w:themeColor="text1"/>
          <w:sz w:val="2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（3）政府采购严重违法失信行为记录名单查询</w:t>
      </w:r>
      <w:r>
        <w:rPr>
          <w:rFonts w:hint="eastAsia" w:ascii="彩虹粗仿宋" w:hAnsi="Calibri" w:eastAsia="彩虹粗仿宋" w:cs="Times New Roman"/>
          <w:color w:val="000000" w:themeColor="text1"/>
          <w:sz w:val="22"/>
          <w:szCs w:val="32"/>
          <w14:textFill>
            <w14:solidFill>
              <w14:schemeClr w14:val="tx1"/>
            </w14:solidFill>
          </w14:textFill>
        </w:rPr>
        <w:t>（http://www.ccgp.gov.cn/search/cr/）；</w:t>
      </w:r>
    </w:p>
    <w:p>
      <w:pPr>
        <w:widowControl/>
        <w:shd w:val="clear" w:color="auto" w:fill="FFFFFF"/>
        <w:spacing w:line="540" w:lineRule="exact"/>
        <w:ind w:firstLine="480"/>
        <w:jc w:val="left"/>
        <w:rPr>
          <w:rFonts w:ascii="彩虹粗仿宋" w:hAnsi="Calibri" w:eastAsia="彩虹粗仿宋" w:cs="Times New Roman"/>
          <w:color w:val="000000" w:themeColor="text1"/>
          <w:sz w:val="2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（4）严重违法失信名单查询</w:t>
      </w:r>
      <w:r>
        <w:rPr>
          <w:rFonts w:hint="eastAsia" w:ascii="彩虹粗仿宋" w:hAnsi="Calibri" w:eastAsia="彩虹粗仿宋" w:cs="Times New Roman"/>
          <w:color w:val="000000" w:themeColor="text1"/>
          <w:sz w:val="22"/>
          <w:szCs w:val="32"/>
          <w14:textFill>
            <w14:solidFill>
              <w14:schemeClr w14:val="tx1"/>
            </w14:solidFill>
          </w14:textFill>
        </w:rPr>
        <w:t>（http://www.gsxt.gov.cn/index.html）。</w:t>
      </w:r>
    </w:p>
    <w:p>
      <w:pPr>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（五）</w:t>
      </w:r>
      <w:r>
        <w:rPr>
          <w:rFonts w:ascii="彩虹粗仿宋" w:hAnsi="Calibri" w:eastAsia="彩虹粗仿宋" w:cs="Times New Roman"/>
          <w:color w:val="000000" w:themeColor="text1"/>
          <w:sz w:val="32"/>
          <w:szCs w:val="32"/>
          <w14:textFill>
            <w14:solidFill>
              <w14:schemeClr w14:val="tx1"/>
            </w14:solidFill>
          </w14:textFill>
        </w:rPr>
        <w:t>未被监管机构通报或被其他同业禁入、未出现重大消费者侵权行为（提供承诺书，格式自拟）。</w:t>
      </w:r>
    </w:p>
    <w:p>
      <w:pPr>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（六）拥有有效的内控合规、风险管控、消费者权益保护机制。</w:t>
      </w:r>
      <w:r>
        <w:rPr>
          <w:rFonts w:ascii="彩虹粗仿宋" w:hAnsi="Calibri" w:eastAsia="彩虹粗仿宋" w:cs="Times New Roman"/>
          <w:color w:val="000000" w:themeColor="text1"/>
          <w:sz w:val="32"/>
          <w:szCs w:val="32"/>
          <w14:textFill>
            <w14:solidFill>
              <w14:schemeClr w14:val="tx1"/>
            </w14:solidFill>
          </w14:textFill>
        </w:rPr>
        <w:t>（提供承诺书，格式自拟）</w:t>
      </w:r>
    </w:p>
    <w:p>
      <w:pPr>
        <w:widowControl/>
        <w:shd w:val="clear" w:color="auto" w:fill="FFFFFF"/>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（七）近三年内在经营活动中没有重大违法、违纪行为（提供承诺书，格式自拟）。</w:t>
      </w:r>
    </w:p>
    <w:p>
      <w:pPr>
        <w:widowControl/>
        <w:shd w:val="clear" w:color="auto" w:fill="FFFFFF"/>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（八）投标人与建设银行不存在利益冲突，不存在损害建设银行合法利益和声誉的情形，不存在针对建设银行的重大诚信问题。</w:t>
      </w:r>
    </w:p>
    <w:p>
      <w:pPr>
        <w:widowControl/>
        <w:shd w:val="clear" w:color="auto" w:fill="FFFFFF"/>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（九）投标人参加招标活动时未被列入中国建设银行供应商禁用或退出名单中。在中国建设银行龙集采平台上无风险预警提示（以招标人查询结果为准）或其他不良行为。</w:t>
      </w:r>
    </w:p>
    <w:p>
      <w:pPr>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（十）本项目不接受联合体投标，不得分包或转包给任何单位和个人。</w:t>
      </w:r>
    </w:p>
    <w:p>
      <w:pPr>
        <w:autoSpaceDE w:val="0"/>
        <w:autoSpaceDN w:val="0"/>
        <w:adjustRightInd w:val="0"/>
        <w:spacing w:line="540" w:lineRule="exact"/>
        <w:ind w:firstLine="643"/>
        <w:jc w:val="left"/>
        <w:rPr>
          <w:rFonts w:ascii="彩虹黑体" w:eastAsia="彩虹黑体" w:cs="宋体"/>
          <w:b/>
          <w:color w:val="000000" w:themeColor="text1"/>
          <w:kern w:val="0"/>
          <w:sz w:val="32"/>
          <w:szCs w:val="32"/>
          <w14:textFill>
            <w14:solidFill>
              <w14:schemeClr w14:val="tx1"/>
            </w14:solidFill>
          </w14:textFill>
        </w:rPr>
      </w:pPr>
      <w:r>
        <w:rPr>
          <w:rFonts w:hint="eastAsia" w:ascii="彩虹黑体" w:eastAsia="彩虹黑体" w:cs="宋体"/>
          <w:b/>
          <w:color w:val="000000" w:themeColor="text1"/>
          <w:kern w:val="0"/>
          <w:sz w:val="32"/>
          <w:szCs w:val="32"/>
          <w14:textFill>
            <w14:solidFill>
              <w14:schemeClr w14:val="tx1"/>
            </w14:solidFill>
          </w14:textFill>
        </w:rPr>
        <w:t>二、服务基本内容</w:t>
      </w:r>
    </w:p>
    <w:p>
      <w:pPr>
        <w:numPr>
          <w:ilvl w:val="5"/>
          <w:numId w:val="0"/>
        </w:numPr>
        <w:tabs>
          <w:tab w:val="left" w:pos="540"/>
          <w:tab w:val="left" w:pos="1800"/>
        </w:tabs>
        <w:spacing w:line="540" w:lineRule="exact"/>
        <w:ind w:firstLine="640" w:firstLineChars="200"/>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服务保障及其他类——</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法律服务——纠纷管理。</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 xml:space="preserve">服务内容为诉讼催收。受托方接受委托方委托，对委托方个贷中违约的借款人或其它有关当事人（如保证人/抵押人/质押人等），按照委托方要求进行债务催收、诉讼、申请执行等，催促其归还拖欠款项或者结清在委托方贷款本息。包括但不限于以下内容： </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（一）起草、审查、修改与案件有关的法律文书，包括但不限于民事起诉状、财产保全申请书、强制执行申请书、优先受偿申请书等；</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（二）代理调查取证、证据收集；</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（三）代理立案、出庭、申请执行；</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（四）代收法院送达的法律文书；</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（五）参加与当事人的还款谈判；</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（六）解答与案件有关的法律咨询；</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（七）代理与法院的沟通工作；</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（八）领取案件执行款；</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（九）根据委托方要求和书面授权，提供的其它法律服务。</w:t>
      </w:r>
    </w:p>
    <w:p>
      <w:pPr>
        <w:autoSpaceDE w:val="0"/>
        <w:autoSpaceDN w:val="0"/>
        <w:adjustRightInd w:val="0"/>
        <w:spacing w:line="540" w:lineRule="exact"/>
        <w:ind w:firstLine="643"/>
        <w:jc w:val="left"/>
        <w:rPr>
          <w:rFonts w:ascii="彩虹黑体" w:eastAsia="彩虹黑体" w:cs="宋体"/>
          <w:b/>
          <w:color w:val="000000" w:themeColor="text1"/>
          <w:kern w:val="0"/>
          <w:sz w:val="32"/>
          <w:szCs w:val="32"/>
          <w14:textFill>
            <w14:solidFill>
              <w14:schemeClr w14:val="tx1"/>
            </w14:solidFill>
          </w14:textFill>
        </w:rPr>
      </w:pPr>
      <w:r>
        <w:rPr>
          <w:rFonts w:hint="eastAsia" w:ascii="彩虹黑体" w:eastAsia="彩虹黑体" w:cs="宋体"/>
          <w:b/>
          <w:color w:val="000000" w:themeColor="text1"/>
          <w:kern w:val="0"/>
          <w:sz w:val="32"/>
          <w:szCs w:val="32"/>
          <w14:textFill>
            <w14:solidFill>
              <w14:schemeClr w14:val="tx1"/>
            </w14:solidFill>
          </w14:textFill>
        </w:rPr>
        <w:t>三、服务团队要求</w:t>
      </w:r>
    </w:p>
    <w:p>
      <w:pPr>
        <w:adjustRightInd w:val="0"/>
        <w:snapToGrid w:val="0"/>
        <w:spacing w:line="540" w:lineRule="exact"/>
        <w:ind w:firstLine="640" w:firstLineChars="200"/>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由受托律师事务所指派一名项目经理或资深律师为团队牵头人，负责诉讼催收外包项目的具体实施。</w:t>
      </w:r>
      <w:r>
        <w:rPr>
          <w:rFonts w:hint="eastAsia" w:ascii="彩虹粗仿宋" w:hAnsi="Calibri" w:eastAsia="彩虹粗仿宋" w:cs="Times New Roman"/>
          <w:color w:val="000000" w:themeColor="text1"/>
          <w:sz w:val="32"/>
          <w:szCs w:val="32"/>
          <w14:textFill>
            <w14:solidFill>
              <w14:schemeClr w14:val="tx1"/>
            </w14:solidFill>
          </w14:textFill>
        </w:rPr>
        <w:t>受托律师事务所管理团队组建时，须挑选责任心强、具备相关工作经验的业务骨干，担任项目经理；外包服务人员应相对稳定，须具备法律专业知识以及一定的会计知识和电脑知识。</w:t>
      </w:r>
    </w:p>
    <w:p>
      <w:pPr>
        <w:autoSpaceDE w:val="0"/>
        <w:autoSpaceDN w:val="0"/>
        <w:adjustRightInd w:val="0"/>
        <w:spacing w:line="540" w:lineRule="exact"/>
        <w:ind w:firstLine="643"/>
        <w:jc w:val="left"/>
        <w:rPr>
          <w:rFonts w:ascii="彩虹黑体" w:eastAsia="彩虹黑体" w:cs="宋体"/>
          <w:b/>
          <w:color w:val="000000" w:themeColor="text1"/>
          <w:kern w:val="0"/>
          <w:sz w:val="32"/>
          <w:szCs w:val="32"/>
          <w14:textFill>
            <w14:solidFill>
              <w14:schemeClr w14:val="tx1"/>
            </w14:solidFill>
          </w14:textFill>
        </w:rPr>
      </w:pPr>
      <w:r>
        <w:rPr>
          <w:rFonts w:hint="eastAsia" w:ascii="彩虹黑体" w:eastAsia="彩虹黑体" w:cs="宋体"/>
          <w:b/>
          <w:color w:val="000000" w:themeColor="text1"/>
          <w:kern w:val="0"/>
          <w:sz w:val="32"/>
          <w:szCs w:val="32"/>
          <w14:textFill>
            <w14:solidFill>
              <w14:schemeClr w14:val="tx1"/>
            </w14:solidFill>
          </w14:textFill>
        </w:rPr>
        <w:t>四、服务质量要求</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（一）对中标人及外包服务人员的要求</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1. 代理委托人办理不良贷款催收、诉讼、执行事宜，及时了解、掌握案件立案、审理、执行等情况，敦促法院尽快立案、审理、判决、执行，撰写并及时提交案件法律意见书、项目进展情况报告及结案报告。</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2.</w:t>
      </w:r>
      <w:r>
        <w:rPr>
          <w:rFonts w:hint="eastAsia"/>
          <w:color w:val="000000" w:themeColor="text1"/>
          <w14:textFill>
            <w14:solidFill>
              <w14:schemeClr w14:val="tx1"/>
            </w14:solidFill>
          </w14:textFill>
        </w:rPr>
        <w:t xml:space="preserve"> </w:t>
      </w:r>
      <w:r>
        <w:rPr>
          <w:rFonts w:hint="eastAsia" w:ascii="彩虹粗仿宋" w:eastAsia="彩虹粗仿宋" w:cs="宋体"/>
          <w:color w:val="000000" w:themeColor="text1"/>
          <w:kern w:val="0"/>
          <w:sz w:val="32"/>
          <w:szCs w:val="32"/>
          <w14:textFill>
            <w14:solidFill>
              <w14:schemeClr w14:val="tx1"/>
            </w14:solidFill>
          </w14:textFill>
        </w:rPr>
        <w:t>受托律师事务所须在委托事项取得法律性诉讼进展后10日内向贷款核算行进行书面通报并提供相应的法律性文书（如已取得）。未在约定时间内进行书面通报的，我行将视情况予以约谈、减少委托、暂停委托直至终止合作。</w:t>
      </w:r>
    </w:p>
    <w:p>
      <w:pPr>
        <w:spacing w:line="540" w:lineRule="exact"/>
        <w:ind w:firstLine="640" w:firstLineChars="200"/>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3.</w:t>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委托终止或委托期限届满后，受托律师事务所及时将债务人资料返还给贷款核算行。受托律师事务所返还资料的范围：诉讼（或仲裁，或执行）过程中形成的文书，包括但不限于案件进展报告、案件结案报告、起（上）诉状、仲裁申请书、答辩状、异议书、判决书、裁定书、裁决书、调解书、申请执行书、法院查询（冻结和扣划）债务人（含担保人）财产的法律文书、催收和诉讼证据等。</w:t>
      </w:r>
    </w:p>
    <w:p>
      <w:pPr>
        <w:spacing w:line="540" w:lineRule="exact"/>
        <w:ind w:firstLine="640"/>
        <w:rPr>
          <w:rFonts w:ascii="彩虹粗仿宋" w:hAnsi="宋体" w:eastAsia="彩虹粗仿宋" w:cs="Arial"/>
          <w:color w:val="000000" w:themeColor="text1"/>
          <w:sz w:val="32"/>
          <w:szCs w:val="32"/>
          <w14:textFill>
            <w14:solidFill>
              <w14:schemeClr w14:val="tx1"/>
            </w14:solidFill>
          </w14:textFill>
        </w:rPr>
      </w:pPr>
      <w:r>
        <w:rPr>
          <w:rFonts w:hint="eastAsia" w:ascii="彩虹粗仿宋" w:eastAsia="彩虹粗仿宋" w:cs="宋体"/>
          <w:color w:val="000000" w:themeColor="text1"/>
          <w:kern w:val="0"/>
          <w:sz w:val="32"/>
          <w:szCs w:val="32"/>
          <w:lang w:val="en-US" w:eastAsia="zh-CN"/>
          <w14:textFill>
            <w14:solidFill>
              <w14:schemeClr w14:val="tx1"/>
            </w14:solidFill>
          </w14:textFill>
        </w:rPr>
        <w:t>4</w:t>
      </w:r>
      <w:r>
        <w:rPr>
          <w:rFonts w:hint="eastAsia" w:ascii="彩虹粗仿宋" w:eastAsia="彩虹粗仿宋" w:cs="宋体"/>
          <w:color w:val="000000" w:themeColor="text1"/>
          <w:kern w:val="0"/>
          <w:sz w:val="32"/>
          <w:szCs w:val="32"/>
          <w14:textFill>
            <w14:solidFill>
              <w14:schemeClr w14:val="tx1"/>
            </w14:solidFill>
          </w14:textFill>
        </w:rPr>
        <w:t>.</w:t>
      </w:r>
      <w:r>
        <w:rPr>
          <w:rFonts w:hint="eastAsia" w:ascii="彩虹粗仿宋" w:hAnsi="宋体" w:eastAsia="彩虹粗仿宋" w:cs="Arial"/>
          <w:color w:val="000000" w:themeColor="text1"/>
          <w:sz w:val="32"/>
          <w:szCs w:val="32"/>
          <w14:textFill>
            <w14:solidFill>
              <w14:schemeClr w14:val="tx1"/>
            </w14:solidFill>
          </w14:textFill>
        </w:rPr>
        <w:t>未经授权，受托律师事务所不得以建设银行名义开展活动，</w:t>
      </w:r>
      <w:r>
        <w:rPr>
          <w:rFonts w:ascii="彩虹粗仿宋" w:hAnsi="宋体" w:eastAsia="彩虹粗仿宋" w:cs="Arial"/>
          <w:color w:val="000000" w:themeColor="text1"/>
          <w:sz w:val="32"/>
          <w:szCs w:val="32"/>
          <w14:textFill>
            <w14:solidFill>
              <w14:schemeClr w14:val="tx1"/>
            </w14:solidFill>
          </w14:textFill>
        </w:rPr>
        <w:t>合理、忠实地行使代理权，不得滥用代理权，不得超越代理权行事;</w:t>
      </w:r>
      <w:r>
        <w:rPr>
          <w:rFonts w:hint="eastAsia" w:ascii="彩虹粗仿宋" w:hAnsi="宋体" w:eastAsia="彩虹粗仿宋" w:cs="Arial"/>
          <w:color w:val="000000" w:themeColor="text1"/>
          <w:sz w:val="32"/>
          <w:szCs w:val="32"/>
          <w14:textFill>
            <w14:solidFill>
              <w14:schemeClr w14:val="tx1"/>
            </w14:solidFill>
          </w14:textFill>
        </w:rPr>
        <w:t>经我行提出要求，受托律师事务所应当更换代理律师。</w:t>
      </w:r>
    </w:p>
    <w:p>
      <w:pPr>
        <w:spacing w:line="540" w:lineRule="exact"/>
        <w:ind w:firstLine="640" w:firstLineChars="200"/>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宋体" w:eastAsia="彩虹粗仿宋" w:cs="Arial"/>
          <w:color w:val="000000" w:themeColor="text1"/>
          <w:sz w:val="32"/>
          <w:szCs w:val="32"/>
          <w:lang w:val="en-US" w:eastAsia="zh-CN"/>
          <w14:textFill>
            <w14:solidFill>
              <w14:schemeClr w14:val="tx1"/>
            </w14:solidFill>
          </w14:textFill>
        </w:rPr>
        <w:t>5</w:t>
      </w:r>
      <w:r>
        <w:rPr>
          <w:rFonts w:hint="eastAsia" w:ascii="彩虹粗仿宋" w:hAnsi="宋体" w:eastAsia="彩虹粗仿宋" w:cs="Arial"/>
          <w:color w:val="000000" w:themeColor="text1"/>
          <w:sz w:val="32"/>
          <w:szCs w:val="32"/>
          <w14:textFill>
            <w14:solidFill>
              <w14:schemeClr w14:val="tx1"/>
            </w14:solidFill>
          </w14:textFill>
        </w:rPr>
        <w:t>.为建设银行的利益相对方或其他第三方提供法律服务时，不得使用违法违规或不正当手段损害建设银行合法利益和声誉。</w:t>
      </w:r>
    </w:p>
    <w:p>
      <w:pPr>
        <w:spacing w:line="540" w:lineRule="exact"/>
        <w:ind w:firstLine="640" w:firstLineChars="200"/>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宋体" w:eastAsia="彩虹粗仿宋" w:cs="Arial"/>
          <w:color w:val="000000" w:themeColor="text1"/>
          <w:sz w:val="32"/>
          <w:szCs w:val="32"/>
          <w:lang w:val="en-US" w:eastAsia="zh-CN"/>
          <w14:textFill>
            <w14:solidFill>
              <w14:schemeClr w14:val="tx1"/>
            </w14:solidFill>
          </w14:textFill>
        </w:rPr>
        <w:t>6</w:t>
      </w:r>
      <w:r>
        <w:rPr>
          <w:rFonts w:hint="eastAsia" w:ascii="彩虹粗仿宋" w:hAnsi="宋体" w:eastAsia="彩虹粗仿宋" w:cs="Arial"/>
          <w:color w:val="000000" w:themeColor="text1"/>
          <w:sz w:val="32"/>
          <w:szCs w:val="32"/>
          <w14:textFill>
            <w14:solidFill>
              <w14:schemeClr w14:val="tx1"/>
            </w14:solidFill>
          </w14:textFill>
        </w:rPr>
        <w:t>.受托律师事务所应积极配合委托人、监管机构对其代理工作的指导、监督。</w:t>
      </w:r>
    </w:p>
    <w:p>
      <w:pPr>
        <w:spacing w:line="540" w:lineRule="exact"/>
        <w:ind w:firstLine="640" w:firstLineChars="200"/>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宋体" w:eastAsia="彩虹粗仿宋" w:cs="Arial"/>
          <w:color w:val="000000" w:themeColor="text1"/>
          <w:sz w:val="32"/>
          <w:szCs w:val="32"/>
          <w:lang w:val="en-US" w:eastAsia="zh-CN"/>
          <w14:textFill>
            <w14:solidFill>
              <w14:schemeClr w14:val="tx1"/>
            </w14:solidFill>
          </w14:textFill>
        </w:rPr>
        <w:t>7</w:t>
      </w:r>
      <w:r>
        <w:rPr>
          <w:rFonts w:hint="eastAsia" w:ascii="彩虹粗仿宋" w:hAnsi="宋体" w:eastAsia="彩虹粗仿宋" w:cs="Arial"/>
          <w:color w:val="000000" w:themeColor="text1"/>
          <w:sz w:val="32"/>
          <w:szCs w:val="32"/>
          <w14:textFill>
            <w14:solidFill>
              <w14:schemeClr w14:val="tx1"/>
            </w14:solidFill>
          </w14:textFill>
        </w:rPr>
        <w:t>.</w:t>
      </w:r>
      <w:bookmarkStart w:id="0" w:name="_GoBack"/>
      <w:bookmarkEnd w:id="0"/>
      <w:r>
        <w:rPr>
          <w:rFonts w:hint="eastAsia" w:ascii="彩虹粗仿宋" w:hAnsi="宋体" w:eastAsia="彩虹粗仿宋" w:cs="Arial"/>
          <w:color w:val="000000" w:themeColor="text1"/>
          <w:sz w:val="32"/>
          <w:szCs w:val="32"/>
          <w14:textFill>
            <w14:solidFill>
              <w14:schemeClr w14:val="tx1"/>
            </w14:solidFill>
          </w14:textFill>
        </w:rPr>
        <w:t>受托律师事务所不得将受托事务转包或者变相转包。</w:t>
      </w:r>
    </w:p>
    <w:p>
      <w:pPr>
        <w:spacing w:line="540" w:lineRule="exact"/>
        <w:ind w:firstLine="640" w:firstLineChars="200"/>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宋体" w:eastAsia="彩虹粗仿宋" w:cs="Arial"/>
          <w:color w:val="000000" w:themeColor="text1"/>
          <w:sz w:val="32"/>
          <w:szCs w:val="32"/>
          <w:lang w:val="en-US" w:eastAsia="zh-CN"/>
          <w14:textFill>
            <w14:solidFill>
              <w14:schemeClr w14:val="tx1"/>
            </w14:solidFill>
          </w14:textFill>
        </w:rPr>
        <w:t>8</w:t>
      </w:r>
      <w:r>
        <w:rPr>
          <w:rFonts w:hint="eastAsia" w:ascii="彩虹粗仿宋" w:hAnsi="宋体" w:eastAsia="彩虹粗仿宋" w:cs="Arial"/>
          <w:color w:val="000000" w:themeColor="text1"/>
          <w:sz w:val="32"/>
          <w:szCs w:val="32"/>
          <w14:textFill>
            <w14:solidFill>
              <w14:schemeClr w14:val="tx1"/>
            </w14:solidFill>
          </w14:textFill>
        </w:rPr>
        <w:t>.</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s="宋体"/>
          <w:color w:val="000000" w:themeColor="text1"/>
          <w:kern w:val="0"/>
          <w:sz w:val="32"/>
          <w:szCs w:val="32"/>
          <w14:textFill>
            <w14:solidFill>
              <w14:schemeClr w14:val="tx1"/>
            </w14:solidFill>
          </w14:textFill>
        </w:rPr>
        <w:t>服务人员在实施诉讼外包服务过程中，其各种标识、名牌、工装、出入证等不得使用“中国建设银行”字样及LOGO。</w:t>
      </w:r>
    </w:p>
    <w:p>
      <w:pPr>
        <w:adjustRightInd w:val="0"/>
        <w:snapToGrid w:val="0"/>
        <w:spacing w:line="540" w:lineRule="exact"/>
        <w:ind w:firstLine="640" w:firstLineChars="200"/>
        <w:outlineLvl w:val="1"/>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（二）对招标人档案及相关资料的安全与保密要求</w:t>
      </w:r>
    </w:p>
    <w:p>
      <w:pPr>
        <w:adjustRightInd w:val="0"/>
        <w:snapToGrid w:val="0"/>
        <w:spacing w:line="540" w:lineRule="exact"/>
        <w:ind w:firstLine="640" w:firstLineChars="200"/>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1.受托律师事务所与我行的服务合同中须约定相关保密条款，同时须签订保密协议。</w:t>
      </w:r>
    </w:p>
    <w:p>
      <w:pPr>
        <w:adjustRightInd w:val="0"/>
        <w:snapToGrid w:val="0"/>
        <w:spacing w:line="540" w:lineRule="exact"/>
        <w:ind w:firstLine="640" w:firstLineChars="200"/>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2.受托律师事务所须履行保密义务，保密范围主要包括建行相关业务信息、规章制度以及客户有关信息资料等内容。</w:t>
      </w:r>
    </w:p>
    <w:p>
      <w:pPr>
        <w:adjustRightInd w:val="0"/>
        <w:snapToGrid w:val="0"/>
        <w:spacing w:line="540" w:lineRule="exact"/>
        <w:ind w:firstLine="640" w:firstLineChars="200"/>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3.受托律师事务所服务人员不得单独保留我行客户信息资料。</w:t>
      </w:r>
    </w:p>
    <w:p>
      <w:pPr>
        <w:adjustRightInd w:val="0"/>
        <w:snapToGrid w:val="0"/>
        <w:spacing w:line="540" w:lineRule="exact"/>
        <w:ind w:firstLine="640" w:firstLineChars="200"/>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4.受托律师事务所服务人员离职时必须交回业务资料。</w:t>
      </w:r>
    </w:p>
    <w:p>
      <w:pPr>
        <w:adjustRightInd w:val="0"/>
        <w:snapToGrid w:val="0"/>
        <w:spacing w:line="540" w:lineRule="exact"/>
        <w:ind w:firstLine="640" w:firstLineChars="200"/>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5.其他有关我行和客户信息安全的要求。</w:t>
      </w:r>
    </w:p>
    <w:p>
      <w:pPr>
        <w:adjustRightInd w:val="0"/>
        <w:snapToGrid w:val="0"/>
        <w:spacing w:line="540" w:lineRule="exact"/>
        <w:ind w:firstLine="640" w:firstLineChars="200"/>
        <w:outlineLvl w:val="1"/>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（三）考核验收标准</w:t>
      </w:r>
    </w:p>
    <w:p>
      <w:pPr>
        <w:adjustRightInd w:val="0"/>
        <w:snapToGrid w:val="0"/>
        <w:spacing w:line="540" w:lineRule="exact"/>
        <w:ind w:firstLine="640" w:firstLineChars="200"/>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个人不良贷款项目经受托律师事务所诉讼催收，达到以下状态的，视为完成委托事项，具备验收标准：</w:t>
      </w:r>
    </w:p>
    <w:p>
      <w:pPr>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1.经受托律师事务所诉讼催收，借款人结清全部不良贷款本息、或经我行同意归还已拖欠贷款本息并承诺继续履行借款合同。</w:t>
      </w:r>
    </w:p>
    <w:p>
      <w:pPr>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2.经受托律师事务所代理诉讼、法院下达法律文书并进入强制执行程序，借款人归还全部贷款本息或以抵押房产拍卖款偿还贷款本息，或债务人因无可供执行财产被法院终结本次执行裁定、或不良贷款押品进入拍卖程序但经一拍、二拍、变卖仍未拍卖成交而被法院终结执行的。</w:t>
      </w:r>
    </w:p>
    <w:p>
      <w:pPr>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3.双方约定的委托期限已届满。</w:t>
      </w:r>
    </w:p>
    <w:p>
      <w:pPr>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4.因其他原因，经双方同意终止委托的。</w:t>
      </w:r>
    </w:p>
    <w:p>
      <w:pPr>
        <w:adjustRightInd w:val="0"/>
        <w:snapToGrid w:val="0"/>
        <w:spacing w:line="540" w:lineRule="exact"/>
        <w:ind w:firstLine="640" w:firstLineChars="200"/>
        <w:outlineLvl w:val="1"/>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（四）退出机制</w:t>
      </w:r>
    </w:p>
    <w:p>
      <w:pPr>
        <w:adjustRightInd w:val="0"/>
        <w:snapToGrid w:val="0"/>
        <w:spacing w:line="540" w:lineRule="exact"/>
        <w:ind w:firstLine="640" w:firstLineChars="200"/>
        <w:outlineLvl w:val="1"/>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受托律师事务所出现以下情形时，我行有权单方面终止委托，受托律师事务所应无条件退出服务：</w:t>
      </w:r>
    </w:p>
    <w:p>
      <w:pPr>
        <w:spacing w:line="540" w:lineRule="exact"/>
        <w:ind w:firstLine="640" w:firstLineChars="200"/>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宋体" w:eastAsia="彩虹粗仿宋" w:cs="Arial"/>
          <w:color w:val="000000" w:themeColor="text1"/>
          <w:sz w:val="32"/>
          <w:szCs w:val="32"/>
          <w14:textFill>
            <w14:solidFill>
              <w14:schemeClr w14:val="tx1"/>
            </w14:solidFill>
          </w14:textFill>
        </w:rPr>
        <w:t>1.</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ascii="彩虹粗仿宋" w:hAnsi="宋体" w:eastAsia="彩虹粗仿宋" w:cs="Arial"/>
          <w:color w:val="000000" w:themeColor="text1"/>
          <w:sz w:val="32"/>
          <w:szCs w:val="32"/>
          <w14:textFill>
            <w14:solidFill>
              <w14:schemeClr w14:val="tx1"/>
            </w14:solidFill>
          </w14:textFill>
        </w:rPr>
        <w:t>无法按</w:t>
      </w:r>
      <w:r>
        <w:rPr>
          <w:rFonts w:hint="eastAsia" w:ascii="彩虹粗仿宋" w:hAnsi="宋体" w:eastAsia="彩虹粗仿宋" w:cs="Arial"/>
          <w:color w:val="000000" w:themeColor="text1"/>
          <w:sz w:val="32"/>
          <w:szCs w:val="32"/>
          <w14:textFill>
            <w14:solidFill>
              <w14:schemeClr w14:val="tx1"/>
            </w14:solidFill>
          </w14:textFill>
        </w:rPr>
        <w:t>我行</w:t>
      </w:r>
      <w:r>
        <w:rPr>
          <w:rFonts w:ascii="彩虹粗仿宋" w:hAnsi="宋体" w:eastAsia="彩虹粗仿宋" w:cs="Arial"/>
          <w:color w:val="000000" w:themeColor="text1"/>
          <w:sz w:val="32"/>
          <w:szCs w:val="32"/>
          <w14:textFill>
            <w14:solidFill>
              <w14:schemeClr w14:val="tx1"/>
            </w14:solidFill>
          </w14:textFill>
        </w:rPr>
        <w:t>的要求完成</w:t>
      </w:r>
      <w:r>
        <w:rPr>
          <w:rFonts w:hint="eastAsia" w:ascii="彩虹粗仿宋" w:hAnsi="宋体" w:eastAsia="彩虹粗仿宋" w:cs="Arial"/>
          <w:color w:val="000000" w:themeColor="text1"/>
          <w:sz w:val="32"/>
          <w:szCs w:val="32"/>
          <w14:textFill>
            <w14:solidFill>
              <w14:schemeClr w14:val="tx1"/>
            </w14:solidFill>
          </w14:textFill>
        </w:rPr>
        <w:t>服务</w:t>
      </w:r>
      <w:r>
        <w:rPr>
          <w:rFonts w:ascii="彩虹粗仿宋" w:hAnsi="宋体" w:eastAsia="彩虹粗仿宋" w:cs="Arial"/>
          <w:color w:val="000000" w:themeColor="text1"/>
          <w:sz w:val="32"/>
          <w:szCs w:val="32"/>
          <w14:textFill>
            <w14:solidFill>
              <w14:schemeClr w14:val="tx1"/>
            </w14:solidFill>
          </w14:textFill>
        </w:rPr>
        <w:t>合同规定的代理工作或怠于履行</w:t>
      </w:r>
      <w:r>
        <w:rPr>
          <w:rFonts w:hint="eastAsia" w:ascii="彩虹粗仿宋" w:hAnsi="宋体" w:eastAsia="彩虹粗仿宋" w:cs="Arial"/>
          <w:color w:val="000000" w:themeColor="text1"/>
          <w:sz w:val="32"/>
          <w:szCs w:val="32"/>
          <w14:textFill>
            <w14:solidFill>
              <w14:schemeClr w14:val="tx1"/>
            </w14:solidFill>
          </w14:textFill>
        </w:rPr>
        <w:t>代理工作、无特殊情形致使</w:t>
      </w:r>
      <w:r>
        <w:rPr>
          <w:rFonts w:ascii="彩虹粗仿宋" w:hAnsi="宋体" w:eastAsia="彩虹粗仿宋" w:cs="Arial"/>
          <w:color w:val="000000" w:themeColor="text1"/>
          <w:sz w:val="32"/>
          <w:szCs w:val="32"/>
          <w14:textFill>
            <w14:solidFill>
              <w14:schemeClr w14:val="tx1"/>
            </w14:solidFill>
          </w14:textFill>
        </w:rPr>
        <w:t>代理工作无实质性进展</w:t>
      </w:r>
      <w:r>
        <w:rPr>
          <w:rFonts w:hint="eastAsia" w:ascii="彩虹粗仿宋" w:hAnsi="宋体" w:eastAsia="彩虹粗仿宋" w:cs="Arial"/>
          <w:color w:val="000000" w:themeColor="text1"/>
          <w:sz w:val="32"/>
          <w:szCs w:val="32"/>
          <w14:textFill>
            <w14:solidFill>
              <w14:schemeClr w14:val="tx1"/>
            </w14:solidFill>
          </w14:textFill>
        </w:rPr>
        <w:t>（如</w:t>
      </w:r>
      <w:r>
        <w:rPr>
          <w:rFonts w:hint="eastAsia" w:ascii="彩虹粗仿宋" w:hAnsi="Calibri" w:eastAsia="彩虹粗仿宋" w:cs="Times New Roman"/>
          <w:color w:val="000000" w:themeColor="text1"/>
          <w:sz w:val="32"/>
          <w:szCs w:val="32"/>
          <w14:textFill>
            <w14:solidFill>
              <w14:schemeClr w14:val="tx1"/>
            </w14:solidFill>
          </w14:textFill>
        </w:rPr>
        <w:t>受托律师事务所自接受委托</w:t>
      </w:r>
      <w:r>
        <w:rPr>
          <w:rFonts w:hint="eastAsia" w:ascii="彩虹粗仿宋" w:hAnsi="宋体" w:eastAsia="彩虹粗仿宋" w:cs="Times New Roman"/>
          <w:color w:val="000000" w:themeColor="text1"/>
          <w:kern w:val="0"/>
          <w:sz w:val="32"/>
          <w:szCs w:val="32"/>
          <w14:textFill>
            <w14:solidFill>
              <w14:schemeClr w14:val="tx1"/>
            </w14:solidFill>
          </w14:textFill>
        </w:rPr>
        <w:t>之日起三个月内不能完成立案的、未实现回收</w:t>
      </w:r>
      <w:r>
        <w:rPr>
          <w:rFonts w:hint="eastAsia" w:ascii="彩虹粗仿宋" w:hAnsi="宋体" w:eastAsia="彩虹粗仿宋" w:cs="Arial"/>
          <w:color w:val="000000" w:themeColor="text1"/>
          <w:sz w:val="32"/>
          <w:szCs w:val="32"/>
          <w14:textFill>
            <w14:solidFill>
              <w14:schemeClr w14:val="tx1"/>
            </w14:solidFill>
          </w14:textFill>
        </w:rPr>
        <w:t>），或非我行原因导致的项目立案、执行、回收等进度明显滞后于其他律所，我行</w:t>
      </w:r>
      <w:r>
        <w:rPr>
          <w:rFonts w:hint="eastAsia" w:ascii="彩虹粗仿宋" w:hAnsi="宋体" w:eastAsia="彩虹粗仿宋" w:cs="Times New Roman"/>
          <w:color w:val="000000" w:themeColor="text1"/>
          <w:kern w:val="0"/>
          <w:sz w:val="32"/>
          <w:szCs w:val="32"/>
          <w14:textFill>
            <w14:solidFill>
              <w14:schemeClr w14:val="tx1"/>
            </w14:solidFill>
          </w14:textFill>
        </w:rPr>
        <w:t>有权提前终止现有委托、减少后续委托项目数量或解除合同（</w:t>
      </w:r>
      <w:r>
        <w:rPr>
          <w:rFonts w:hint="eastAsia" w:ascii="彩虹粗仿宋" w:hAnsi="宋体" w:eastAsia="彩虹粗仿宋" w:cs="Arial"/>
          <w:color w:val="000000" w:themeColor="text1"/>
          <w:sz w:val="32"/>
          <w:szCs w:val="32"/>
          <w14:textFill>
            <w14:solidFill>
              <w14:schemeClr w14:val="tx1"/>
            </w14:solidFill>
          </w14:textFill>
        </w:rPr>
        <w:t>解除合同的，我行对尚未支付的代理费不予支付）。</w:t>
      </w:r>
    </w:p>
    <w:p>
      <w:pPr>
        <w:tabs>
          <w:tab w:val="left" w:pos="660"/>
        </w:tabs>
        <w:spacing w:line="540" w:lineRule="exact"/>
        <w:ind w:right="-101" w:rightChars="-48" w:firstLine="640" w:firstLineChars="200"/>
        <w:jc w:val="left"/>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hAnsi="宋体" w:eastAsia="彩虹粗仿宋" w:cs="Arial"/>
          <w:color w:val="000000" w:themeColor="text1"/>
          <w:sz w:val="32"/>
          <w:szCs w:val="32"/>
          <w14:textFill>
            <w14:solidFill>
              <w14:schemeClr w14:val="tx1"/>
            </w14:solidFill>
          </w14:textFill>
        </w:rPr>
        <w:t>在与我行协商并经同意后，可以辞去委托。</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hAnsi="宋体" w:eastAsia="彩虹粗仿宋" w:cs="Arial"/>
          <w:color w:val="000000" w:themeColor="text1"/>
          <w:sz w:val="32"/>
          <w:szCs w:val="32"/>
          <w14:textFill>
            <w14:solidFill>
              <w14:schemeClr w14:val="tx1"/>
            </w14:solidFill>
          </w14:textFill>
        </w:rPr>
        <w:t>擅自终止合同的，应当退还我行已经支付的全部费用，且不予支付尚未支付的代理费。</w:t>
      </w:r>
    </w:p>
    <w:p>
      <w:pPr>
        <w:spacing w:line="540" w:lineRule="exact"/>
        <w:ind w:firstLine="640" w:firstLineChars="200"/>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宋体" w:eastAsia="彩虹粗仿宋" w:cs="Arial"/>
          <w:color w:val="000000" w:themeColor="text1"/>
          <w:sz w:val="32"/>
          <w:szCs w:val="32"/>
          <w14:textFill>
            <w14:solidFill>
              <w14:schemeClr w14:val="tx1"/>
            </w14:solidFill>
          </w14:textFill>
        </w:rPr>
        <w:t>2.在合同有效期间内，</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olor w:val="000000" w:themeColor="text1"/>
          <w:sz w:val="32"/>
          <w:szCs w:val="32"/>
          <w14:textFill>
            <w14:solidFill>
              <w14:schemeClr w14:val="tx1"/>
            </w14:solidFill>
          </w14:textFill>
        </w:rPr>
        <w:t>应确保其行为在委托代理授权范围内合法合规，并不得发生以下禁止事项：</w:t>
      </w:r>
      <w:r>
        <w:rPr>
          <w:rFonts w:hint="eastAsia" w:ascii="彩虹粗仿宋" w:hAnsi="宋体" w:eastAsia="彩虹粗仿宋" w:cs="Arial"/>
          <w:color w:val="000000" w:themeColor="text1"/>
          <w:sz w:val="32"/>
          <w:szCs w:val="32"/>
          <w14:textFill>
            <w14:solidFill>
              <w14:schemeClr w14:val="tx1"/>
            </w14:solidFill>
          </w14:textFill>
        </w:rPr>
        <w:t>不得向债务人收取现金或以任何其他方式向债务人收取欠款（中标人只能向债务人提示到招标人指定的营业网点、账户缴纳欠款本息）；</w:t>
      </w:r>
      <w:r>
        <w:rPr>
          <w:rFonts w:hint="eastAsia" w:ascii="彩虹粗仿宋" w:eastAsia="彩虹粗仿宋"/>
          <w:color w:val="000000" w:themeColor="text1"/>
          <w:sz w:val="32"/>
          <w:szCs w:val="32"/>
          <w14:textFill>
            <w14:solidFill>
              <w14:schemeClr w14:val="tx1"/>
            </w14:solidFill>
          </w14:textFill>
        </w:rPr>
        <w:t>未经我行书面允许不得收取抵债资产。否则，我行</w:t>
      </w:r>
      <w:r>
        <w:rPr>
          <w:rFonts w:ascii="彩虹粗仿宋" w:hAnsi="宋体" w:eastAsia="彩虹粗仿宋" w:cs="Arial"/>
          <w:color w:val="000000" w:themeColor="text1"/>
          <w:sz w:val="32"/>
          <w:szCs w:val="32"/>
          <w14:textFill>
            <w14:solidFill>
              <w14:schemeClr w14:val="tx1"/>
            </w14:solidFill>
          </w14:textFill>
        </w:rPr>
        <w:t>有权单方解除合同</w:t>
      </w:r>
      <w:r>
        <w:rPr>
          <w:rFonts w:hint="eastAsia" w:ascii="彩虹粗仿宋" w:hAnsi="宋体" w:eastAsia="彩虹粗仿宋" w:cs="Arial"/>
          <w:color w:val="000000" w:themeColor="text1"/>
          <w:sz w:val="32"/>
          <w:szCs w:val="32"/>
          <w14:textFill>
            <w14:solidFill>
              <w14:schemeClr w14:val="tx1"/>
            </w14:solidFill>
          </w14:textFill>
        </w:rPr>
        <w:t>，对尚未支付的代理费不予支付。</w:t>
      </w:r>
    </w:p>
    <w:p>
      <w:pPr>
        <w:spacing w:line="540" w:lineRule="exact"/>
        <w:ind w:firstLine="640" w:firstLineChars="200"/>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宋体" w:eastAsia="彩虹粗仿宋" w:cs="Arial"/>
          <w:color w:val="000000" w:themeColor="text1"/>
          <w:sz w:val="32"/>
          <w:szCs w:val="32"/>
          <w14:textFill>
            <w14:solidFill>
              <w14:schemeClr w14:val="tx1"/>
            </w14:solidFill>
          </w14:textFill>
        </w:rPr>
        <w:t>3.</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hAnsi="宋体" w:eastAsia="彩虹粗仿宋" w:cs="Arial"/>
          <w:color w:val="000000" w:themeColor="text1"/>
          <w:sz w:val="32"/>
          <w:szCs w:val="32"/>
          <w14:textFill>
            <w14:solidFill>
              <w14:schemeClr w14:val="tx1"/>
            </w14:solidFill>
          </w14:textFill>
        </w:rPr>
        <w:t>及其指派律师违反合同的约定或者违反律师职业道德，我行有权单方解除合同，给我行造成损失的，</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hAnsi="宋体" w:eastAsia="彩虹粗仿宋" w:cs="Arial"/>
          <w:color w:val="000000" w:themeColor="text1"/>
          <w:sz w:val="32"/>
          <w:szCs w:val="32"/>
          <w14:textFill>
            <w14:solidFill>
              <w14:schemeClr w14:val="tx1"/>
            </w14:solidFill>
          </w14:textFill>
        </w:rPr>
        <w:t>须赔偿我行的损失。</w:t>
      </w:r>
    </w:p>
    <w:p>
      <w:pPr>
        <w:adjustRightInd w:val="0"/>
        <w:snapToGrid w:val="0"/>
        <w:spacing w:line="540" w:lineRule="exact"/>
        <w:ind w:firstLine="640" w:firstLineChars="200"/>
        <w:outlineLvl w:val="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五、服务供应安排</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协议有效期为一年，协议期间委托方委托的单个案件委托期限最长为二年（协议到期不影响委托期限）。如</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s="宋体"/>
          <w:color w:val="000000" w:themeColor="text1"/>
          <w:kern w:val="0"/>
          <w:sz w:val="32"/>
          <w:szCs w:val="32"/>
          <w14:textFill>
            <w14:solidFill>
              <w14:schemeClr w14:val="tx1"/>
            </w14:solidFill>
          </w14:textFill>
        </w:rPr>
        <w:t>接受委托后，因怠于履行等原因致使诉讼业务停滞，则我行有权提前解除协议。</w:t>
      </w:r>
    </w:p>
    <w:p>
      <w:pPr>
        <w:autoSpaceDE w:val="0"/>
        <w:autoSpaceDN w:val="0"/>
        <w:adjustRightInd w:val="0"/>
        <w:spacing w:line="540" w:lineRule="exact"/>
        <w:ind w:firstLine="643"/>
        <w:jc w:val="left"/>
        <w:rPr>
          <w:rFonts w:ascii="彩虹黑体" w:eastAsia="彩虹黑体" w:cs="宋体"/>
          <w:b/>
          <w:color w:val="000000" w:themeColor="text1"/>
          <w:kern w:val="0"/>
          <w:sz w:val="32"/>
          <w:szCs w:val="32"/>
          <w14:textFill>
            <w14:solidFill>
              <w14:schemeClr w14:val="tx1"/>
            </w14:solidFill>
          </w14:textFill>
        </w:rPr>
      </w:pPr>
      <w:r>
        <w:rPr>
          <w:rFonts w:hint="eastAsia" w:ascii="彩虹黑体" w:eastAsia="彩虹黑体" w:cs="宋体"/>
          <w:b/>
          <w:color w:val="000000" w:themeColor="text1"/>
          <w:kern w:val="0"/>
          <w:sz w:val="32"/>
          <w:szCs w:val="32"/>
          <w14:textFill>
            <w14:solidFill>
              <w14:schemeClr w14:val="tx1"/>
            </w14:solidFill>
          </w14:textFill>
        </w:rPr>
        <w:t>六、服务数量要求</w:t>
      </w:r>
    </w:p>
    <w:p>
      <w:pPr>
        <w:autoSpaceDE w:val="0"/>
        <w:autoSpaceDN w:val="0"/>
        <w:adjustRightInd w:val="0"/>
        <w:spacing w:line="540" w:lineRule="exact"/>
        <w:ind w:firstLine="643"/>
        <w:jc w:val="left"/>
        <w:rPr>
          <w:rFonts w:hint="eastAsia" w:ascii="彩虹粗仿宋" w:eastAsia="彩虹粗仿宋" w:cs="宋体"/>
          <w:color w:val="000000" w:themeColor="text1"/>
          <w:kern w:val="0"/>
          <w:sz w:val="32"/>
          <w:szCs w:val="32"/>
          <w:lang w:eastAsia="zh-CN"/>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2024年度开封</w:t>
      </w:r>
      <w:r>
        <w:rPr>
          <w:rFonts w:hint="eastAsia" w:ascii="彩虹粗仿宋" w:eastAsia="彩虹粗仿宋" w:cs="宋体"/>
          <w:color w:val="000000" w:themeColor="text1"/>
          <w:kern w:val="0"/>
          <w:sz w:val="32"/>
          <w:szCs w:val="32"/>
          <w:lang w:val="en-US" w:eastAsia="zh-CN"/>
          <w14:textFill>
            <w14:solidFill>
              <w14:schemeClr w14:val="tx1"/>
            </w14:solidFill>
          </w14:textFill>
        </w:rPr>
        <w:t>分行</w:t>
      </w:r>
      <w:r>
        <w:rPr>
          <w:rFonts w:hint="eastAsia" w:ascii="彩虹粗仿宋" w:eastAsia="彩虹粗仿宋" w:cs="宋体"/>
          <w:color w:val="000000" w:themeColor="text1"/>
          <w:kern w:val="0"/>
          <w:sz w:val="32"/>
          <w:szCs w:val="32"/>
          <w14:textFill>
            <w14:solidFill>
              <w14:schemeClr w14:val="tx1"/>
            </w14:solidFill>
          </w14:textFill>
        </w:rPr>
        <w:t>拟计划诉讼催收外包个人不良贷款</w:t>
      </w:r>
      <w:r>
        <w:rPr>
          <w:rFonts w:hint="eastAsia" w:ascii="彩虹粗仿宋" w:hAnsi="宋体" w:eastAsia="彩虹粗仿宋"/>
          <w:snapToGrid w:val="0"/>
          <w:color w:val="000000" w:themeColor="text1"/>
          <w:kern w:val="0"/>
          <w:sz w:val="32"/>
          <w:szCs w:val="32"/>
          <w14:textFill>
            <w14:solidFill>
              <w14:schemeClr w14:val="tx1"/>
            </w14:solidFill>
          </w14:textFill>
        </w:rPr>
        <w:t>12000万元</w:t>
      </w:r>
      <w:r>
        <w:rPr>
          <w:rFonts w:hint="eastAsia" w:ascii="彩虹粗仿宋" w:eastAsia="彩虹粗仿宋" w:cs="宋体"/>
          <w:color w:val="000000" w:themeColor="text1"/>
          <w:kern w:val="0"/>
          <w:sz w:val="32"/>
          <w:szCs w:val="32"/>
          <w:lang w:eastAsia="zh-CN"/>
          <w14:textFill>
            <w14:solidFill>
              <w14:schemeClr w14:val="tx1"/>
            </w14:solidFill>
          </w14:textFill>
        </w:rPr>
        <w:t>。</w:t>
      </w:r>
    </w:p>
    <w:p>
      <w:pPr>
        <w:adjustRightInd w:val="0"/>
        <w:snapToGrid w:val="0"/>
        <w:spacing w:line="540" w:lineRule="exact"/>
        <w:ind w:firstLine="640" w:firstLineChars="200"/>
        <w:outlineLvl w:val="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七、款项支付要求</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（一）本项目预算人民币</w:t>
      </w:r>
      <w:r>
        <w:rPr>
          <w:rFonts w:hint="eastAsia" w:ascii="彩虹粗仿宋" w:eastAsia="彩虹粗仿宋" w:cs="Times New Roman" w:hAnsiTheme="minorEastAsia"/>
          <w:snapToGrid w:val="0"/>
          <w:color w:val="000000" w:themeColor="text1"/>
          <w:sz w:val="32"/>
          <w:szCs w:val="32"/>
          <w:shd w:val="clear" w:color="auto" w:fill="FFFFFF"/>
          <w:lang w:val="en-US" w:eastAsia="zh-CN"/>
          <w14:textFill>
            <w14:solidFill>
              <w14:schemeClr w14:val="tx1"/>
            </w14:solidFill>
          </w14:textFill>
        </w:rPr>
        <w:t>127.05</w:t>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万元</w:t>
      </w:r>
      <w:r>
        <w:rPr>
          <w:rFonts w:hint="eastAsia" w:ascii="彩虹粗仿宋" w:eastAsia="彩虹粗仿宋" w:cs="宋体"/>
          <w:color w:val="000000" w:themeColor="text1"/>
          <w:kern w:val="0"/>
          <w:sz w:val="32"/>
          <w:szCs w:val="32"/>
          <w14:textFill>
            <w14:solidFill>
              <w14:schemeClr w14:val="tx1"/>
            </w14:solidFill>
          </w14:textFill>
        </w:rPr>
        <w:t>。</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（二）款项支付</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个人不良贷款诉讼催收外包实行风险代理，委托时按照批次以委托催收包的方式进行，按照下列标准支付代理费：</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1.律师代理费主要根据回收金额、回收期限、回收率和代理费率计算。首次代理费在合作初始6个月考核期结束之后核算支付，之后每三个月计付一次。委托代理期限届满后回收的本息不再支付代理费用。</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2. 以下情形不支付代理费：（1）</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开展诉讼催收措施前，债务人业已结清全部贷款本息、或已结清全部拖欠逾期贷款本息贷款（分期还款方式）转为正常状态，且我行同意借款人继续履行借款合同，不需再进行诉讼催收的。（2）非受托律师事务所诉讼催收措施，债务人涉及他案诉讼导致债务人在我行抵押房产被法院拍卖，我行以领取优先受偿款而回收的贷款。（3）项目提前终止委托之后或委托期限届满之后回收的贷款。（4）其他情形。</w:t>
      </w:r>
    </w:p>
    <w:p>
      <w:pPr>
        <w:spacing w:line="56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3.项目立案资料用印完成之后、经</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催收实现现金回收的不良贷款，按不超过实际到账金额的3%(郑州以外地市不超过4%，实际费率按最终采购结果)费率标准支付委托代理费，且单户最高不超过2万元（对一次性还款方式的不良贷款需实现全部贷款本息回收；对分期还款方式的不良贷款需结清全部拖欠贷款本息、贷款转为正常状态且我行同意借款人继续履行借款合同）。</w:t>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ab/>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受托律所须保留有效催收记录，并在结算代理费时移交委托机构。</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4.法院立案后现金回收的不良贷款</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（1）对全部结清一次性还款方式的不良贷款、或全部结清诉讼请求解除借款合同的按期还款方式的不良贷款，郑州地区按不超过实际到账金额的 3%(郑州以外其他地市4%。预算费率，实际费率按最终采购结果)支付诉讼代理费，且单户最高不超过2万元。</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2）对分期还款方式的不良贷款，借款人须偿还全部拖欠贷款本息（贷款转为正常状态）且我行同意借款人继续履行借款合同的，按照不超过回收金额4%（郑州地区以外按不超过6%）的预算费率（实际费率按最终采购结果)计算代理费，且单户最高不超过2万元。</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3）对5万元（含）以上信用类不良贷款，取得胜诉判决书或调解书的，按照上述（1）、（2）项计算代理费不足500元的、按500元支付。对5万元（含）以上信用类不良贷款，在债务人无可供执行财产线索的情况下取得法院终结本次执行裁定并将债务人列入失信被执行人名单的，按照上述（1）、（2）项计算代理费不足1000元的、按1000元支付；对抵押类不良贷款，在抵押物进行拍卖但经一拍、二拍、变卖仍未拍卖成交的，法院终结执行取得裁定法律文书的，按照上述（1）、（2）项计算代理费不足1500元的、按1500元支付。</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（4）同一借款人既有抵押类贷款，又有信用类贷款的，一并打包按抵押类贷款进行核算。</w:t>
      </w:r>
    </w:p>
    <w:p>
      <w:pPr>
        <w:autoSpaceDE w:val="0"/>
        <w:autoSpaceDN w:val="0"/>
        <w:adjustRightInd w:val="0"/>
        <w:spacing w:line="540" w:lineRule="exact"/>
        <w:ind w:firstLine="640" w:firstLineChars="200"/>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5.考核期（</w:t>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从正式委托</w:t>
      </w:r>
      <w:r>
        <w:rPr>
          <w:rFonts w:hint="eastAsia" w:ascii="彩虹粗仿宋" w:eastAsia="彩虹粗仿宋" w:cs="Times New Roman" w:hAnsiTheme="minorEastAsia"/>
          <w:snapToGrid w:val="0"/>
          <w:color w:val="000000" w:themeColor="text1"/>
          <w:sz w:val="32"/>
          <w:szCs w:val="32"/>
          <w14:textFill>
            <w14:solidFill>
              <w14:schemeClr w14:val="tx1"/>
            </w14:solidFill>
          </w14:textFill>
        </w:rPr>
        <w:t>日起满6个</w:t>
      </w:r>
      <w:r>
        <w:rPr>
          <w:rFonts w:hint="eastAsia" w:ascii="彩虹粗仿宋" w:eastAsia="彩虹粗仿宋" w:cs="宋体"/>
          <w:color w:val="000000" w:themeColor="text1"/>
          <w:kern w:val="0"/>
          <w:sz w:val="32"/>
          <w:szCs w:val="32"/>
          <w14:textFill>
            <w14:solidFill>
              <w14:schemeClr w14:val="tx1"/>
            </w14:solidFill>
          </w14:textFill>
        </w:rPr>
        <w:t>月）后各批次每3个月支付一次代理费，</w:t>
      </w:r>
      <w:r>
        <w:rPr>
          <w:rFonts w:hint="eastAsia" w:ascii="彩虹粗仿宋" w:hAnsi="Calibri" w:eastAsia="彩虹粗仿宋" w:cs="Times New Roman"/>
          <w:color w:val="000000" w:themeColor="text1"/>
          <w:sz w:val="32"/>
          <w:szCs w:val="32"/>
          <w14:textFill>
            <w14:solidFill>
              <w14:schemeClr w14:val="tx1"/>
            </w14:solidFill>
          </w14:textFill>
        </w:rPr>
        <w:t>受托律师事务所需</w:t>
      </w:r>
      <w:r>
        <w:rPr>
          <w:rFonts w:hint="eastAsia" w:ascii="彩虹粗仿宋" w:eastAsia="彩虹粗仿宋" w:cs="宋体"/>
          <w:color w:val="000000" w:themeColor="text1"/>
          <w:kern w:val="0"/>
          <w:sz w:val="32"/>
          <w:szCs w:val="32"/>
          <w14:textFill>
            <w14:solidFill>
              <w14:schemeClr w14:val="tx1"/>
            </w14:solidFill>
          </w14:textFill>
        </w:rPr>
        <w:t>向我行提供增值税专用发票。</w:t>
      </w:r>
    </w:p>
    <w:p>
      <w:pPr>
        <w:autoSpaceDE w:val="0"/>
        <w:autoSpaceDN w:val="0"/>
        <w:adjustRightInd w:val="0"/>
        <w:spacing w:line="540" w:lineRule="exact"/>
        <w:ind w:firstLine="640" w:firstLineChars="200"/>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（三）律师代理费计付的特别约定</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为充分调动受托律师事务所的积极性，提升实际回收效果，对于受托律师事务所激励约束政策如下：</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1.单笔在一年以内回收的，按中标费率标准付费；超过一年实现的回收，按中标费率的70%付费。</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2.以批次委托为单位，该批次考核期内不良压缩率高于70%的，该批次委托期内总付费为依据前款逐笔计算律师代理费总和的110%；低于30%的，该批次委托期内总付费为依据前款逐笔计算律师代理费总和的80%；低于15%的，终止该批次所有委托，该批次不支付代理费。</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（四）暂停、终止委托的情形</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1.委托后非我行原因（自我行完成调档、用印等相关事宜起）三个月未达成调解或未实现回收或未立案的，暂停该笔委托。</w:t>
      </w:r>
    </w:p>
    <w:p>
      <w:pPr>
        <w:adjustRightInd w:val="0"/>
        <w:snapToGrid w:val="0"/>
        <w:spacing w:line="540" w:lineRule="exact"/>
        <w:ind w:firstLine="640" w:firstLineChars="200"/>
        <w:outlineLvl w:val="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八、报价要求</w:t>
      </w:r>
    </w:p>
    <w:p>
      <w:pPr>
        <w:autoSpaceDE w:val="0"/>
        <w:autoSpaceDN w:val="0"/>
        <w:adjustRightInd w:val="0"/>
        <w:spacing w:line="540" w:lineRule="exact"/>
        <w:ind w:firstLine="643"/>
        <w:jc w:val="left"/>
        <w:rPr>
          <w:rFonts w:ascii="彩虹粗仿宋" w:hAnsi="宋体" w:eastAsia="彩虹粗仿宋" w:cs="Arial"/>
          <w:color w:val="000000" w:themeColor="text1"/>
          <w:sz w:val="32"/>
          <w:szCs w:val="32"/>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（一）项目立案资料用印完成之后、经</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催收实行现金回收的不良贷款，按不超过实际到账金额的3%(预算费率，实际费率按最终采购结果)支付委托代理费，且单户最高不超过2万元</w:t>
      </w:r>
      <w:r>
        <w:rPr>
          <w:rFonts w:hint="eastAsia" w:ascii="彩虹粗仿宋" w:hAnsi="宋体" w:eastAsia="彩虹粗仿宋" w:cs="Arial"/>
          <w:color w:val="000000" w:themeColor="text1"/>
          <w:sz w:val="32"/>
          <w:szCs w:val="32"/>
          <w14:textFill>
            <w14:solidFill>
              <w14:schemeClr w14:val="tx1"/>
            </w14:solidFill>
          </w14:textFill>
        </w:rPr>
        <w:t>。（</w:t>
      </w:r>
      <w:r>
        <w:rPr>
          <w:rFonts w:hint="eastAsia" w:ascii="彩虹粗仿宋" w:eastAsia="彩虹粗仿宋" w:cs="宋体"/>
          <w:color w:val="000000" w:themeColor="text1"/>
          <w:kern w:val="0"/>
          <w:sz w:val="32"/>
          <w:szCs w:val="32"/>
          <w14:textFill>
            <w14:solidFill>
              <w14:schemeClr w14:val="tx1"/>
            </w14:solidFill>
          </w14:textFill>
        </w:rPr>
        <w:t>报价方式：郑州地区标段，按照不超过实际到账金额的3%。具体是郑州：**律所*%；郑州以外16个地区标段，按照不超过实际到账金额的4%，具体是**市:**律所*%</w:t>
      </w:r>
      <w:r>
        <w:rPr>
          <w:rFonts w:hint="eastAsia" w:ascii="彩虹粗仿宋" w:hAnsi="宋体" w:eastAsia="彩虹粗仿宋" w:cs="Arial"/>
          <w:color w:val="000000" w:themeColor="text1"/>
          <w:sz w:val="32"/>
          <w:szCs w:val="32"/>
          <w14:textFill>
            <w14:solidFill>
              <w14:schemeClr w14:val="tx1"/>
            </w14:solidFill>
          </w14:textFill>
        </w:rPr>
        <w:t>）</w:t>
      </w:r>
    </w:p>
    <w:p>
      <w:pPr>
        <w:autoSpaceDE w:val="0"/>
        <w:autoSpaceDN w:val="0"/>
        <w:adjustRightInd w:val="0"/>
        <w:spacing w:line="540" w:lineRule="exact"/>
        <w:ind w:firstLine="643"/>
        <w:jc w:val="left"/>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宋体" w:eastAsia="彩虹粗仿宋" w:cs="Arial"/>
          <w:color w:val="000000" w:themeColor="text1"/>
          <w:sz w:val="32"/>
          <w:szCs w:val="32"/>
          <w14:textFill>
            <w14:solidFill>
              <w14:schemeClr w14:val="tx1"/>
            </w14:solidFill>
          </w14:textFill>
        </w:rPr>
        <w:t>（二）</w:t>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法院立案后现金回收的不良贷款。对全部结清一次性还款方式的不良贷款、或全部结清诉讼请求解除借款合同的按期还款方式的不良贷款，按不超过实际到账金额的 3%(预算费率，实际费率按最终采购结果)支付诉讼代理费，且单户最高不超过2万元。</w:t>
      </w:r>
      <w:r>
        <w:rPr>
          <w:rFonts w:hint="eastAsia" w:ascii="彩虹粗仿宋" w:hAnsi="宋体" w:eastAsia="彩虹粗仿宋" w:cs="Arial"/>
          <w:color w:val="000000" w:themeColor="text1"/>
          <w:sz w:val="32"/>
          <w:szCs w:val="32"/>
          <w14:textFill>
            <w14:solidFill>
              <w14:schemeClr w14:val="tx1"/>
            </w14:solidFill>
          </w14:textFill>
        </w:rPr>
        <w:t>（</w:t>
      </w:r>
      <w:r>
        <w:rPr>
          <w:rFonts w:hint="eastAsia" w:ascii="彩虹粗仿宋" w:eastAsia="彩虹粗仿宋" w:cs="宋体"/>
          <w:color w:val="000000" w:themeColor="text1"/>
          <w:kern w:val="0"/>
          <w:sz w:val="32"/>
          <w:szCs w:val="32"/>
          <w14:textFill>
            <w14:solidFill>
              <w14:schemeClr w14:val="tx1"/>
            </w14:solidFill>
          </w14:textFill>
        </w:rPr>
        <w:t>报价方式：郑州地区标段，按照不超过实际到账金额的3%。具体是郑州：**律所*%；郑州以外16个地区标段，按照不超过实际到账金额的4%，具体是**市:**律所*%。</w:t>
      </w:r>
      <w:r>
        <w:rPr>
          <w:rFonts w:hint="eastAsia" w:ascii="彩虹粗仿宋" w:hAnsi="宋体" w:eastAsia="彩虹粗仿宋" w:cs="Arial"/>
          <w:color w:val="000000" w:themeColor="text1"/>
          <w:sz w:val="32"/>
          <w:szCs w:val="32"/>
          <w14:textFill>
            <w14:solidFill>
              <w14:schemeClr w14:val="tx1"/>
            </w14:solidFill>
          </w14:textFill>
        </w:rPr>
        <w:t>）</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除上述需进行报价外，其他未有报价要求的情形按照第七项款项支付的约定执行，</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s="宋体"/>
          <w:color w:val="000000" w:themeColor="text1"/>
          <w:kern w:val="0"/>
          <w:sz w:val="32"/>
          <w:szCs w:val="32"/>
          <w14:textFill>
            <w14:solidFill>
              <w14:schemeClr w14:val="tx1"/>
            </w14:solidFill>
          </w14:textFill>
        </w:rPr>
        <w:t>无需报价。</w:t>
      </w:r>
    </w:p>
    <w:p>
      <w:pPr>
        <w:autoSpaceDE w:val="0"/>
        <w:autoSpaceDN w:val="0"/>
        <w:adjustRightInd w:val="0"/>
        <w:spacing w:line="540" w:lineRule="exact"/>
        <w:ind w:firstLine="643"/>
        <w:jc w:val="left"/>
        <w:rPr>
          <w:rFonts w:ascii="彩虹黑体" w:eastAsia="彩虹黑体" w:cs="宋体"/>
          <w:b/>
          <w:color w:val="000000" w:themeColor="text1"/>
          <w:kern w:val="0"/>
          <w:sz w:val="32"/>
          <w:szCs w:val="32"/>
          <w14:textFill>
            <w14:solidFill>
              <w14:schemeClr w14:val="tx1"/>
            </w14:solidFill>
          </w14:textFill>
        </w:rPr>
      </w:pPr>
      <w:r>
        <w:rPr>
          <w:rFonts w:hint="eastAsia" w:ascii="彩虹黑体" w:eastAsia="彩虹黑体" w:cs="宋体"/>
          <w:b/>
          <w:color w:val="000000" w:themeColor="text1"/>
          <w:kern w:val="0"/>
          <w:sz w:val="32"/>
          <w:szCs w:val="32"/>
          <w14:textFill>
            <w14:solidFill>
              <w14:schemeClr w14:val="tx1"/>
            </w14:solidFill>
          </w14:textFill>
        </w:rPr>
        <w:t>九、其他要求</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双方签订委托代理协议后，</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s="宋体"/>
          <w:color w:val="000000" w:themeColor="text1"/>
          <w:kern w:val="0"/>
          <w:sz w:val="32"/>
          <w:szCs w:val="32"/>
          <w14:textFill>
            <w14:solidFill>
              <w14:schemeClr w14:val="tx1"/>
            </w14:solidFill>
          </w14:textFill>
        </w:rPr>
        <w:t>自愿提供：出具《律师函》或提供《律师函》印章服务、协助领取抵押房产优先受偿款等工作的，我行将此类工作作为加分事项在招标或中标后组建诉讼委托包时予以优先考虑。</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s="宋体"/>
          <w:color w:val="000000" w:themeColor="text1"/>
          <w:kern w:val="0"/>
          <w:sz w:val="32"/>
          <w:szCs w:val="32"/>
          <w14:textFill>
            <w14:solidFill>
              <w14:schemeClr w14:val="tx1"/>
            </w14:solidFill>
          </w14:textFill>
        </w:rPr>
        <w:t>要制订有效的工作流程和委托律师执业职责，确保代理案件的顺利进行。</w:t>
      </w:r>
    </w:p>
    <w:p/>
    <w:p/>
    <w:p>
      <w:pPr>
        <w:adjustRightInd w:val="0"/>
        <w:snapToGrid w:val="0"/>
        <w:spacing w:line="360" w:lineRule="auto"/>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A80"/>
    <w:rsid w:val="00006767"/>
    <w:rsid w:val="00641F5A"/>
    <w:rsid w:val="00B536BF"/>
    <w:rsid w:val="00C91C59"/>
    <w:rsid w:val="00D54A80"/>
    <w:rsid w:val="00DE19F1"/>
    <w:rsid w:val="02335A67"/>
    <w:rsid w:val="0AAD6492"/>
    <w:rsid w:val="1E7B2435"/>
    <w:rsid w:val="33025403"/>
    <w:rsid w:val="4AD0284C"/>
    <w:rsid w:val="526C0EB6"/>
    <w:rsid w:val="56EF2997"/>
    <w:rsid w:val="5B681F8F"/>
    <w:rsid w:val="5E8E1CA1"/>
    <w:rsid w:val="62053CDF"/>
    <w:rsid w:val="718B0CD8"/>
    <w:rsid w:val="724005D0"/>
    <w:rsid w:val="75CB674E"/>
    <w:rsid w:val="78543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无间隔1"/>
    <w:basedOn w:val="1"/>
    <w:next w:val="3"/>
    <w:qFormat/>
    <w:uiPriority w:val="1"/>
    <w:pPr>
      <w:spacing w:line="400" w:lineRule="exact"/>
    </w:pPr>
    <w:rPr>
      <w:sz w:val="24"/>
    </w:rPr>
  </w:style>
  <w:style w:type="paragraph" w:styleId="3">
    <w:name w:val="caption"/>
    <w:basedOn w:val="1"/>
    <w:next w:val="1"/>
    <w:qFormat/>
    <w:uiPriority w:val="0"/>
    <w:rPr>
      <w:rFonts w:ascii="Cambria" w:hAnsi="Cambria" w:eastAsia="黑体"/>
      <w:sz w:val="20"/>
      <w:szCs w:val="20"/>
    </w:rPr>
  </w:style>
  <w:style w:type="paragraph" w:styleId="4">
    <w:name w:val="annotation text"/>
    <w:basedOn w:val="1"/>
    <w:semiHidden/>
    <w:unhideWhenUsed/>
    <w:qFormat/>
    <w:uiPriority w:val="99"/>
    <w:pPr>
      <w:jc w:val="left"/>
    </w:p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中国建设银行股份有限公司河南省分行</Company>
  <Pages>3</Pages>
  <Words>1201</Words>
  <Characters>1245</Characters>
  <Lines>23</Lines>
  <Paragraphs>38</Paragraphs>
  <TotalTime>1</TotalTime>
  <ScaleCrop>false</ScaleCrop>
  <LinksUpToDate>false</LinksUpToDate>
  <CharactersWithSpaces>1256</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2019-08-30T07:17:00Z</dcterms:created>
  <dc:creator>Apache POI</dc:creator>
  <cp:lastModifiedBy>haccb</cp:lastModifiedBy>
  <dcterms:modified xsi:type="dcterms:W3CDTF">2024-07-19T00:16:32Z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995FE13D43304B3CAFF6C95BCF4A700C_13</vt:lpwstr>
  </property>
</Properties>
</file>