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snapToGrid w:val="0"/>
        </w:rPr>
      </w:pPr>
      <w:r>
        <w:rPr>
          <w:rFonts w:hint="eastAsia"/>
          <w:snapToGrid w:val="0"/>
        </w:rPr>
        <w:t>新郑支行武装守押、110报警、保安值守服务采购需求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一、对候选供应商的要求</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（一）具有独立法人资格，有效的营业执照，具有</w:t>
      </w:r>
      <w:r>
        <w:rPr>
          <w:rFonts w:ascii="彩虹粗仿宋" w:eastAsia="彩虹粗仿宋"/>
          <w:sz w:val="32"/>
          <w:szCs w:val="32"/>
        </w:rPr>
        <w:t>经省公安厅批准颁发的</w:t>
      </w:r>
      <w:r>
        <w:rPr>
          <w:rFonts w:hint="eastAsia" w:ascii="彩虹粗仿宋" w:eastAsia="彩虹粗仿宋"/>
          <w:sz w:val="32"/>
        </w:rPr>
        <w:t>具有武装守护、押运的保安服务许可证</w:t>
      </w:r>
      <w:r>
        <w:rPr>
          <w:rFonts w:ascii="彩虹粗仿宋" w:eastAsia="彩虹粗仿宋"/>
          <w:sz w:val="32"/>
          <w:szCs w:val="32"/>
        </w:rPr>
        <w:t>。</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（二）正常经营，财务状况良好，提供</w:t>
      </w:r>
      <w:r>
        <w:rPr>
          <w:rFonts w:hint="eastAsia" w:ascii="彩虹粗仿宋" w:eastAsia="彩虹粗仿宋"/>
          <w:sz w:val="32"/>
          <w:szCs w:val="32"/>
          <w:lang w:val="en-US" w:eastAsia="zh-CN"/>
        </w:rPr>
        <w:t>2020-2022</w:t>
      </w:r>
      <w:bookmarkStart w:id="0" w:name="_GoBack"/>
      <w:bookmarkEnd w:id="0"/>
      <w:r>
        <w:rPr>
          <w:rFonts w:hint="eastAsia" w:ascii="彩虹粗仿宋" w:eastAsia="彩虹粗仿宋"/>
          <w:sz w:val="32"/>
          <w:szCs w:val="32"/>
        </w:rPr>
        <w:t>年经审计的财务报告或财务报表（新成立企业从成立日计算）。</w:t>
      </w:r>
    </w:p>
    <w:p>
      <w:pPr>
        <w:spacing w:line="560" w:lineRule="exact"/>
        <w:ind w:firstLine="640" w:firstLineChars="200"/>
        <w:rPr>
          <w:rFonts w:ascii="彩虹粗仿宋" w:eastAsia="彩虹粗仿宋"/>
          <w:sz w:val="32"/>
          <w:szCs w:val="32"/>
        </w:rPr>
      </w:pPr>
      <w:r>
        <w:rPr>
          <w:rFonts w:hint="eastAsia" w:ascii="彩虹粗仿宋" w:eastAsia="彩虹粗仿宋"/>
          <w:sz w:val="32"/>
          <w:szCs w:val="32"/>
        </w:rPr>
        <w:t>（三）2021年1月1日以来具有同类项目经验。</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rPr>
      </w:pPr>
      <w:r>
        <w:rPr>
          <w:rFonts w:hint="eastAsia" w:ascii="彩虹粗仿宋" w:eastAsia="彩虹粗仿宋"/>
          <w:sz w:val="32"/>
        </w:rPr>
        <w:t>（五）本项目不允许联合体投标，不允许分包或转包。</w:t>
      </w:r>
    </w:p>
    <w:p>
      <w:pPr>
        <w:spacing w:line="560" w:lineRule="exact"/>
        <w:ind w:firstLine="640" w:firstLineChars="200"/>
        <w:rPr>
          <w:rFonts w:ascii="彩虹粗仿宋" w:eastAsia="彩虹粗仿宋"/>
          <w:sz w:val="32"/>
          <w:szCs w:val="32"/>
        </w:rPr>
      </w:pPr>
      <w:r>
        <w:rPr>
          <w:rFonts w:hint="eastAsia" w:ascii="彩虹粗仿宋" w:eastAsia="彩虹粗仿宋"/>
          <w:sz w:val="32"/>
        </w:rPr>
        <w:t>（六）外商独资、中外合资、中外合作的保安公司不得参与（根据保安服务管理条例第二十二条规定）。</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二、服务基本内容</w:t>
      </w:r>
    </w:p>
    <w:p>
      <w:pPr>
        <w:adjustRightInd w:val="0"/>
        <w:snapToGrid w:val="0"/>
        <w:spacing w:line="600" w:lineRule="exact"/>
        <w:ind w:firstLine="640" w:firstLineChars="2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53"/>
        <w:gridCol w:w="3240"/>
        <w:gridCol w:w="1659"/>
        <w:gridCol w:w="2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品类编码</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保安服务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C210203</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营业办公楼保安执勤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C1303</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28"/>
                <w:szCs w:val="32"/>
              </w:rPr>
              <w:t>押运服务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C130301</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人民币钞币押运服务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1853"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C21</w:t>
            </w:r>
          </w:p>
        </w:tc>
        <w:tc>
          <w:tcPr>
            <w:tcW w:w="3240"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安防、值守及巡查服务</w:t>
            </w:r>
          </w:p>
        </w:tc>
        <w:tc>
          <w:tcPr>
            <w:tcW w:w="1659"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C2109</w:t>
            </w:r>
          </w:p>
        </w:tc>
        <w:tc>
          <w:tcPr>
            <w:tcW w:w="2686" w:type="dxa"/>
            <w:vAlign w:val="center"/>
          </w:tcPr>
          <w:p>
            <w:pPr>
              <w:adjustRightInd w:val="0"/>
              <w:snapToGrid w:val="0"/>
              <w:spacing w:line="560" w:lineRule="exact"/>
              <w:jc w:val="center"/>
              <w:rPr>
                <w:rFonts w:ascii="彩虹粗仿宋" w:hAnsi="宋体" w:eastAsia="彩虹粗仿宋" w:cs="Times New Roman"/>
                <w:snapToGrid w:val="0"/>
                <w:kern w:val="0"/>
                <w:sz w:val="28"/>
                <w:szCs w:val="32"/>
              </w:rPr>
            </w:pPr>
            <w:r>
              <w:rPr>
                <w:rFonts w:hint="eastAsia" w:ascii="彩虹粗仿宋" w:hAnsi="宋体" w:eastAsia="彩虹粗仿宋" w:cs="Times New Roman"/>
                <w:snapToGrid w:val="0"/>
                <w:kern w:val="0"/>
                <w:sz w:val="32"/>
                <w:szCs w:val="32"/>
              </w:rPr>
              <w:t>监控报警专线服务</w:t>
            </w:r>
          </w:p>
        </w:tc>
      </w:tr>
    </w:tbl>
    <w:p>
      <w:pPr>
        <w:adjustRightInd w:val="0"/>
        <w:snapToGrid w:val="0"/>
        <w:spacing w:line="560" w:lineRule="exact"/>
        <w:ind w:left="640"/>
        <w:outlineLvl w:val="1"/>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（二）服务内容</w:t>
      </w:r>
    </w:p>
    <w:p>
      <w:pPr>
        <w:adjustRightInd w:val="0"/>
        <w:snapToGrid w:val="0"/>
        <w:spacing w:line="560" w:lineRule="exact"/>
        <w:ind w:firstLine="640" w:firstLineChars="200"/>
        <w:outlineLvl w:val="2"/>
        <w:rPr>
          <w:rFonts w:ascii="彩虹黑体" w:hAnsi="宋体" w:eastAsia="彩虹黑体" w:cs="Times New Roman"/>
          <w:snapToGrid w:val="0"/>
          <w:kern w:val="0"/>
          <w:sz w:val="32"/>
          <w:szCs w:val="32"/>
        </w:rPr>
      </w:pPr>
      <w:r>
        <w:rPr>
          <w:rFonts w:hint="eastAsia" w:ascii="彩虹楷体" w:hAnsi="黑体" w:eastAsia="彩虹楷体" w:cs="Courier New"/>
          <w:sz w:val="32"/>
          <w:szCs w:val="32"/>
        </w:rPr>
        <w:t>1.武装守押服务</w:t>
      </w:r>
    </w:p>
    <w:p>
      <w:pPr>
        <w:adjustRightInd w:val="0"/>
        <w:snapToGrid w:val="0"/>
        <w:spacing w:line="560" w:lineRule="exact"/>
        <w:ind w:firstLine="640" w:firstLineChars="200"/>
        <w:rPr>
          <w:rFonts w:ascii="彩虹粗仿宋" w:hAnsi="Times New Roman" w:eastAsia="彩虹粗仿宋" w:cs="Times New Roman"/>
          <w:sz w:val="32"/>
          <w:szCs w:val="32"/>
        </w:rPr>
      </w:pPr>
      <w:r>
        <w:rPr>
          <w:rFonts w:hint="eastAsia" w:ascii="彩虹粗仿宋" w:hAnsi="微软雅黑" w:eastAsia="彩虹粗仿宋" w:cs="宋体"/>
          <w:kern w:val="0"/>
          <w:sz w:val="32"/>
          <w:szCs w:val="32"/>
        </w:rPr>
        <w:t>本次集中采购项目为新郑支行现有5个营业网点（含附行自助）、3个离行式自助（设备）银行的武装押运服务</w:t>
      </w:r>
      <w:r>
        <w:rPr>
          <w:rFonts w:hint="eastAsia" w:ascii="彩虹粗仿宋" w:hAnsi="Calibri" w:eastAsia="彩虹粗仿宋" w:cs="宋体"/>
          <w:kern w:val="0"/>
          <w:sz w:val="32"/>
          <w:szCs w:val="32"/>
        </w:rPr>
        <w:t>。</w:t>
      </w:r>
    </w:p>
    <w:p>
      <w:pPr>
        <w:adjustRightInd w:val="0"/>
        <w:snapToGrid w:val="0"/>
        <w:spacing w:line="560" w:lineRule="atLeast"/>
        <w:ind w:firstLine="600"/>
        <w:rPr>
          <w:rFonts w:ascii="彩虹粗仿宋" w:hAnsi="宋体" w:eastAsia="彩虹粗仿宋" w:cs="Courier New"/>
          <w:sz w:val="32"/>
          <w:szCs w:val="32"/>
        </w:rPr>
      </w:pPr>
      <w:r>
        <w:rPr>
          <w:rFonts w:hint="eastAsia" w:ascii="彩虹粗仿宋" w:hAnsi="宋体" w:eastAsia="彩虹粗仿宋" w:cs="Courier New"/>
          <w:sz w:val="32"/>
          <w:szCs w:val="32"/>
        </w:rPr>
        <w:t>注：业务点（是指营业场所、自助设备、上门服务点）的早、晚营业尾款箱（包）接送；业务点营业期间提缴现金；业务点配送外币、实物黄金;离行式自助（设备）银行收、送现金;我行客户上门收、送现金；去往建行金水支行提取或缴存现金；去往建行金水支行领取重要空白凭证和向业务点配送重要空白凭证;其它重要物品传递需提供的武装押运服务。</w:t>
      </w:r>
    </w:p>
    <w:p>
      <w:pPr>
        <w:adjustRightInd w:val="0"/>
        <w:snapToGrid w:val="0"/>
        <w:spacing w:line="560" w:lineRule="atLeast"/>
        <w:ind w:firstLine="600"/>
        <w:rPr>
          <w:rFonts w:ascii="彩虹粗仿宋" w:hAnsi="宋体" w:eastAsia="彩虹粗仿宋" w:cs="Courier New"/>
          <w:sz w:val="32"/>
          <w:szCs w:val="32"/>
        </w:rPr>
      </w:pPr>
      <w:r>
        <w:rPr>
          <w:rFonts w:hint="eastAsia" w:ascii="彩虹粗仿宋" w:hAnsi="宋体" w:eastAsia="彩虹粗仿宋" w:cs="Courier New"/>
          <w:sz w:val="32"/>
          <w:szCs w:val="32"/>
        </w:rPr>
        <w:t>2.110报警服务</w:t>
      </w:r>
    </w:p>
    <w:p>
      <w:pPr>
        <w:adjustRightInd w:val="0"/>
        <w:snapToGrid w:val="0"/>
        <w:spacing w:line="560" w:lineRule="atLeast"/>
        <w:ind w:firstLine="600"/>
        <w:rPr>
          <w:rFonts w:ascii="彩虹粗仿宋" w:hAnsi="彩虹粗仿宋" w:eastAsia="彩虹粗仿宋" w:cs="彩虹粗仿宋"/>
          <w:sz w:val="32"/>
          <w:szCs w:val="32"/>
        </w:rPr>
      </w:pPr>
      <w:r>
        <w:rPr>
          <w:rFonts w:hint="eastAsia" w:ascii="彩虹粗仿宋" w:hAnsi="彩虹粗仿宋" w:eastAsia="彩虹粗仿宋" w:cs="彩虹粗仿宋"/>
          <w:snapToGrid w:val="0"/>
          <w:color w:val="000000" w:themeColor="text1"/>
          <w:kern w:val="0"/>
          <w:sz w:val="32"/>
          <w:szCs w:val="32"/>
          <w14:textFill>
            <w14:solidFill>
              <w14:schemeClr w14:val="tx1"/>
            </w14:solidFill>
          </w14:textFill>
        </w:rPr>
        <w:t>新郑市所辖重点部位、营业网点、离行式自助银行（自助设备）、办公楼、档案库、重点部位联网报警设施、设备及相关配件的安装、更换、调试、维修、巡检及迁移，对联网报警设备进行报警测试、监控、警情处置等服务项目，</w:t>
      </w:r>
      <w:r>
        <w:rPr>
          <w:rFonts w:hint="eastAsia" w:ascii="彩虹粗仿宋" w:hAnsi="彩虹粗仿宋" w:eastAsia="彩虹粗仿宋" w:cs="彩虹粗仿宋"/>
          <w:sz w:val="32"/>
          <w:szCs w:val="32"/>
        </w:rPr>
        <w:t>对报警设备巡检维修维护及时，确保守护目标的安全。</w:t>
      </w:r>
    </w:p>
    <w:p>
      <w:pPr>
        <w:adjustRightInd w:val="0"/>
        <w:snapToGrid w:val="0"/>
        <w:spacing w:line="560" w:lineRule="atLeast"/>
        <w:ind w:firstLine="600"/>
        <w:rPr>
          <w:rFonts w:ascii="彩虹粗仿宋" w:hAnsi="宋体" w:eastAsia="彩虹粗仿宋" w:cs="Courier New"/>
          <w:sz w:val="32"/>
          <w:szCs w:val="32"/>
        </w:rPr>
      </w:pPr>
      <w:r>
        <w:rPr>
          <w:rFonts w:hint="eastAsia" w:ascii="彩虹粗仿宋" w:hAnsi="宋体" w:eastAsia="彩虹粗仿宋" w:cs="Courier New"/>
          <w:sz w:val="32"/>
          <w:szCs w:val="32"/>
        </w:rPr>
        <w:t>3.安保值守服务</w:t>
      </w:r>
    </w:p>
    <w:p>
      <w:pPr>
        <w:autoSpaceDE w:val="0"/>
        <w:autoSpaceDN w:val="0"/>
        <w:adjustRightInd w:val="0"/>
        <w:snapToGrid w:val="0"/>
        <w:spacing w:line="560" w:lineRule="exact"/>
        <w:ind w:firstLine="640" w:firstLineChars="200"/>
        <w:rPr>
          <w:rFonts w:ascii="Times New Roman" w:hAnsi="Calibri" w:eastAsia="彩虹粗仿宋" w:cs="宋体"/>
          <w:kern w:val="0"/>
          <w:sz w:val="32"/>
          <w:szCs w:val="32"/>
        </w:rPr>
      </w:pPr>
      <w:r>
        <w:rPr>
          <w:rFonts w:hint="eastAsia" w:ascii="Times New Roman" w:hAnsi="Calibri" w:eastAsia="彩虹粗仿宋" w:cs="宋体"/>
          <w:kern w:val="0"/>
          <w:sz w:val="32"/>
          <w:szCs w:val="32"/>
        </w:rPr>
        <w:t>本次安保服务内容是郑港支行所属新郑支行本部和所辖5个营业网点的保安值守服务。</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一）人员政治上可靠，遵守国家法律、法规，无不良行为记录、身体健康、着统一服装，，年龄在55周岁以下符合《保安服务管理条例》的要求，由省公安厅批准许可的武装押运服务资质，开展武装押运服务5年以上。</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（二）具备一定的专业技能，能正确处理服务中出现的各种情况并进行有效处置，能够按照我行的要求完成每次的任务，遵章守纪，合规履职。</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（三）所派人员须按国家规定持证上岗，必须认真执行国家有关规定及要求。如由于所派人员违反规定，造成财产损失和人员伤亡的，外包服务公司负全部责任。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rPr>
      </w:pPr>
      <w:r>
        <w:rPr>
          <w:rFonts w:hint="eastAsia" w:ascii="彩虹粗仿宋" w:hAnsi="微软雅黑" w:eastAsia="彩虹粗仿宋" w:cs="宋体"/>
          <w:kern w:val="0"/>
          <w:sz w:val="32"/>
          <w:szCs w:val="32"/>
        </w:rPr>
        <w:t>（四）守押公司承诺为我行车组人员提供营运期间的支持保障及应急工作，押运公司每台制式押运车组，每车组不低于5人（含2名押运人员、2名款箱员和1名司机）（不含守押公司驻行联系人）；外包服务人员经过专业培训，符合武装守护要求，持证上岗。</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rPr>
      </w:pPr>
      <w:r>
        <w:rPr>
          <w:rFonts w:hint="eastAsia" w:ascii="彩虹黑体" w:hAnsi="宋体" w:eastAsia="彩虹黑体" w:cs="Times New Roman"/>
          <w:snapToGrid w:val="0"/>
          <w:kern w:val="0"/>
          <w:sz w:val="32"/>
          <w:szCs w:val="32"/>
        </w:rPr>
        <w:t>四、服务质量要求</w:t>
      </w:r>
    </w:p>
    <w:p>
      <w:pPr>
        <w:autoSpaceDE w:val="0"/>
        <w:autoSpaceDN w:val="0"/>
        <w:adjustRightInd w:val="0"/>
        <w:spacing w:line="560" w:lineRule="exact"/>
        <w:ind w:firstLine="640" w:firstLineChars="200"/>
        <w:outlineLvl w:val="1"/>
        <w:rPr>
          <w:rFonts w:ascii="彩虹粗仿宋" w:eastAsia="彩虹粗仿宋" w:cs="CHCFS"/>
          <w:kern w:val="0"/>
          <w:sz w:val="32"/>
          <w:szCs w:val="32"/>
        </w:rPr>
      </w:pPr>
      <w:r>
        <w:rPr>
          <w:rFonts w:hint="eastAsia" w:ascii="彩虹粗仿宋" w:eastAsia="彩虹粗仿宋" w:cs="CHCFS"/>
          <w:kern w:val="0"/>
          <w:sz w:val="32"/>
          <w:szCs w:val="32"/>
        </w:rPr>
        <w:t>1.保安值守服务</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（2）严格按照我行的服务需求，配备和提供外包人员。不得泄漏任何我行的业务信息。</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cs="Times New Roman"/>
          <w:sz w:val="32"/>
          <w:szCs w:val="32"/>
        </w:rPr>
      </w:pPr>
      <w:r>
        <w:rPr>
          <w:rFonts w:hint="eastAsia" w:ascii="彩虹粗仿宋" w:hAnsi="Times New Roman" w:eastAsia="彩虹粗仿宋" w:cs="Times New Roman"/>
          <w:sz w:val="32"/>
          <w:szCs w:val="32"/>
        </w:rPr>
        <w:t>（5）供应商应对派驻我行的人员进行业务知识培训，并达到国家承认的上岗资格，做到持证上岗。</w:t>
      </w:r>
      <w:r>
        <w:rPr>
          <w:rFonts w:hint="eastAsia" w:ascii="彩虹粗仿宋" w:eastAsia="彩虹粗仿宋"/>
          <w:sz w:val="32"/>
          <w:szCs w:val="32"/>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rPr>
        <w:t>定期进行应急预案演练。</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rPr>
      </w:pPr>
      <w:r>
        <w:rPr>
          <w:rFonts w:hint="eastAsia" w:ascii="彩虹粗仿宋" w:hAnsi="Times New Roman" w:eastAsia="彩虹粗仿宋" w:cs="Times New Roman"/>
          <w:sz w:val="32"/>
          <w:szCs w:val="32"/>
        </w:rPr>
        <w:t>（7）</w:t>
      </w:r>
      <w:r>
        <w:rPr>
          <w:rFonts w:hint="eastAsia" w:ascii="彩虹粗仿宋" w:hAnsi="华文楷体" w:eastAsia="彩虹粗仿宋"/>
          <w:sz w:val="32"/>
          <w:szCs w:val="32"/>
        </w:rPr>
        <w:t>供应商履行的职责</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（8）职业道德要求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（9）仪容仪表要求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4）供应商制定自身的员工礼仪规范，应要求外包服务人员严格执行。</w:t>
      </w:r>
    </w:p>
    <w:p>
      <w:pPr>
        <w:tabs>
          <w:tab w:val="left" w:pos="720"/>
        </w:tabs>
        <w:adjustRightInd w:val="0"/>
        <w:snapToGrid w:val="0"/>
        <w:spacing w:line="560" w:lineRule="atLeast"/>
        <w:ind w:firstLine="320" w:firstLineChars="100"/>
        <w:outlineLvl w:val="1"/>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2.武装押运服务</w:t>
      </w:r>
    </w:p>
    <w:p>
      <w:pPr>
        <w:adjustRightInd w:val="0"/>
        <w:snapToGrid w:val="0"/>
        <w:spacing w:line="560" w:lineRule="exact"/>
        <w:ind w:firstLine="640" w:firstLineChars="200"/>
        <w:rPr>
          <w:rFonts w:ascii="彩虹粗仿宋" w:hAnsi="宋体" w:eastAsia="彩虹粗仿宋" w:cs="Courier New"/>
          <w:sz w:val="32"/>
          <w:szCs w:val="32"/>
        </w:rPr>
      </w:pPr>
      <w:r>
        <w:rPr>
          <w:rFonts w:hint="eastAsia" w:ascii="彩虹粗仿宋" w:hAnsi="Times New Roman" w:eastAsia="彩虹粗仿宋" w:cs="Times New Roman"/>
          <w:sz w:val="32"/>
          <w:szCs w:val="32"/>
        </w:rPr>
        <w:t>（1）</w:t>
      </w:r>
      <w:r>
        <w:rPr>
          <w:rFonts w:hint="eastAsia" w:ascii="彩虹粗仿宋" w:hAnsi="宋体" w:eastAsia="彩虹粗仿宋" w:cs="Courier New"/>
          <w:sz w:val="32"/>
          <w:szCs w:val="32"/>
        </w:rPr>
        <w:t>供应商承诺提供合格的服务，接受我行对其工作的指导和监督。</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（2）</w:t>
      </w:r>
      <w:r>
        <w:rPr>
          <w:rFonts w:hint="eastAsia" w:ascii="彩虹粗仿宋" w:hAnsi="宋体" w:eastAsia="彩虹粗仿宋" w:cs="Courier New"/>
          <w:sz w:val="32"/>
          <w:szCs w:val="32"/>
        </w:rPr>
        <w:t>供应商配备必要的制式押运车辆、枪械和钞币运送人员。</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（3）</w:t>
      </w:r>
      <w:r>
        <w:rPr>
          <w:rFonts w:hint="eastAsia" w:ascii="彩虹粗仿宋" w:hAnsi="宋体" w:eastAsia="彩虹粗仿宋" w:cs="Courier New"/>
          <w:sz w:val="32"/>
          <w:szCs w:val="32"/>
        </w:rPr>
        <w:t>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（4）</w:t>
      </w:r>
      <w:r>
        <w:rPr>
          <w:rFonts w:hint="eastAsia" w:ascii="彩虹粗仿宋" w:hAnsi="宋体" w:eastAsia="彩虹粗仿宋" w:cs="Courier New"/>
          <w:sz w:val="32"/>
          <w:szCs w:val="32"/>
        </w:rPr>
        <w:t>供应商负责制定与受托业务相关的内控制度、操作规程、人员考核等办法，并报我行备案；未经我行书面同意，外包公司不得将其在协议约定项下全部或部分权利义务转让或分包给任意第三方。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（5）</w:t>
      </w:r>
      <w:r>
        <w:rPr>
          <w:rFonts w:hint="eastAsia" w:ascii="彩虹粗仿宋" w:hAnsi="宋体" w:eastAsia="彩虹粗仿宋" w:cs="Courier New"/>
          <w:sz w:val="32"/>
          <w:szCs w:val="32"/>
        </w:rPr>
        <w:t>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（6）</w:t>
      </w:r>
      <w:r>
        <w:rPr>
          <w:rFonts w:hint="eastAsia" w:ascii="彩虹粗仿宋" w:hAnsi="宋体" w:eastAsia="彩虹粗仿宋" w:cs="Courier New"/>
          <w:sz w:val="32"/>
          <w:szCs w:val="32"/>
        </w:rPr>
        <w:t>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rPr>
      </w:pPr>
      <w:r>
        <w:rPr>
          <w:rFonts w:hint="eastAsia" w:ascii="彩虹粗仿宋" w:hAnsi="Times New Roman" w:eastAsia="彩虹粗仿宋" w:cs="Times New Roman"/>
          <w:sz w:val="32"/>
          <w:szCs w:val="32"/>
        </w:rPr>
        <w:t>（7）</w:t>
      </w:r>
      <w:r>
        <w:rPr>
          <w:rFonts w:hint="eastAsia" w:ascii="彩虹粗仿宋" w:hAnsi="宋体" w:eastAsia="彩虹粗仿宋" w:cs="Courier New"/>
          <w:sz w:val="32"/>
          <w:szCs w:val="32"/>
        </w:rPr>
        <w:t>专用运钞车内应按规定安装报警、电视监控、通讯器材、配备必要消防器材。</w:t>
      </w:r>
    </w:p>
    <w:p>
      <w:pPr>
        <w:adjustRightInd w:val="0"/>
        <w:snapToGrid w:val="0"/>
        <w:spacing w:line="560" w:lineRule="exact"/>
        <w:ind w:firstLine="600"/>
        <w:rPr>
          <w:rFonts w:ascii="彩虹粗仿宋" w:hAnsi="宋体" w:eastAsia="彩虹粗仿宋" w:cs="Times New Roman"/>
          <w:snapToGrid w:val="0"/>
          <w:kern w:val="0"/>
          <w:sz w:val="32"/>
          <w:szCs w:val="32"/>
        </w:rPr>
      </w:pPr>
      <w:r>
        <w:rPr>
          <w:rFonts w:hint="eastAsia" w:ascii="彩虹粗仿宋" w:hAnsi="Times New Roman" w:eastAsia="彩虹粗仿宋" w:cs="Times New Roman"/>
          <w:sz w:val="32"/>
          <w:szCs w:val="32"/>
        </w:rPr>
        <w:t>（8）</w:t>
      </w:r>
      <w:r>
        <w:rPr>
          <w:rFonts w:hint="eastAsia" w:ascii="彩虹粗仿宋" w:hAnsi="宋体" w:eastAsia="彩虹粗仿宋" w:cs="Times New Roman"/>
          <w:snapToGrid w:val="0"/>
          <w:kern w:val="0"/>
          <w:sz w:val="32"/>
          <w:szCs w:val="32"/>
        </w:rPr>
        <w:t>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00"/>
        <w:outlineLvl w:val="2"/>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3.110报警服务</w:t>
      </w:r>
    </w:p>
    <w:p>
      <w:pPr>
        <w:adjustRightInd w:val="0"/>
        <w:snapToGrid w:val="0"/>
        <w:spacing w:line="600" w:lineRule="exact"/>
        <w:ind w:firstLine="640" w:firstLineChars="200"/>
        <w:jc w:val="left"/>
        <w:rPr>
          <w:rFonts w:ascii="彩虹粗仿宋" w:hAnsi="宋体" w:eastAsia="彩虹粗仿宋" w:cs="Times New Roman"/>
          <w:snapToGrid w:val="0"/>
          <w:kern w:val="0"/>
          <w:sz w:val="32"/>
          <w:szCs w:val="32"/>
        </w:rPr>
      </w:pPr>
      <w:r>
        <w:rPr>
          <w:rFonts w:hint="eastAsia" w:ascii="彩虹粗仿宋" w:hAnsi="彩虹粗仿宋" w:eastAsia="彩虹粗仿宋" w:cs="彩虹粗仿宋"/>
          <w:snapToGrid w:val="0"/>
          <w:kern w:val="0"/>
          <w:sz w:val="32"/>
          <w:szCs w:val="32"/>
        </w:rPr>
        <w:t>供应商应确保与公安局“110”报警服务平台的信息畅通，达到公安部门服务的要求。做好所辖110报警设备日常的故障排查工作，确保技术人员配备，保障设备良好运行。</w:t>
      </w:r>
    </w:p>
    <w:p>
      <w:pPr>
        <w:spacing w:line="600" w:lineRule="exact"/>
        <w:ind w:firstLine="643" w:firstLineChars="200"/>
        <w:jc w:val="left"/>
        <w:outlineLvl w:val="1"/>
        <w:rPr>
          <w:rFonts w:ascii="彩虹楷体" w:hAnsi="宋体" w:eastAsia="彩虹楷体" w:cs="Times New Roman"/>
          <w:b/>
          <w:color w:val="000000"/>
          <w:kern w:val="0"/>
          <w:sz w:val="32"/>
          <w:szCs w:val="32"/>
        </w:rPr>
      </w:pPr>
      <w:r>
        <w:rPr>
          <w:rFonts w:hint="eastAsia" w:ascii="彩虹楷体" w:hAnsi="Times New Roman" w:eastAsia="彩虹楷体" w:cs="Times New Roman"/>
          <w:b/>
          <w:sz w:val="32"/>
          <w:szCs w:val="32"/>
        </w:rPr>
        <w:t>（二）</w:t>
      </w:r>
      <w:r>
        <w:rPr>
          <w:rFonts w:hint="eastAsia" w:ascii="彩虹楷体" w:hAnsi="宋体" w:eastAsia="彩虹楷体" w:cs="Times New Roman"/>
          <w:b/>
          <w:color w:val="000000"/>
          <w:kern w:val="0"/>
          <w:sz w:val="32"/>
          <w:szCs w:val="32"/>
        </w:rPr>
        <w:t>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为保证我行权益和商业机密，需采取以下风险控制和应急措施。</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 风险控制措施：禁止供应商以我行名义进行用工管理或开展生产经营活动，外包服务人员必须与公司依法订立了劳动合同，防范外包业务用工风险。</w:t>
      </w:r>
    </w:p>
    <w:p>
      <w:pPr>
        <w:adjustRightInd w:val="0"/>
        <w:snapToGrid w:val="0"/>
        <w:spacing w:line="560" w:lineRule="atLeast"/>
        <w:ind w:firstLine="640" w:firstLineChars="2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（1）日常管理、监督和检查。</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a.我行负责外包人员的业务培训和规范操作，指导、监督保安服务人员按章办事，在安保服务过程中协助做好办公、营业场所经营秩序的同时，维护员工、客户的人身和财产安全，不得从事岗位职责以外的工作。</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b.按照我行的要求，每季度至少开展一次服务检查，并形成检查报告，召开联席会对检查中发现的问题及时通报供应商，限期整改和落实，每年度结束后形成年度评估报告。</w:t>
      </w:r>
    </w:p>
    <w:p>
      <w:pPr>
        <w:adjustRightInd w:val="0"/>
        <w:snapToGrid w:val="0"/>
        <w:spacing w:line="560" w:lineRule="atLeast"/>
        <w:ind w:firstLine="640" w:firstLineChars="2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（2）明确责任，防范风险。</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双方按照约定明确双方责任，建立健全安全责任制，完善双方沟通协作机制。提供安保服务的供应商应根据不同工作性质，明确人员岗位职责，规范流程，不断提升服务人员的业务素质和技能，为我行提供更加安全的安保、巡查服务。</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b.监督管理实行“对事不对人”，明确人员招聘、管理、考核、薪酬发放等均由供应商负责，我行负责监督检查服务质量和应急处置。</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c.供应商通过工作合同、规章对外包服务人员的行为做出约束，与服务人员签订《保密协议》，防范客户信息泄露的风险，严格防范操作风险、声誉风险及其它风险。</w:t>
      </w:r>
    </w:p>
    <w:p>
      <w:pPr>
        <w:adjustRightInd w:val="0"/>
        <w:snapToGrid w:val="0"/>
        <w:spacing w:line="560" w:lineRule="atLeast"/>
        <w:ind w:firstLine="640" w:firstLineChars="200"/>
        <w:outlineLvl w:val="2"/>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（3）保密要求</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a.保安服务人员只能掌握了解工作需要的相关信息，不得将我行信息资料以任何方式透露给其他任何机构或个人。</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b.保安服务人员不得利用工作之便，窃取、收买或者非法提供他人申请信息资料进行各种非法活动。</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c.如有供应商原因导致我行及客户信息泄漏的，我行将立即取消合作，并追究相关责任。</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d.供应商应严守我行的商业秘密、技术秘密和其他商业及业务信息，不得泄露。保密要求长期有效。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2.应急措施</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（1）日常应急管理</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a.供应商应制定相关应急预案，预案场景设置、预案分工、预案演练、预案评估，明确应急处置流程。应急预案包括但不限于我行及客户信息泄露、客户投诉等风险事件，营业网点如遇挤兑、抢劫、被盗等事件。</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b.因供应商原因造成我行经济损失的，应按照相关法律法规、合同约定进行赔偿。造成我行声誉损失的，应积极配合我行采取措施消除影响、恢复声誉。涉嫌违法犯罪的，应及时向公安机关报案。</w:t>
      </w:r>
    </w:p>
    <w:p>
      <w:pPr>
        <w:adjustRightInd w:val="0"/>
        <w:snapToGrid w:val="0"/>
        <w:spacing w:line="560" w:lineRule="atLeast"/>
        <w:ind w:firstLine="640" w:firstLineChars="200"/>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c.在处理事（案）件过程中要时刻向我行报告进展情况，待风险解除后，形成书面报告报送我行，我行综合评估后确定是否继续开展外包事项。</w:t>
      </w:r>
    </w:p>
    <w:p>
      <w:pPr>
        <w:spacing w:line="600" w:lineRule="exact"/>
        <w:ind w:firstLine="643" w:firstLineChars="200"/>
        <w:jc w:val="left"/>
        <w:outlineLvl w:val="1"/>
        <w:rPr>
          <w:rFonts w:ascii="彩虹楷体" w:hAnsi="Times New Roman" w:eastAsia="彩虹楷体" w:cs="Times New Roman"/>
          <w:b/>
          <w:sz w:val="32"/>
          <w:szCs w:val="32"/>
        </w:rPr>
      </w:pPr>
      <w:r>
        <w:rPr>
          <w:rFonts w:hint="eastAsia" w:ascii="彩虹楷体" w:hAnsi="Times New Roman" w:eastAsia="彩虹楷体" w:cs="Times New Roman"/>
          <w:b/>
          <w:sz w:val="32"/>
          <w:szCs w:val="32"/>
        </w:rPr>
        <w:t>（三）违约责任</w:t>
      </w:r>
    </w:p>
    <w:p>
      <w:pPr>
        <w:spacing w:line="600" w:lineRule="exact"/>
        <w:ind w:firstLine="640" w:firstLineChars="200"/>
        <w:jc w:val="left"/>
        <w:rPr>
          <w:rFonts w:ascii="彩虹粗仿宋" w:hAnsi="宋体" w:eastAsia="彩虹粗仿宋" w:cs="Times New Roman"/>
          <w:sz w:val="32"/>
          <w:szCs w:val="32"/>
        </w:rPr>
      </w:pPr>
      <w:r>
        <w:rPr>
          <w:rFonts w:hint="eastAsia" w:ascii="彩虹粗仿宋" w:hAnsi="Times New Roman" w:eastAsia="彩虹粗仿宋" w:cs="Times New Roman"/>
          <w:sz w:val="32"/>
          <w:szCs w:val="32"/>
        </w:rPr>
        <w:t>（1）若由于供应商原因导致发生安全事故或安全隐患，使我行蒙受损失的，由供应商承担损失赔偿责任，每次事故或事件的赔偿金额不低于人民币伍万元整（￥50，000.00）。</w:t>
      </w:r>
      <w:r>
        <w:rPr>
          <w:rFonts w:hint="eastAsia" w:ascii="彩虹粗仿宋" w:hAnsi="宋体" w:eastAsia="彩虹粗仿宋" w:cs="Times New Roman"/>
          <w:sz w:val="32"/>
          <w:szCs w:val="32"/>
        </w:rPr>
        <w:t>供应商应当支付违约金或赔偿金的，应当在接到索赔通知后10日之内支付，或从未支付款项中抵扣相应数额的款项。</w:t>
      </w:r>
    </w:p>
    <w:p>
      <w:pPr>
        <w:spacing w:line="600" w:lineRule="exact"/>
        <w:ind w:firstLine="640" w:firstLineChars="200"/>
        <w:jc w:val="left"/>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（2）凡违反保密约定的，应承担违约责任，赔偿对方违约金人民币伍仟元整（￥5，000.00）。若违约金不足以弥补对方损失的，违约方还需承担由此引发的一切后果及对方的全部损失。</w:t>
      </w:r>
    </w:p>
    <w:p>
      <w:pPr>
        <w:spacing w:line="600" w:lineRule="exact"/>
        <w:ind w:firstLine="640" w:firstLineChars="200"/>
        <w:jc w:val="left"/>
        <w:rPr>
          <w:rFonts w:ascii="彩虹粗仿宋" w:hAnsi="Times New Roman" w:eastAsia="彩虹粗仿宋" w:cs="Times New Roman"/>
          <w:sz w:val="32"/>
          <w:szCs w:val="32"/>
        </w:rPr>
      </w:pPr>
      <w:r>
        <w:rPr>
          <w:rFonts w:hint="eastAsia" w:ascii="彩虹粗仿宋" w:hAnsi="Times New Roman" w:eastAsia="彩虹粗仿宋" w:cs="Times New Roman"/>
          <w:sz w:val="32"/>
          <w:szCs w:val="32"/>
        </w:rPr>
        <w:t>（3）若供应商不能提供符合我行业务需要的安保服务，我行有权终止合作，且无需向供应商继续支付剩余款项。</w:t>
      </w:r>
    </w:p>
    <w:p>
      <w:pPr>
        <w:spacing w:line="600" w:lineRule="exact"/>
        <w:ind w:firstLine="643" w:firstLineChars="200"/>
        <w:jc w:val="left"/>
        <w:outlineLvl w:val="1"/>
        <w:rPr>
          <w:rFonts w:ascii="彩虹楷体" w:hAnsi="Times New Roman" w:eastAsia="彩虹楷体" w:cs="Times New Roman"/>
          <w:b/>
          <w:sz w:val="32"/>
          <w:szCs w:val="32"/>
        </w:rPr>
      </w:pPr>
      <w:r>
        <w:rPr>
          <w:rFonts w:hint="eastAsia" w:ascii="彩虹楷体" w:hAnsi="Times New Roman" w:eastAsia="彩虹楷体" w:cs="Times New Roman"/>
          <w:b/>
          <w:sz w:val="32"/>
          <w:szCs w:val="32"/>
        </w:rPr>
        <w:t>（四）验收方法</w:t>
      </w:r>
    </w:p>
    <w:p>
      <w:pPr>
        <w:adjustRightInd w:val="0"/>
        <w:snapToGrid w:val="0"/>
        <w:spacing w:line="560" w:lineRule="exact"/>
        <w:ind w:firstLine="640" w:firstLineChars="200"/>
        <w:outlineLvl w:val="2"/>
        <w:rPr>
          <w:rFonts w:ascii="彩虹粗仿宋" w:hAnsi="黑体" w:eastAsia="彩虹粗仿宋" w:cs="Times New Roman"/>
          <w:sz w:val="32"/>
          <w:szCs w:val="32"/>
        </w:rPr>
      </w:pPr>
      <w:r>
        <w:rPr>
          <w:rFonts w:hint="eastAsia" w:ascii="彩虹粗仿宋" w:hAnsi="黑体" w:eastAsia="彩虹粗仿宋" w:cs="Times New Roman"/>
          <w:sz w:val="32"/>
          <w:szCs w:val="32"/>
        </w:rPr>
        <w:t>1.保安服务</w:t>
      </w:r>
    </w:p>
    <w:p>
      <w:pPr>
        <w:adjustRightInd w:val="0"/>
        <w:snapToGrid w:val="0"/>
        <w:spacing w:line="560" w:lineRule="exact"/>
        <w:ind w:firstLine="640" w:firstLineChars="200"/>
        <w:rPr>
          <w:rFonts w:ascii="彩虹粗仿宋" w:hAnsi="宋体" w:eastAsia="彩虹粗仿宋" w:cs="Times New Roman"/>
          <w:kern w:val="0"/>
          <w:sz w:val="32"/>
          <w:szCs w:val="32"/>
        </w:rPr>
      </w:pPr>
      <w:r>
        <w:rPr>
          <w:rFonts w:hint="eastAsia" w:ascii="彩虹粗仿宋" w:hAnsi="黑体" w:eastAsia="彩虹粗仿宋" w:cs="Times New Roman"/>
          <w:sz w:val="32"/>
          <w:szCs w:val="32"/>
        </w:rPr>
        <w:t>安全保卫部每月组织开展服务测评，并根据《保安服务测评表》出具测评结果，</w:t>
      </w:r>
      <w:r>
        <w:rPr>
          <w:rFonts w:hint="eastAsia" w:ascii="彩虹粗仿宋" w:hAnsi="宋体" w:eastAsia="彩虹粗仿宋" w:cs="Times New Roman"/>
          <w:sz w:val="32"/>
          <w:szCs w:val="32"/>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rPr>
        <w:t>。合格档次支付全额服务费用，基本合格、不合格档次所有岗位均分别调减50元、100元服务费用支付，并进行约谈，连续三次不合格甲方有权终止合同。</w:t>
      </w:r>
    </w:p>
    <w:p>
      <w:pPr>
        <w:adjustRightInd w:val="0"/>
        <w:snapToGrid w:val="0"/>
        <w:spacing w:line="560" w:lineRule="exact"/>
        <w:ind w:firstLine="640" w:firstLineChars="200"/>
        <w:outlineLvl w:val="2"/>
        <w:rPr>
          <w:rFonts w:ascii="彩虹粗仿宋" w:hAnsi="宋体" w:eastAsia="彩虹粗仿宋" w:cs="Times New Roman"/>
          <w:kern w:val="0"/>
          <w:sz w:val="32"/>
          <w:szCs w:val="32"/>
        </w:rPr>
      </w:pPr>
      <w:r>
        <w:rPr>
          <w:rFonts w:hint="eastAsia" w:ascii="彩虹粗仿宋" w:hAnsi="宋体" w:eastAsia="彩虹粗仿宋" w:cs="Times New Roman"/>
          <w:kern w:val="0"/>
          <w:sz w:val="32"/>
          <w:szCs w:val="32"/>
        </w:rPr>
        <w:t>2.武装押运服务</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供应商应按照我行要求准确及时运送标的物并保证其正常，全部正常为合格；如出现标的物的遗失或损坏为不合格，供应商应照价赔偿并接受每次10000元的考核。</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3.110报警服务</w:t>
      </w:r>
    </w:p>
    <w:p>
      <w:pPr>
        <w:adjustRightInd w:val="0"/>
        <w:snapToGrid w:val="0"/>
        <w:spacing w:line="600" w:lineRule="exact"/>
        <w:ind w:firstLine="640" w:firstLineChars="200"/>
        <w:jc w:val="left"/>
        <w:rPr>
          <w:rFonts w:ascii="彩虹粗仿宋" w:hAnsi="宋体" w:eastAsia="彩虹粗仿宋"/>
          <w:sz w:val="32"/>
          <w:szCs w:val="32"/>
        </w:rPr>
      </w:pPr>
      <w:r>
        <w:rPr>
          <w:rFonts w:hint="eastAsia" w:ascii="彩虹粗仿宋" w:hAnsi="彩虹粗仿宋" w:eastAsia="彩虹粗仿宋" w:cs="彩虹粗仿宋"/>
          <w:snapToGrid w:val="0"/>
          <w:kern w:val="0"/>
          <w:sz w:val="32"/>
          <w:szCs w:val="32"/>
        </w:rPr>
        <w:t>供应商应确保与公安局“110”报警服务平台的信息畅通，达到公安部门服务的要求。做好所辖110报警设备日常的故障排查工作，确保技术人员配备，保障设备良好运行。</w:t>
      </w:r>
    </w:p>
    <w:p>
      <w:pPr>
        <w:adjustRightInd w:val="0"/>
        <w:snapToGrid w:val="0"/>
        <w:spacing w:line="560" w:lineRule="exact"/>
        <w:ind w:firstLine="643" w:firstLineChars="200"/>
        <w:outlineLvl w:val="1"/>
        <w:rPr>
          <w:rFonts w:ascii="彩虹楷体" w:eastAsia="彩虹楷体"/>
          <w:b/>
          <w:sz w:val="32"/>
          <w:szCs w:val="32"/>
        </w:rPr>
      </w:pPr>
      <w:r>
        <w:rPr>
          <w:rFonts w:hint="eastAsia" w:ascii="彩虹楷体" w:eastAsia="彩虹楷体"/>
          <w:b/>
          <w:sz w:val="32"/>
          <w:szCs w:val="32"/>
        </w:rPr>
        <w:t>（五）消保条款要求</w:t>
      </w:r>
    </w:p>
    <w:p>
      <w:pPr>
        <w:spacing w:line="560" w:lineRule="exact"/>
        <w:ind w:firstLine="636"/>
        <w:outlineLvl w:val="2"/>
        <w:rPr>
          <w:rFonts w:ascii="彩虹楷体" w:hAnsi="宋体" w:eastAsia="彩虹楷体"/>
          <w:sz w:val="32"/>
          <w:szCs w:val="32"/>
        </w:rPr>
      </w:pPr>
      <w:r>
        <w:rPr>
          <w:rFonts w:hint="eastAsia" w:ascii="彩虹楷体" w:hAnsi="宋体" w:eastAsia="彩虹楷体"/>
          <w:sz w:val="32"/>
          <w:szCs w:val="32"/>
        </w:rPr>
        <w:t>1.个人信息保护条款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（3）合作机构向个人信息主体征得收集个人信息的明确同意授权；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（4）在双方合作关系终止时，应确保其不再存储我行相关个人信息。</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2.信息披露条款</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3.消费者投诉条款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（2）对涉及理赔给付的合作机构，应明确其承担的投诉处理义务和责任。</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 xml:space="preserve">4.其他行为监督 </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2"/>
        <w:rPr>
          <w:rFonts w:ascii="彩虹楷体" w:hAnsi="宋体" w:eastAsia="彩虹楷体"/>
          <w:sz w:val="32"/>
          <w:szCs w:val="32"/>
        </w:rPr>
      </w:pPr>
      <w:r>
        <w:rPr>
          <w:rFonts w:hint="eastAsia" w:ascii="彩虹楷体" w:hAnsi="宋体" w:eastAsia="彩虹楷体"/>
          <w:sz w:val="32"/>
          <w:szCs w:val="32"/>
        </w:rPr>
        <w:t>5.黑名单退出机制</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rPr>
      </w:pPr>
      <w:r>
        <w:rPr>
          <w:rFonts w:hint="eastAsia" w:ascii="彩虹粗仿宋" w:hAnsi="宋体" w:eastAsia="彩虹粗仿宋"/>
          <w:sz w:val="32"/>
          <w:szCs w:val="32"/>
        </w:rPr>
        <w:t>（1）</w:t>
      </w:r>
      <w:r>
        <w:rPr>
          <w:rFonts w:ascii="彩虹粗仿宋" w:hAnsi="宋体" w:eastAsia="彩虹粗仿宋"/>
          <w:sz w:val="32"/>
          <w:szCs w:val="32"/>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（2）</w:t>
      </w:r>
      <w:r>
        <w:rPr>
          <w:rFonts w:ascii="彩虹粗仿宋" w:hAnsi="宋体" w:eastAsia="彩虹粗仿宋"/>
          <w:sz w:val="32"/>
          <w:szCs w:val="32"/>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rPr>
      </w:pPr>
      <w:r>
        <w:rPr>
          <w:rFonts w:hint="eastAsia" w:ascii="彩虹粗仿宋" w:hAnsi="宋体" w:eastAsia="彩虹粗仿宋"/>
          <w:sz w:val="32"/>
          <w:szCs w:val="32"/>
        </w:rPr>
        <w:t>（3）</w:t>
      </w:r>
      <w:r>
        <w:rPr>
          <w:rFonts w:ascii="彩虹粗仿宋" w:hAnsi="宋体" w:eastAsia="彩虹粗仿宋"/>
          <w:sz w:val="32"/>
          <w:szCs w:val="32"/>
        </w:rPr>
        <w:t>存在消费者权益侵权行为，受到公安立案或法院判决，给我行造成严重不良影响的；</w:t>
      </w:r>
    </w:p>
    <w:p>
      <w:pPr>
        <w:spacing w:line="600" w:lineRule="exact"/>
        <w:ind w:firstLine="640" w:firstLineChars="200"/>
        <w:jc w:val="left"/>
        <w:rPr>
          <w:rFonts w:ascii="彩虹粗仿宋" w:hAnsi="宋体" w:eastAsia="彩虹粗仿宋"/>
          <w:sz w:val="32"/>
          <w:szCs w:val="32"/>
        </w:rPr>
      </w:pPr>
      <w:r>
        <w:rPr>
          <w:rFonts w:hint="eastAsia" w:ascii="彩虹粗仿宋" w:hAnsi="宋体" w:eastAsia="彩虹粗仿宋"/>
          <w:sz w:val="32"/>
          <w:szCs w:val="32"/>
        </w:rPr>
        <w:t>（4）</w:t>
      </w:r>
      <w:r>
        <w:rPr>
          <w:rFonts w:ascii="彩虹粗仿宋" w:hAnsi="宋体" w:eastAsia="彩虹粗仿宋"/>
          <w:sz w:val="32"/>
          <w:szCs w:val="32"/>
        </w:rPr>
        <w:t>违反法律法规和监管机构规定的其他严重情形</w:t>
      </w:r>
      <w:r>
        <w:rPr>
          <w:rFonts w:hint="eastAsia" w:ascii="彩虹粗仿宋" w:hAnsi="宋体" w:eastAsia="彩虹粗仿宋"/>
          <w:sz w:val="32"/>
          <w:szCs w:val="32"/>
        </w:rPr>
        <w:t>。</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彩虹黑体" w:eastAsia="彩虹黑体" w:cs="彩虹黑体"/>
          <w:sz w:val="32"/>
          <w:szCs w:val="32"/>
        </w:rPr>
        <w:t>五</w:t>
      </w:r>
      <w:r>
        <w:rPr>
          <w:rFonts w:hint="eastAsia" w:ascii="彩虹黑体" w:hAnsi="宋体" w:eastAsia="彩虹黑体" w:cs="Times New Roman"/>
          <w:snapToGrid w:val="0"/>
          <w:kern w:val="0"/>
          <w:sz w:val="32"/>
          <w:szCs w:val="32"/>
        </w:rPr>
        <w:t>、服务供应安排</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（一）武装守押服务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为新郑支行5个营业网点（自助）和3个离行式自助银行提供武装守押服务。</w:t>
      </w:r>
    </w:p>
    <w:p>
      <w:pPr>
        <w:adjustRightInd w:val="0"/>
        <w:snapToGrid w:val="0"/>
        <w:spacing w:line="560" w:lineRule="exact"/>
        <w:ind w:firstLine="480" w:firstLineChars="15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（二）110报警服务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为新郑支行15个重点部位提供110联网报警服务。</w:t>
      </w:r>
    </w:p>
    <w:p>
      <w:pPr>
        <w:numPr>
          <w:ilvl w:val="0"/>
          <w:numId w:val="1"/>
        </w:numPr>
        <w:adjustRightInd w:val="0"/>
        <w:snapToGrid w:val="0"/>
        <w:spacing w:line="560" w:lineRule="exact"/>
        <w:ind w:firstLine="480" w:firstLineChars="15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保安值守服务</w:t>
      </w:r>
    </w:p>
    <w:p>
      <w:pPr>
        <w:spacing w:line="560" w:lineRule="exact"/>
        <w:ind w:firstLine="480" w:firstLineChars="150"/>
        <w:rPr>
          <w:rFonts w:ascii="彩虹粗仿宋" w:hAnsi="黑体" w:eastAsia="彩虹粗仿宋" w:cs="Times New Roman"/>
          <w:sz w:val="32"/>
          <w:szCs w:val="32"/>
        </w:rPr>
      </w:pPr>
      <w:r>
        <w:rPr>
          <w:rFonts w:hint="eastAsia" w:ascii="彩虹粗仿宋" w:hAnsi="黑体" w:eastAsia="彩虹粗仿宋" w:cs="Times New Roman"/>
          <w:sz w:val="32"/>
          <w:szCs w:val="32"/>
        </w:rPr>
        <w:t>新郑支行本部办公楼及所辖5个营业网点。</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彩虹黑体" w:eastAsia="彩虹黑体" w:cs="彩虹黑体"/>
          <w:sz w:val="32"/>
          <w:szCs w:val="32"/>
        </w:rPr>
        <w:t>六</w:t>
      </w:r>
      <w:r>
        <w:rPr>
          <w:rFonts w:hint="eastAsia" w:ascii="彩虹黑体" w:hAnsi="宋体" w:eastAsia="彩虹黑体" w:cs="Times New Roman"/>
          <w:snapToGrid w:val="0"/>
          <w:kern w:val="0"/>
          <w:sz w:val="32"/>
          <w:szCs w:val="32"/>
        </w:rPr>
        <w:t>、服务数量要求</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（一）武装守押服务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一个运钞车组。</w:t>
      </w:r>
    </w:p>
    <w:p>
      <w:pPr>
        <w:adjustRightInd w:val="0"/>
        <w:snapToGrid w:val="0"/>
        <w:spacing w:line="560" w:lineRule="exact"/>
        <w:ind w:firstLine="480" w:firstLineChars="15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（二）110报警服务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为新郑支行15个重点部位提供110联网报警服务。</w:t>
      </w:r>
    </w:p>
    <w:p>
      <w:pPr>
        <w:adjustRightInd w:val="0"/>
        <w:snapToGrid w:val="0"/>
        <w:spacing w:line="560" w:lineRule="exact"/>
        <w:ind w:firstLine="640" w:firstLineChars="200"/>
        <w:outlineLvl w:val="1"/>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（三）保安值守服务</w:t>
      </w:r>
    </w:p>
    <w:p>
      <w:pPr>
        <w:adjustRightInd w:val="0"/>
        <w:snapToGrid w:val="0"/>
        <w:spacing w:line="560" w:lineRule="exact"/>
        <w:ind w:firstLine="320" w:firstLineChars="100"/>
        <w:rPr>
          <w:rFonts w:ascii="彩虹粗仿宋" w:hAnsi="黑体" w:eastAsia="彩虹粗仿宋" w:cs="Times New Roman"/>
          <w:sz w:val="32"/>
          <w:szCs w:val="32"/>
        </w:rPr>
      </w:pPr>
      <w:r>
        <w:rPr>
          <w:rFonts w:hint="eastAsia" w:ascii="彩虹粗仿宋" w:hAnsi="黑体" w:eastAsia="彩虹粗仿宋" w:cs="Times New Roman"/>
          <w:sz w:val="32"/>
          <w:szCs w:val="32"/>
        </w:rPr>
        <w:t>新郑支行办公楼配备保安服务3个岗位；新郑支行营业部、新郑人民路支行、新郑郑新路支行、新郑龙湖支行、郑州华南城支行共配备保安服务11个岗位，共需14个岗位。</w:t>
      </w:r>
    </w:p>
    <w:p>
      <w:pPr>
        <w:adjustRightInd w:val="0"/>
        <w:snapToGrid w:val="0"/>
        <w:spacing w:line="560" w:lineRule="exact"/>
        <w:ind w:firstLine="320" w:firstLineChars="1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1、负责为新郑支行本部和5个网点提供安保值守服务。</w:t>
      </w:r>
    </w:p>
    <w:p>
      <w:pPr>
        <w:adjustRightInd w:val="0"/>
        <w:snapToGrid w:val="0"/>
        <w:spacing w:line="560" w:lineRule="exact"/>
        <w:ind w:firstLine="320" w:firstLineChars="10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2、新郑支行本部实行24小时轮班制值守，5个网点保安人员执勤的工作时间与网点营业时间保持一致，每人每周工作时间符合国家法定工作时间。</w:t>
      </w:r>
    </w:p>
    <w:p>
      <w:pPr>
        <w:adjustRightInd w:val="0"/>
        <w:snapToGrid w:val="0"/>
        <w:spacing w:line="560" w:lineRule="exact"/>
        <w:ind w:firstLine="320" w:firstLineChars="100"/>
        <w:outlineLvl w:val="0"/>
        <w:rPr>
          <w:rFonts w:ascii="彩虹黑体" w:hAnsi="宋体" w:eastAsia="彩虹黑体" w:cs="Times New Roman"/>
          <w:snapToGrid w:val="0"/>
          <w:kern w:val="0"/>
          <w:sz w:val="32"/>
          <w:szCs w:val="32"/>
        </w:rPr>
      </w:pPr>
      <w:r>
        <w:rPr>
          <w:rFonts w:hint="eastAsia" w:ascii="彩虹黑体" w:hAnsi="彩虹黑体" w:eastAsia="彩虹黑体" w:cs="彩虹黑体"/>
          <w:sz w:val="32"/>
          <w:szCs w:val="32"/>
        </w:rPr>
        <w:t>七</w:t>
      </w:r>
      <w:r>
        <w:rPr>
          <w:rFonts w:hint="eastAsia" w:ascii="彩虹黑体" w:hAnsi="宋体" w:eastAsia="彩虹黑体" w:cs="Times New Roman"/>
          <w:snapToGrid w:val="0"/>
          <w:kern w:val="0"/>
          <w:sz w:val="32"/>
          <w:szCs w:val="32"/>
        </w:rPr>
        <w:t>、款项支付要求</w:t>
      </w:r>
    </w:p>
    <w:p>
      <w:pPr>
        <w:adjustRightInd w:val="0"/>
        <w:snapToGrid w:val="0"/>
        <w:spacing w:line="560" w:lineRule="exact"/>
        <w:ind w:firstLine="480" w:firstLineChars="150"/>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按月支付安保服务费，在办公、营业网点安保服务、钞币运送、110联网服务任务完成后，按照考核结果和服务数量，将上个月安保服务费用转入外包服务公司指定的银行账户，据实结算。</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rPr>
      </w:pPr>
      <w:r>
        <w:rPr>
          <w:rFonts w:hint="eastAsia" w:ascii="彩虹黑体" w:hAnsi="彩虹黑体" w:eastAsia="彩虹黑体" w:cs="彩虹黑体"/>
          <w:sz w:val="32"/>
          <w:szCs w:val="32"/>
        </w:rPr>
        <w:t>八</w:t>
      </w:r>
      <w:r>
        <w:rPr>
          <w:rFonts w:hint="eastAsia" w:ascii="彩虹黑体" w:hAnsi="宋体" w:eastAsia="彩虹黑体" w:cs="Times New Roman"/>
          <w:snapToGrid w:val="0"/>
          <w:kern w:val="0"/>
          <w:sz w:val="32"/>
          <w:szCs w:val="32"/>
        </w:rPr>
        <w:t>、报价要求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（一）钞币运送费用按“元/车组/月”报含税单价，超过预算含税价90万元的报价为无效报价。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（二）110报警服务按“元/点/月”进行报警，每点每月预算含税单价为810元，年度预算14.58万元，超出预算为无效报价。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rPr>
      </w:pPr>
      <w:r>
        <w:rPr>
          <w:rFonts w:hint="eastAsia" w:ascii="彩虹粗仿宋" w:hAnsi="宋体" w:eastAsia="彩虹粗仿宋" w:cs="Times New Roman"/>
          <w:snapToGrid w:val="0"/>
          <w:kern w:val="0"/>
          <w:sz w:val="32"/>
          <w:szCs w:val="32"/>
        </w:rPr>
        <w:t>（三）按“元/岗/月”报含税单价和年度服务含税总价，每岗每月预算3200元，超过预算报价为无效报价。</w:t>
      </w:r>
    </w:p>
    <w:p>
      <w:pPr>
        <w:widowControl/>
        <w:jc w:val="left"/>
        <w:rPr>
          <w:rFonts w:ascii="彩虹粗仿宋" w:hAnsi="宋体" w:eastAsia="彩虹粗仿宋" w:cs="Times New Roman"/>
          <w:snapToGrid w:val="0"/>
          <w:kern w:val="0"/>
          <w:sz w:val="32"/>
          <w:szCs w:val="32"/>
        </w:rPr>
      </w:pPr>
    </w:p>
    <w:tbl>
      <w:tblPr>
        <w:tblStyle w:val="3"/>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left"/>
              <w:rPr>
                <w:rFonts w:ascii="Times New Roman" w:hAnsi="Times New Roman"/>
                <w:b/>
                <w:bCs/>
                <w:kern w:val="0"/>
                <w:sz w:val="36"/>
                <w:szCs w:val="36"/>
              </w:rPr>
            </w:pPr>
            <w:r>
              <w:rPr>
                <w:rFonts w:hint="eastAsia" w:ascii="彩虹粗仿宋" w:hAnsi="宋体" w:eastAsia="彩虹粗仿宋" w:cs="Times New Roman"/>
                <w:snapToGrid w:val="0"/>
                <w:kern w:val="0"/>
                <w:sz w:val="32"/>
                <w:szCs w:val="32"/>
              </w:rPr>
              <w:t>附件：</w:t>
            </w:r>
            <w:r>
              <w:rPr>
                <w:rFonts w:ascii="彩虹粗仿宋" w:hAnsi="宋体" w:eastAsia="彩虹粗仿宋" w:cs="Times New Roman"/>
                <w:snapToGrid w:val="0"/>
                <w:kern w:val="0"/>
                <w:sz w:val="32"/>
                <w:szCs w:val="32"/>
              </w:rPr>
              <w:br w:type="page"/>
            </w:r>
            <w:r>
              <w:rPr>
                <w:rFonts w:hint="eastAsia" w:ascii="宋体" w:hAnsi="宋体"/>
                <w:b/>
                <w:bCs/>
                <w:kern w:val="0"/>
                <w:sz w:val="36"/>
                <w:szCs w:val="36"/>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rPr>
            </w:pPr>
            <w:r>
              <w:rPr>
                <w:rFonts w:hint="eastAsia" w:ascii="宋体" w:hAnsi="宋体" w:cs="宋体"/>
                <w:kern w:val="0"/>
                <w:szCs w:val="28"/>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rPr>
            </w:pPr>
          </w:p>
        </w:tc>
        <w:tc>
          <w:tcPr>
            <w:tcW w:w="1080" w:type="dxa"/>
            <w:tcBorders>
              <w:top w:val="nil"/>
              <w:left w:val="nil"/>
              <w:bottom w:val="nil"/>
              <w:right w:val="nil"/>
            </w:tcBorders>
            <w:noWrap/>
            <w:vAlign w:val="center"/>
          </w:tcPr>
          <w:p>
            <w:pPr>
              <w:widowControl/>
              <w:jc w:val="left"/>
              <w:rPr>
                <w:rFonts w:ascii="宋体" w:hAnsi="宋体" w:cs="宋体"/>
                <w:kern w:val="0"/>
                <w:szCs w:val="28"/>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rPr>
            </w:pPr>
          </w:p>
        </w:tc>
        <w:tc>
          <w:tcPr>
            <w:tcW w:w="740" w:type="dxa"/>
            <w:tcBorders>
              <w:top w:val="nil"/>
              <w:left w:val="nil"/>
              <w:bottom w:val="nil"/>
              <w:right w:val="nil"/>
            </w:tcBorders>
            <w:noWrap/>
            <w:vAlign w:val="center"/>
          </w:tcPr>
          <w:p>
            <w:pPr>
              <w:widowControl/>
              <w:jc w:val="left"/>
              <w:rPr>
                <w:rFonts w:ascii="宋体" w:hAnsi="宋体" w:cs="宋体"/>
                <w:kern w:val="0"/>
                <w:szCs w:val="28"/>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rPr>
            </w:pPr>
            <w:r>
              <w:rPr>
                <w:rFonts w:hint="eastAsia" w:ascii="宋体" w:hAnsi="宋体" w:cs="宋体"/>
                <w:kern w:val="0"/>
                <w:szCs w:val="28"/>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日</w:t>
            </w:r>
            <w:r>
              <w:rPr>
                <w:rFonts w:ascii="Times New Roman" w:hAnsi="Times New Roman"/>
                <w:kern w:val="0"/>
                <w:sz w:val="24"/>
                <w:szCs w:val="24"/>
              </w:rPr>
              <w:t xml:space="preserve">   </w:t>
            </w:r>
            <w:r>
              <w:rPr>
                <w:rFonts w:hint="eastAsia" w:ascii="宋体" w:hAnsi="宋体" w:cs="宋体"/>
                <w:kern w:val="0"/>
                <w:sz w:val="24"/>
                <w:szCs w:val="24"/>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rPr>
            </w:pPr>
            <w:r>
              <w:rPr>
                <w:rFonts w:hint="eastAsia" w:ascii="宋体" w:hAnsi="宋体" w:cs="宋体"/>
                <w:b/>
                <w:bCs/>
                <w:kern w:val="0"/>
                <w:szCs w:val="28"/>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着装</w:t>
            </w:r>
            <w:r>
              <w:rPr>
                <w:rFonts w:ascii="Times New Roman" w:hAnsi="Times New Roman"/>
                <w:kern w:val="0"/>
                <w:sz w:val="22"/>
              </w:rPr>
              <w:t xml:space="preserve">    </w:t>
            </w:r>
            <w:r>
              <w:rPr>
                <w:rFonts w:hint="eastAsia" w:ascii="宋体" w:hAnsi="宋体" w:cs="宋体"/>
                <w:kern w:val="0"/>
                <w:sz w:val="22"/>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警具</w:t>
            </w:r>
            <w:r>
              <w:rPr>
                <w:rFonts w:ascii="Times New Roman" w:hAnsi="Times New Roman"/>
                <w:kern w:val="0"/>
                <w:sz w:val="22"/>
              </w:rPr>
              <w:t xml:space="preserve">      </w:t>
            </w:r>
            <w:r>
              <w:rPr>
                <w:rFonts w:hint="eastAsia" w:ascii="宋体" w:hAnsi="宋体" w:cs="宋体"/>
                <w:kern w:val="0"/>
                <w:sz w:val="22"/>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客户</w:t>
            </w:r>
            <w:r>
              <w:rPr>
                <w:rFonts w:ascii="Times New Roman" w:hAnsi="Times New Roman"/>
                <w:kern w:val="0"/>
                <w:sz w:val="22"/>
              </w:rPr>
              <w:t xml:space="preserve">       </w:t>
            </w:r>
            <w:r>
              <w:rPr>
                <w:rFonts w:hint="eastAsia" w:ascii="宋体" w:hAnsi="宋体" w:cs="宋体"/>
                <w:kern w:val="0"/>
                <w:sz w:val="22"/>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rPr>
            </w:pPr>
            <w:r>
              <w:rPr>
                <w:rFonts w:hint="eastAsia" w:ascii="宋体" w:hAnsi="宋体" w:cs="宋体"/>
                <w:kern w:val="0"/>
                <w:sz w:val="24"/>
                <w:szCs w:val="24"/>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rPr>
            </w:pPr>
            <w:r>
              <w:rPr>
                <w:rFonts w:hint="eastAsia" w:ascii="宋体" w:hAnsi="宋体" w:cs="宋体"/>
                <w:kern w:val="0"/>
                <w:sz w:val="24"/>
                <w:szCs w:val="24"/>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rPr>
            </w:pPr>
            <w:r>
              <w:rPr>
                <w:rFonts w:hint="eastAsia" w:ascii="宋体" w:hAnsi="宋体" w:cs="宋体"/>
                <w:kern w:val="0"/>
                <w:sz w:val="22"/>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rPr>
            </w:pPr>
            <w:r>
              <w:rPr>
                <w:rFonts w:hint="eastAsia" w:ascii="宋体" w:hAnsi="宋体" w:cs="宋体"/>
                <w:kern w:val="0"/>
                <w:sz w:val="24"/>
                <w:szCs w:val="24"/>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rPr>
            </w:pPr>
            <w:r>
              <w:rPr>
                <w:rFonts w:hint="eastAsia" w:ascii="宋体" w:hAnsi="宋体" w:cs="宋体"/>
                <w:kern w:val="0"/>
                <w:szCs w:val="28"/>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rPr>
            </w:pPr>
          </w:p>
        </w:tc>
      </w:tr>
    </w:tbl>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 w:name="CHCFS">
    <w:altName w:val="宋体"/>
    <w:panose1 w:val="00000000000000000000"/>
    <w:charset w:val="86"/>
    <w:family w:val="auto"/>
    <w:pitch w:val="default"/>
    <w:sig w:usb0="00000000" w:usb1="00000000" w:usb2="0000001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7797996"/>
    <w:multiLevelType w:val="singleLevel"/>
    <w:tmpl w:val="6779799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3B067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2024-05-22T10:07:57Z</dcterms:created>
  <dc:creator>haccb</dc:creator>
  <cp:lastModifiedBy>haccb</cp:lastModifiedBy>
  <dcterms:modified xsi:type="dcterms:W3CDTF">2024-05-22T10:08:54Z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CF234B641C7B43B6B18632AC664B116F_12</vt:lpwstr>
  </property>
</Properties>
</file>