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jc w:val="center"/>
        <w:rPr>
          <w:rFonts w:ascii="彩虹小标宋" w:hAnsi="宋体" w:eastAsia="彩虹小标宋" w:cs="Times New Roman"/>
          <w:bCs/>
          <w:snapToGrid w:val="0"/>
          <w:kern w:val="0"/>
          <w:sz w:val="44"/>
          <w:szCs w:val="44"/>
        </w:rPr>
      </w:pPr>
      <w:r>
        <w:rPr>
          <w:rFonts w:hint="eastAsia" w:ascii="彩虹小标宋" w:hAnsi="Calibri" w:eastAsia="彩虹小标宋" w:cs="Times New Roman"/>
          <w:sz w:val="44"/>
          <w:szCs w:val="44"/>
        </w:rPr>
        <w:t>中国建设银行河南省分行全省县域营业网点尾箱寄库保管服务项目（南阳新野等支行）</w:t>
      </w:r>
      <w:r>
        <w:rPr>
          <w:rFonts w:hint="eastAsia" w:ascii="彩虹小标宋" w:hAnsi="宋体" w:eastAsia="彩虹小标宋" w:cs="Times New Roman"/>
          <w:bCs/>
          <w:snapToGrid w:val="0"/>
          <w:kern w:val="0"/>
          <w:sz w:val="44"/>
          <w:szCs w:val="44"/>
        </w:rPr>
        <w:t>采购需求</w:t>
      </w:r>
    </w:p>
    <w:p>
      <w:pPr>
        <w:adjustRightInd w:val="0"/>
        <w:snapToGrid w:val="0"/>
        <w:spacing w:line="560" w:lineRule="exact"/>
        <w:ind w:firstLine="640" w:firstLineChars="200"/>
        <w:rPr>
          <w:rFonts w:ascii="彩虹黑体" w:hAnsi="宋体" w:eastAsia="彩虹黑体" w:cs="Times New Roman"/>
          <w:snapToGrid w:val="0"/>
          <w:kern w:val="0"/>
          <w:sz w:val="32"/>
          <w:szCs w:val="32"/>
        </w:rPr>
      </w:pPr>
    </w:p>
    <w:p>
      <w:pPr>
        <w:adjustRightInd w:val="0"/>
        <w:snapToGrid w:val="0"/>
        <w:spacing w:line="560" w:lineRule="atLeast"/>
        <w:ind w:firstLine="709"/>
        <w:rPr>
          <w:rFonts w:ascii="彩虹黑体" w:eastAsia="彩虹黑体"/>
          <w:bCs/>
          <w:sz w:val="32"/>
          <w:szCs w:val="32"/>
        </w:rPr>
      </w:pPr>
      <w:r>
        <w:rPr>
          <w:rFonts w:hint="eastAsia" w:ascii="彩虹黑体" w:hAnsi="宋体" w:eastAsia="彩虹黑体" w:cs="Times New Roman"/>
          <w:snapToGrid w:val="0"/>
          <w:kern w:val="0"/>
          <w:sz w:val="32"/>
          <w:szCs w:val="32"/>
        </w:rPr>
        <w:t>一、</w:t>
      </w:r>
      <w:r>
        <w:rPr>
          <w:rFonts w:hint="eastAsia" w:ascii="彩虹黑体" w:eastAsia="彩虹黑体"/>
          <w:bCs/>
          <w:sz w:val="32"/>
          <w:szCs w:val="32"/>
        </w:rPr>
        <w:t>供应商资质要求</w:t>
      </w:r>
    </w:p>
    <w:p>
      <w:pPr>
        <w:adjustRightInd w:val="0"/>
        <w:snapToGrid w:val="0"/>
        <w:spacing w:line="560" w:lineRule="exact"/>
        <w:ind w:firstLine="486" w:firstLineChars="152"/>
        <w:rPr>
          <w:rFonts w:ascii="彩虹粗仿宋" w:eastAsia="彩虹粗仿宋"/>
          <w:sz w:val="32"/>
          <w:szCs w:val="32"/>
        </w:rPr>
      </w:pPr>
      <w:r>
        <w:rPr>
          <w:rFonts w:hint="eastAsia" w:ascii="彩虹粗仿宋" w:eastAsia="彩虹粗仿宋"/>
          <w:sz w:val="32"/>
          <w:szCs w:val="32"/>
        </w:rPr>
        <w:t>（一）具有独立法人资格，具有有效的营业执照，自有或租赁的金库具有公安机关颁发的金库安全防范合格证。</w:t>
      </w:r>
    </w:p>
    <w:p>
      <w:pPr>
        <w:adjustRightInd w:val="0"/>
        <w:snapToGrid w:val="0"/>
        <w:spacing w:line="560" w:lineRule="exact"/>
        <w:ind w:left="420" w:leftChars="200" w:firstLine="67" w:firstLineChars="21"/>
        <w:rPr>
          <w:rFonts w:ascii="彩虹粗仿宋" w:eastAsia="彩虹粗仿宋"/>
          <w:sz w:val="32"/>
          <w:szCs w:val="32"/>
        </w:rPr>
      </w:pPr>
      <w:r>
        <w:rPr>
          <w:rFonts w:hint="eastAsia" w:ascii="彩虹粗仿宋" w:eastAsia="彩虹粗仿宋"/>
          <w:sz w:val="32"/>
          <w:szCs w:val="32"/>
        </w:rPr>
        <w:t>（二）正常经营，财务状况良好</w:t>
      </w:r>
      <w:r>
        <w:rPr>
          <w:rFonts w:hint="eastAsia" w:ascii="彩虹粗仿宋" w:hAnsi="Calibri" w:eastAsia="彩虹粗仿宋" w:cs="Times New Roman"/>
          <w:sz w:val="32"/>
          <w:szCs w:val="32"/>
        </w:rPr>
        <w:t>，提供2021年至2023年经审计的财务报告或财务报表（新成立企业从成立之日起算，若企业成立不足一年，须提供基本户银行出具的资信证明）</w:t>
      </w:r>
      <w:r>
        <w:rPr>
          <w:rFonts w:hint="eastAsia" w:ascii="彩虹粗仿宋" w:eastAsia="彩虹粗仿宋"/>
          <w:sz w:val="32"/>
          <w:szCs w:val="32"/>
        </w:rPr>
        <w:t>。</w:t>
      </w:r>
    </w:p>
    <w:p>
      <w:pPr>
        <w:adjustRightInd w:val="0"/>
        <w:snapToGrid w:val="0"/>
        <w:spacing w:line="560" w:lineRule="exact"/>
        <w:ind w:firstLine="486" w:firstLineChars="152"/>
        <w:rPr>
          <w:rFonts w:ascii="彩虹粗仿宋" w:eastAsia="彩虹粗仿宋"/>
          <w:sz w:val="32"/>
          <w:szCs w:val="32"/>
        </w:rPr>
      </w:pPr>
      <w:r>
        <w:rPr>
          <w:rFonts w:hint="eastAsia" w:ascii="彩虹粗仿宋" w:eastAsia="彩虹粗仿宋"/>
          <w:sz w:val="32"/>
          <w:szCs w:val="32"/>
        </w:rPr>
        <w:t>（三）近三年具有</w:t>
      </w:r>
      <w:r>
        <w:rPr>
          <w:rFonts w:hint="eastAsia" w:ascii="彩虹粗仿宋" w:hAnsi="Calibri" w:eastAsia="彩虹粗仿宋" w:cs="Times New Roman"/>
          <w:sz w:val="32"/>
          <w:szCs w:val="32"/>
        </w:rPr>
        <w:t>银行尾箱寄库保管同类项目经验</w:t>
      </w:r>
      <w:r>
        <w:rPr>
          <w:rFonts w:hint="eastAsia" w:ascii="彩虹粗仿宋" w:eastAsia="彩虹粗仿宋"/>
          <w:sz w:val="32"/>
          <w:szCs w:val="32"/>
        </w:rPr>
        <w:t>。</w:t>
      </w:r>
    </w:p>
    <w:p>
      <w:pPr>
        <w:adjustRightInd w:val="0"/>
        <w:snapToGrid w:val="0"/>
        <w:spacing w:line="560" w:lineRule="exact"/>
        <w:ind w:left="420" w:leftChars="200" w:firstLine="67" w:firstLineChars="21"/>
        <w:rPr>
          <w:rFonts w:ascii="彩虹粗仿宋" w:eastAsia="彩虹粗仿宋"/>
          <w:sz w:val="32"/>
          <w:szCs w:val="32"/>
        </w:rPr>
      </w:pPr>
      <w:r>
        <w:rPr>
          <w:rFonts w:hint="eastAsia" w:ascii="彩虹粗仿宋" w:eastAsia="彩虹粗仿宋"/>
          <w:sz w:val="32"/>
          <w:szCs w:val="32"/>
        </w:rPr>
        <w:t>（四）外商独资、中外合资、中外合作的公司不得参与（根据保安服务管理条例第二十二条规定）。</w:t>
      </w:r>
    </w:p>
    <w:p>
      <w:pPr>
        <w:adjustRightInd w:val="0"/>
        <w:snapToGrid w:val="0"/>
        <w:spacing w:line="560" w:lineRule="exact"/>
        <w:ind w:firstLine="563" w:firstLineChars="176"/>
        <w:rPr>
          <w:rFonts w:ascii="彩虹粗仿宋" w:eastAsia="彩虹粗仿宋"/>
          <w:sz w:val="32"/>
          <w:szCs w:val="32"/>
        </w:rPr>
      </w:pPr>
      <w:r>
        <w:rPr>
          <w:rFonts w:hint="eastAsia" w:ascii="彩虹粗仿宋" w:eastAsia="彩虹粗仿宋"/>
          <w:sz w:val="32"/>
          <w:szCs w:val="32"/>
        </w:rPr>
        <w:t>(五）</w:t>
      </w:r>
      <w:r>
        <w:rPr>
          <w:rFonts w:hint="eastAsia" w:ascii="彩虹粗仿宋" w:hAnsi="Calibri" w:eastAsia="彩虹粗仿宋" w:cs="Times New Roman"/>
          <w:sz w:val="32"/>
          <w:szCs w:val="32"/>
        </w:rPr>
        <w:t>供应商当前未被“信用中国”网站列入重大税收违法失信主体（https://www.creditchina.gov.cn/xinyongfuwu/zhongdashuishouweifaanjian/）；未被“中国执行信息公开网”列入失信被执行人名单（http://zxgk.court.gov.cn/shixin/）；未被“中国政府采购网”列入政府采购严重违法失信行为记录名单（http://www.ccgp.gov.cn/search/cr/）；未被“国家企业信用信息公示系统”网站列入严重违法失信名单（黑名单）http://www.gsxt.gov.cn/index.html）（投标人出具网页截图）。</w:t>
      </w:r>
    </w:p>
    <w:p>
      <w:pPr>
        <w:adjustRightInd w:val="0"/>
        <w:snapToGrid w:val="0"/>
        <w:spacing w:line="560" w:lineRule="exact"/>
        <w:ind w:left="420" w:leftChars="200" w:firstLine="227" w:firstLineChars="71"/>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二、服务基本内容</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本次尾箱寄库保管外包采购事项、涉及全省16个二级分（支）行74个县域的170个营业网点，共需寄存尾箱约349个 ，供应商将我行营业网点装有现金、贵金属、有价证券、重要凭证等重要物品的尾箱进行安全保管，并承担相应风险和责任，我行按其实际提供服务的时效性、规范性、质量、数量等成效综合计价付费的业务合作模式。</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三、服务团队要求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（一）服务团队人员职责</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1.按时保质保量完成外包项目；配合需求单位完成阶段性和临时性任务；配合完成其他与外包事项有关的合理性工作。</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2.职业道德要求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（1）恪守职业道德，自觉维护我行利益。</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（2）主动与我行协作、相互支持、相互配合，营造融洽的合作氛围</w:t>
      </w:r>
    </w:p>
    <w:p>
      <w:pPr>
        <w:tabs>
          <w:tab w:val="left" w:pos="720"/>
        </w:tabs>
        <w:adjustRightInd w:val="0"/>
        <w:snapToGrid w:val="0"/>
        <w:spacing w:line="560" w:lineRule="atLeast"/>
        <w:ind w:firstLine="627" w:firstLineChars="196"/>
        <w:rPr>
          <w:rFonts w:ascii="彩虹粗仿宋" w:hAnsi="华文楷体" w:eastAsia="彩虹粗仿宋"/>
          <w:sz w:val="32"/>
          <w:szCs w:val="32"/>
        </w:rPr>
      </w:pPr>
      <w:r>
        <w:rPr>
          <w:rFonts w:hint="eastAsia" w:ascii="彩虹粗仿宋" w:hAnsi="华文楷体" w:eastAsia="彩虹粗仿宋"/>
          <w:sz w:val="32"/>
          <w:szCs w:val="32"/>
        </w:rPr>
        <w:t>（二）项目管理方案</w:t>
      </w:r>
    </w:p>
    <w:p>
      <w:pPr>
        <w:tabs>
          <w:tab w:val="left" w:pos="720"/>
        </w:tabs>
        <w:adjustRightInd w:val="0"/>
        <w:snapToGrid w:val="0"/>
        <w:spacing w:line="560" w:lineRule="atLeast"/>
        <w:ind w:firstLine="627" w:firstLineChars="196"/>
        <w:rPr>
          <w:rFonts w:ascii="彩虹粗仿宋" w:hAnsi="华文楷体" w:eastAsia="彩虹粗仿宋"/>
          <w:sz w:val="32"/>
          <w:szCs w:val="32"/>
        </w:rPr>
      </w:pPr>
      <w:r>
        <w:rPr>
          <w:rFonts w:hint="eastAsia" w:ascii="彩虹粗仿宋" w:hAnsi="华文楷体" w:eastAsia="彩虹粗仿宋"/>
          <w:sz w:val="32"/>
          <w:szCs w:val="32"/>
        </w:rPr>
        <w:t>1.供应商所提供的保管库房应符合国家规范、经当地公安机关认可、符合《银行业务库安全防范的要求》标准在合同履行期间保持各项设施性能良好。出入库时间应满足当地营业网点工作需要，以确保寄库尾箱及时送达营业网点，保证正常营业。</w:t>
      </w:r>
    </w:p>
    <w:p>
      <w:pPr>
        <w:tabs>
          <w:tab w:val="left" w:pos="720"/>
        </w:tabs>
        <w:adjustRightInd w:val="0"/>
        <w:snapToGrid w:val="0"/>
        <w:spacing w:line="560" w:lineRule="atLeast"/>
        <w:ind w:firstLine="627" w:firstLineChars="196"/>
        <w:rPr>
          <w:rFonts w:ascii="彩虹粗仿宋" w:hAnsi="华文楷体" w:eastAsia="彩虹粗仿宋"/>
          <w:sz w:val="32"/>
          <w:szCs w:val="32"/>
        </w:rPr>
      </w:pPr>
      <w:r>
        <w:rPr>
          <w:rFonts w:hint="eastAsia" w:ascii="彩虹粗仿宋" w:hAnsi="华文楷体" w:eastAsia="彩虹粗仿宋"/>
          <w:sz w:val="32"/>
          <w:szCs w:val="32"/>
        </w:rPr>
        <w:t>2.</w:t>
      </w:r>
      <w:r>
        <w:rPr>
          <w:rFonts w:hint="eastAsia" w:ascii="Times New Roman" w:hAnsi="Times New Roman" w:eastAsia="宋体" w:cs="Times New Roman"/>
          <w:szCs w:val="24"/>
        </w:rPr>
        <w:t xml:space="preserve"> </w:t>
      </w:r>
      <w:r>
        <w:rPr>
          <w:rFonts w:hint="eastAsia" w:ascii="彩虹粗仿宋" w:hAnsi="华文楷体" w:eastAsia="彩虹粗仿宋"/>
          <w:sz w:val="32"/>
          <w:szCs w:val="32"/>
        </w:rPr>
        <w:t>突发和应急事件管理</w:t>
      </w:r>
    </w:p>
    <w:p>
      <w:pPr>
        <w:adjustRightInd w:val="0"/>
        <w:snapToGrid w:val="0"/>
        <w:spacing w:line="560" w:lineRule="atLeast"/>
        <w:ind w:firstLine="640" w:firstLineChars="200"/>
        <w:rPr>
          <w:rFonts w:ascii="彩虹粗仿宋" w:hAnsi="华文楷体" w:eastAsia="彩虹粗仿宋"/>
          <w:sz w:val="32"/>
          <w:szCs w:val="32"/>
        </w:rPr>
      </w:pPr>
      <w:r>
        <w:rPr>
          <w:rFonts w:hint="eastAsia" w:ascii="彩虹粗仿宋" w:hAnsi="华文楷体" w:eastAsia="彩虹粗仿宋"/>
          <w:sz w:val="32"/>
          <w:szCs w:val="32"/>
        </w:rPr>
        <w:t>当遇到突发或应急事件时，行方监督供应商按照应急事件处理方案，在保证我行尾箱安全的前提下，采取有效措施，保证尾箱安全保管和按时出入库。</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（三）服务团队人员培训计划</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1.培训目标</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 提高员工的业务素质和服务水平，使其具备良好的职业道德和职业素养。</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（2）增强员工的安全防范意识和应急处理能力，确保客户单位的安全。</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（3）培养员工的团队协作精神和服务意识，提高整体工作效率。</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2.培训内容</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（1）业务知识培训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工作职责与要求、工作规程与操作流程、客户单位安全管理与服务要求，法律法规及相关政策知识。</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 技能培训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基本武术、擒拿格斗技能、消防知识和技能、急救知识和技能、交通指挥与疏导技能、监控设备操作与维护技能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（3）服务意识培训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服务礼仪与沟通技巧、客户关系管理与维护、投诉处理与满意度提升，优质服务案例分享与学习。</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（4）安全防范意识培训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安全防范知识普及、安全隐患识别与排查、应急预案制定与演练，安全事故处理与报告。</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（5） 团队协作培训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团队建设与凝聚力提升、分工合作与协同作战、信息沟通与资源共享，团队活动组织与参与。</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3.培训方式与方法</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理论授课、实操演练、视频教学、专家讲座、分组讨论，实地考察等。</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4.培训时间与周期</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 新员工入职培训：新员工入职后进行为期一周的集中培训。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（2）在职员工定期培训：每季度进行一次为期1-2天的集中培训，每年进行一次为期1周的全面培训。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（3）专项培训：根据工作需要，对特定岗位或项目进行针对性的专项培训。</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（四）风险控制和应急措施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1.风险控制措施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禁止供应商以建设银行名义进行用工管理或开展生产经营活动。</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日常管理、监督和检查。本外包事项的日常管理具体由县域网点所属二级分（支）行负责，每季度召开一次联席会，定期对外包服务进行检查，每季度至少开展一次检查，并形成检查报告；每年度结束后，根据检查报告形成年度评估报告。</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明确责任，防范风险。按照我行有关规定，规范对业务外包用工风险管理，供应商同时通过工作合同、规章对外包人员的行为做出约束，并与外包人员签订《保密协议》，严格防范操作风险、声誉风险及其它风险。</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2.应急措施</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1）在外包服务过程中如出现我行财物损失、信息泄露等风险，外包服务公司需要在第一时间向我行报告，在处理风险事项过程中要实时向我行报告进展情况，风险解除后，形成书面报告报送我行，我行综合评估后确定是否继续开展外包事项。</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（2）外包争端的解决</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外包协议有效期内若发生争议，应本着友好协商的态度加以妥善解决。协商不成的，向支行所在地人民法院起诉。诉讼期间，外包协议不涉及争议的条款，双方仍需继续履行。</w:t>
      </w:r>
    </w:p>
    <w:p>
      <w:pPr>
        <w:adjustRightInd w:val="0"/>
        <w:snapToGrid w:val="0"/>
        <w:spacing w:line="560" w:lineRule="atLeast"/>
        <w:ind w:firstLine="600"/>
        <w:rPr>
          <w:rFonts w:ascii="彩虹黑体" w:eastAsia="彩虹黑体"/>
          <w:bCs/>
          <w:sz w:val="32"/>
          <w:szCs w:val="32"/>
        </w:rPr>
      </w:pPr>
      <w:r>
        <w:rPr>
          <w:rFonts w:hint="eastAsia" w:ascii="彩虹黑体" w:eastAsia="彩虹黑体"/>
          <w:bCs/>
          <w:sz w:val="32"/>
          <w:szCs w:val="32"/>
        </w:rPr>
        <w:t>四、服务质量要求</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（一）出入库时间应满足当地营业网点工作需要，以确保寄库尾箱及时送达营业网点，保证正常营业。</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二）供应商所提供的保管库房应处于营业网点所属县域范围之内、符合国家规范、经当地公安机关认可、符合《银行业务库安全防范的要求》标准、并配备满足公安机关要求的报警、通讯等安全设施，整个库区每日处于连续不间断的监控之下，监控资料保存不少于三个月，在合同履行期间保持各项设施性能良好。</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（三）保证寄库尾箱安全完好，并确保寄库尾箱保管的整个库区每日处于连续不间断的监控之下，监控资料保存不少于三个月。</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（四）供应商接受我行对其工作的指导和监督。</w:t>
      </w:r>
    </w:p>
    <w:p>
      <w:pPr>
        <w:adjustRightInd w:val="0"/>
        <w:snapToGrid w:val="0"/>
        <w:spacing w:line="560" w:lineRule="exact"/>
        <w:ind w:firstLine="640" w:firstLineChars="200"/>
        <w:rPr>
          <w:rFonts w:ascii="彩虹粗仿宋" w:eastAsia="彩虹粗仿宋"/>
          <w:sz w:val="32"/>
          <w:szCs w:val="32"/>
        </w:rPr>
      </w:pPr>
      <w:r>
        <w:rPr>
          <w:rFonts w:hint="eastAsia" w:ascii="彩虹粗仿宋" w:eastAsia="彩虹粗仿宋"/>
          <w:sz w:val="32"/>
          <w:szCs w:val="32"/>
        </w:rPr>
        <w:t>（五）供应商制定的受托业务相关的内控制度、操作规程、人员考核等办法应与合同要求一致；不得私自将其在协议约定项下全部或部分权利义务转让或分包给任意第三方。</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五、服务供应安排</w:t>
      </w:r>
    </w:p>
    <w:p>
      <w:pPr>
        <w:adjustRightInd w:val="0"/>
        <w:snapToGrid w:val="0"/>
        <w:spacing w:line="560" w:lineRule="atLeast"/>
        <w:ind w:firstLine="640" w:firstLineChars="200"/>
        <w:jc w:val="left"/>
        <w:rPr>
          <w:rFonts w:ascii="彩虹粗仿宋" w:eastAsia="彩虹粗仿宋"/>
          <w:sz w:val="32"/>
          <w:szCs w:val="32"/>
        </w:rPr>
      </w:pPr>
      <w:r>
        <w:rPr>
          <w:rFonts w:hint="eastAsia" w:ascii="彩虹粗仿宋" w:eastAsia="彩虹粗仿宋"/>
          <w:sz w:val="32"/>
          <w:szCs w:val="32"/>
        </w:rPr>
        <w:t>本次采购事项涉及全省16个二级分（支）行74个县域的170个营业网点，共需寄存尾箱约349个(，供应商将我行营业网点装有现金、贵金属、有价证券、重要凭证等重要物品的尾箱进行安全保管，并承担相应风险和责任，本次采购期限一年。</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六、服务数量要求</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本次尾箱寄库保管外包采购事项合同期限1年，明细如下：</w:t>
      </w:r>
    </w:p>
    <w:tbl>
      <w:tblPr>
        <w:tblStyle w:val="7"/>
        <w:tblW w:w="7680" w:type="dxa"/>
        <w:tblInd w:w="103" w:type="dxa"/>
        <w:tblLayout w:type="autofit"/>
        <w:tblCellMar>
          <w:top w:w="0" w:type="dxa"/>
          <w:left w:w="108" w:type="dxa"/>
          <w:bottom w:w="0" w:type="dxa"/>
          <w:right w:w="108" w:type="dxa"/>
        </w:tblCellMar>
      </w:tblPr>
      <w:tblGrid>
        <w:gridCol w:w="623"/>
        <w:gridCol w:w="1169"/>
        <w:gridCol w:w="1026"/>
        <w:gridCol w:w="2870"/>
        <w:gridCol w:w="911"/>
        <w:gridCol w:w="1081"/>
      </w:tblGrid>
      <w:tr>
        <w:tblPrEx>
          <w:tblCellMar>
            <w:top w:w="0" w:type="dxa"/>
            <w:left w:w="108" w:type="dxa"/>
            <w:bottom w:w="0" w:type="dxa"/>
            <w:right w:w="108" w:type="dxa"/>
          </w:tblCellMar>
        </w:tblPrEx>
        <w:trPr>
          <w:trHeight w:val="1200" w:hRule="atLeast"/>
        </w:trPr>
        <w:tc>
          <w:tcPr>
            <w:tcW w:w="62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序号</w:t>
            </w:r>
          </w:p>
        </w:tc>
        <w:tc>
          <w:tcPr>
            <w:tcW w:w="116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二级分行</w:t>
            </w:r>
          </w:p>
        </w:tc>
        <w:tc>
          <w:tcPr>
            <w:tcW w:w="102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本次采购拟寄存机构名称</w:t>
            </w:r>
          </w:p>
        </w:tc>
        <w:tc>
          <w:tcPr>
            <w:tcW w:w="287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需寄存网点</w:t>
            </w:r>
          </w:p>
        </w:tc>
        <w:tc>
          <w:tcPr>
            <w:tcW w:w="91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寄存尾箱数量（预估）</w:t>
            </w:r>
          </w:p>
        </w:tc>
        <w:tc>
          <w:tcPr>
            <w:tcW w:w="108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2"/>
              </w:rPr>
            </w:pPr>
            <w:r>
              <w:rPr>
                <w:rFonts w:hint="eastAsia" w:ascii="宋体" w:hAnsi="宋体" w:eastAsia="宋体" w:cs="宋体"/>
                <w:b/>
                <w:bCs/>
                <w:color w:val="000000"/>
                <w:kern w:val="0"/>
                <w:sz w:val="22"/>
              </w:rPr>
              <w:t>采购预算(万元）</w:t>
            </w:r>
          </w:p>
        </w:tc>
      </w:tr>
      <w:tr>
        <w:tblPrEx>
          <w:tblCellMar>
            <w:top w:w="0" w:type="dxa"/>
            <w:left w:w="108" w:type="dxa"/>
            <w:bottom w:w="0" w:type="dxa"/>
            <w:right w:w="108" w:type="dxa"/>
          </w:tblCellMar>
        </w:tblPrEx>
        <w:trPr>
          <w:trHeight w:val="270" w:hRule="atLeast"/>
        </w:trPr>
        <w:tc>
          <w:tcPr>
            <w:tcW w:w="623"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21</w:t>
            </w:r>
          </w:p>
        </w:tc>
        <w:tc>
          <w:tcPr>
            <w:tcW w:w="1169"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南阳分行</w:t>
            </w:r>
          </w:p>
        </w:tc>
        <w:tc>
          <w:tcPr>
            <w:tcW w:w="1026" w:type="dxa"/>
            <w:vMerge w:val="restart"/>
            <w:tcBorders>
              <w:top w:val="nil"/>
              <w:left w:val="single" w:color="auto" w:sz="4" w:space="0"/>
              <w:bottom w:val="single" w:color="000000"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南阳市保安服务有限公司</w:t>
            </w: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xml:space="preserve">新野支行 </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新野朝阳支行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邓州支行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邓州新华路支行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bottom"/>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邓州迎宾大道支行（新设）</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桐柏支行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南召支行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社旗支行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唐河支行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唐河北京大道支行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镇平支行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镇平石佛寺支行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镇平平安大道支行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西峡支行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西峡白羽路支行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方城支行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方城文化路支行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bottom"/>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方城吴府大道支行（新设）</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内乡支行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内乡郦都国际支行（新设）</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淅川支行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bottom"/>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淅川丹江大道支行（新设）</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2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油田支行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r>
        <w:tblPrEx>
          <w:tblCellMar>
            <w:top w:w="0" w:type="dxa"/>
            <w:left w:w="108" w:type="dxa"/>
            <w:bottom w:w="0" w:type="dxa"/>
            <w:right w:w="108" w:type="dxa"/>
          </w:tblCellMar>
        </w:tblPrEx>
        <w:trPr>
          <w:trHeight w:val="270" w:hRule="atLeast"/>
        </w:trPr>
        <w:tc>
          <w:tcPr>
            <w:tcW w:w="62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16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1026"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2"/>
              </w:rPr>
            </w:pPr>
          </w:p>
        </w:tc>
        <w:tc>
          <w:tcPr>
            <w:tcW w:w="287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油田中原小区支行</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3 </w:t>
            </w:r>
          </w:p>
        </w:tc>
        <w:tc>
          <w:tcPr>
            <w:tcW w:w="1081"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 xml:space="preserve">5.00 </w:t>
            </w:r>
          </w:p>
        </w:tc>
      </w:tr>
    </w:tbl>
    <w:p>
      <w:pPr>
        <w:adjustRightInd w:val="0"/>
        <w:snapToGrid w:val="0"/>
        <w:spacing w:line="560" w:lineRule="exact"/>
        <w:ind w:firstLine="640" w:firstLineChars="200"/>
        <w:rPr>
          <w:rFonts w:ascii="彩虹黑体" w:hAnsi="宋体" w:eastAsia="彩虹黑体" w:cs="Times New Roman"/>
          <w:snapToGrid w:val="0"/>
          <w:kern w:val="0"/>
          <w:sz w:val="32"/>
          <w:szCs w:val="32"/>
        </w:rPr>
      </w:pPr>
      <w:bookmarkStart w:id="0" w:name="_GoBack"/>
      <w:bookmarkEnd w:id="0"/>
      <w:r>
        <w:rPr>
          <w:rFonts w:hint="eastAsia" w:ascii="彩虹黑体" w:hAnsi="宋体" w:eastAsia="彩虹黑体" w:cs="Times New Roman"/>
          <w:snapToGrid w:val="0"/>
          <w:kern w:val="0"/>
          <w:sz w:val="32"/>
          <w:szCs w:val="32"/>
        </w:rPr>
        <w:t>七、款项支付要求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我行将按季对寄库尾箱保管公司的服务情况进行考核，按季结算，次季度初外包供应商将费用清单提交我行审核，我行审核无误后通知外包供应商开具合法增值税发票，我行原则上在收到发票之日起20个工作日内付款。</w:t>
      </w:r>
    </w:p>
    <w:p>
      <w:pPr>
        <w:adjustRightInd w:val="0"/>
        <w:snapToGrid w:val="0"/>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八、报价要求</w:t>
      </w:r>
    </w:p>
    <w:p>
      <w:pPr>
        <w:adjustRightInd w:val="0"/>
        <w:snapToGrid w:val="0"/>
        <w:spacing w:line="560" w:lineRule="atLeast"/>
        <w:ind w:firstLine="640" w:firstLineChars="200"/>
        <w:rPr>
          <w:rFonts w:ascii="彩虹粗仿宋" w:eastAsia="彩虹粗仿宋"/>
          <w:sz w:val="32"/>
          <w:szCs w:val="32"/>
        </w:rPr>
      </w:pPr>
      <w:r>
        <w:rPr>
          <w:rFonts w:hint="eastAsia" w:ascii="彩虹粗仿宋" w:eastAsia="彩虹粗仿宋"/>
          <w:sz w:val="32"/>
          <w:szCs w:val="32"/>
        </w:rPr>
        <w:t>每个标段外包供应商，按照尾箱寄库保管服务内容报含税包干价，报价超过预算为无效报价</w:t>
      </w:r>
    </w:p>
    <w:p>
      <w:pPr>
        <w:ind w:firstLine="420" w:firstLineChars="200"/>
      </w:pPr>
    </w:p>
    <w:p>
      <w:pPr>
        <w:adjustRightInd w:val="0"/>
        <w:snapToGrid w:val="0"/>
        <w:spacing w:line="360" w:lineRule="auto"/>
        <w:jc w:val="cente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HCFS">
    <w:altName w:val="宋体"/>
    <w:panose1 w:val="00000000000000000000"/>
    <w:charset w:val="86"/>
    <w:family w:val="swiss"/>
    <w:pitch w:val="default"/>
    <w:sig w:usb0="00000000" w:usb1="00000000" w:usb2="00000000" w:usb3="00000000" w:csb0="00040000" w:csb1="00000000"/>
  </w:font>
  <w:font w:name="彩虹小标宋">
    <w:panose1 w:val="03000509000000000000"/>
    <w:charset w:val="86"/>
    <w:family w:val="script"/>
    <w:pitch w:val="default"/>
    <w:sig w:usb0="00000001" w:usb1="080E0000" w:usb2="00000000" w:usb3="00000000" w:csb0="00040000" w:csb1="00000000"/>
  </w:font>
  <w:font w:name="彩虹黑体">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characterSpacingControl w:val="doNotCompress"/>
  <w:compat>
    <w:useFELayout/>
    <w:compatSetting w:name="compatibilityMode" w:uri="http://schemas.microsoft.com/office/word" w:val="12"/>
  </w:compat>
  <w:rsids>
    <w:rsidRoot w:val="00D54A80"/>
    <w:rsid w:val="00002108"/>
    <w:rsid w:val="00006767"/>
    <w:rsid w:val="001E2AE1"/>
    <w:rsid w:val="00277B2C"/>
    <w:rsid w:val="00633CFF"/>
    <w:rsid w:val="00641F5A"/>
    <w:rsid w:val="00B536BF"/>
    <w:rsid w:val="00C91C59"/>
    <w:rsid w:val="00D04829"/>
    <w:rsid w:val="00D54A80"/>
    <w:rsid w:val="00DE19F1"/>
    <w:rsid w:val="00EE1D27"/>
    <w:rsid w:val="374331C3"/>
    <w:rsid w:val="7E182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7"/>
    <w:semiHidden/>
    <w:unhideWhenUsed/>
    <w:uiPriority w:val="99"/>
    <w:pPr>
      <w:jc w:val="left"/>
    </w:pPr>
  </w:style>
  <w:style w:type="paragraph" w:styleId="3">
    <w:name w:val="Date"/>
    <w:basedOn w:val="1"/>
    <w:next w:val="1"/>
    <w:link w:val="18"/>
    <w:semiHidden/>
    <w:unhideWhenUsed/>
    <w:uiPriority w:val="99"/>
    <w:pPr>
      <w:ind w:left="100" w:leftChars="2500"/>
    </w:pPr>
  </w:style>
  <w:style w:type="paragraph" w:styleId="4">
    <w:name w:val="Balloon Text"/>
    <w:basedOn w:val="1"/>
    <w:link w:val="16"/>
    <w:semiHidden/>
    <w:unhideWhenUsed/>
    <w:uiPriority w:val="99"/>
    <w:rPr>
      <w:rFonts w:ascii="Times New Roman" w:hAnsi="Times New Roman" w:eastAsia="宋体" w:cs="Times New Roman"/>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character" w:styleId="9">
    <w:name w:val="FollowedHyperlink"/>
    <w:basedOn w:val="8"/>
    <w:semiHidden/>
    <w:unhideWhenUsed/>
    <w:uiPriority w:val="99"/>
    <w:rPr>
      <w:color w:val="800080"/>
      <w:u w:val="single"/>
    </w:rPr>
  </w:style>
  <w:style w:type="character" w:styleId="10">
    <w:name w:val="Hyperlink"/>
    <w:basedOn w:val="8"/>
    <w:semiHidden/>
    <w:unhideWhenUsed/>
    <w:uiPriority w:val="99"/>
    <w:rPr>
      <w:color w:val="0000FF"/>
      <w:u w:val="single"/>
    </w:rPr>
  </w:style>
  <w:style w:type="character" w:styleId="11">
    <w:name w:val="annotation reference"/>
    <w:basedOn w:val="8"/>
    <w:semiHidden/>
    <w:unhideWhenUsed/>
    <w:uiPriority w:val="99"/>
    <w:rPr>
      <w:sz w:val="21"/>
      <w:szCs w:val="21"/>
    </w:rPr>
  </w:style>
  <w:style w:type="paragraph" w:styleId="12">
    <w:name w:val="List Paragraph"/>
    <w:basedOn w:val="1"/>
    <w:qFormat/>
    <w:uiPriority w:val="34"/>
    <w:pPr>
      <w:ind w:firstLine="420" w:firstLineChars="200"/>
    </w:pPr>
  </w:style>
  <w:style w:type="character" w:customStyle="1" w:styleId="13">
    <w:name w:val="页脚 Char"/>
    <w:basedOn w:val="8"/>
    <w:link w:val="5"/>
    <w:qFormat/>
    <w:uiPriority w:val="99"/>
    <w:rPr>
      <w:sz w:val="18"/>
      <w:szCs w:val="18"/>
    </w:rPr>
  </w:style>
  <w:style w:type="character" w:customStyle="1" w:styleId="14">
    <w:name w:val="页眉 Char"/>
    <w:basedOn w:val="8"/>
    <w:link w:val="6"/>
    <w:qFormat/>
    <w:uiPriority w:val="99"/>
    <w:rPr>
      <w:sz w:val="18"/>
      <w:szCs w:val="18"/>
    </w:rPr>
  </w:style>
  <w:style w:type="paragraph" w:customStyle="1" w:styleId="15">
    <w:name w:val="Default"/>
    <w:uiPriority w:val="0"/>
    <w:pPr>
      <w:widowControl w:val="0"/>
      <w:autoSpaceDE w:val="0"/>
      <w:autoSpaceDN w:val="0"/>
      <w:adjustRightInd w:val="0"/>
    </w:pPr>
    <w:rPr>
      <w:rFonts w:ascii="CHCFS" w:eastAsia="CHCFS" w:cs="CHCFS" w:hAnsiTheme="minorHAnsi"/>
      <w:color w:val="000000"/>
      <w:kern w:val="0"/>
      <w:sz w:val="24"/>
      <w:szCs w:val="24"/>
      <w:lang w:val="en-US" w:eastAsia="zh-CN" w:bidi="ar-SA"/>
    </w:rPr>
  </w:style>
  <w:style w:type="character" w:customStyle="1" w:styleId="16">
    <w:name w:val="批注框文本 Char"/>
    <w:basedOn w:val="8"/>
    <w:link w:val="4"/>
    <w:semiHidden/>
    <w:qFormat/>
    <w:uiPriority w:val="99"/>
    <w:rPr>
      <w:rFonts w:ascii="Times New Roman" w:hAnsi="Times New Roman" w:eastAsia="宋体" w:cs="Times New Roman"/>
      <w:sz w:val="18"/>
      <w:szCs w:val="18"/>
    </w:rPr>
  </w:style>
  <w:style w:type="character" w:customStyle="1" w:styleId="17">
    <w:name w:val="批注文字 Char"/>
    <w:basedOn w:val="8"/>
    <w:link w:val="2"/>
    <w:semiHidden/>
    <w:uiPriority w:val="99"/>
  </w:style>
  <w:style w:type="character" w:customStyle="1" w:styleId="18">
    <w:name w:val="日期 Char"/>
    <w:basedOn w:val="8"/>
    <w:link w:val="3"/>
    <w:semiHidden/>
    <w:uiPriority w:val="99"/>
  </w:style>
  <w:style w:type="paragraph" w:customStyle="1" w:styleId="19">
    <w:name w:val="font5"/>
    <w:basedOn w:val="1"/>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0">
    <w:name w:val="font6"/>
    <w:basedOn w:val="1"/>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1">
    <w:name w:val="xl66"/>
    <w:basedOn w:val="1"/>
    <w:uiPriority w:val="0"/>
    <w:pPr>
      <w:widowControl/>
      <w:spacing w:before="100" w:beforeAutospacing="1" w:after="100" w:afterAutospacing="1"/>
      <w:jc w:val="left"/>
      <w:textAlignment w:val="bottom"/>
    </w:pPr>
    <w:rPr>
      <w:rFonts w:ascii="宋体" w:hAnsi="宋体" w:eastAsia="宋体" w:cs="宋体"/>
      <w:kern w:val="0"/>
      <w:sz w:val="24"/>
      <w:szCs w:val="24"/>
    </w:rPr>
  </w:style>
  <w:style w:type="paragraph" w:customStyle="1" w:styleId="22">
    <w:name w:val="xl6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23">
    <w:name w:val="xl6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24">
    <w:name w:val="xl69"/>
    <w:basedOn w:val="1"/>
    <w:uiPriority w:val="0"/>
    <w:pPr>
      <w:widowControl/>
      <w:spacing w:before="100" w:beforeAutospacing="1" w:after="100" w:afterAutospacing="1"/>
      <w:jc w:val="left"/>
      <w:textAlignment w:val="bottom"/>
    </w:pPr>
    <w:rPr>
      <w:rFonts w:ascii="宋体" w:hAnsi="宋体" w:eastAsia="宋体" w:cs="宋体"/>
      <w:kern w:val="0"/>
      <w:sz w:val="24"/>
      <w:szCs w:val="24"/>
    </w:rPr>
  </w:style>
  <w:style w:type="paragraph" w:customStyle="1" w:styleId="25">
    <w:name w:val="xl7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26">
    <w:name w:val="xl7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27">
    <w:name w:val="xl7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28">
    <w:name w:val="xl7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29">
    <w:name w:val="xl7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30">
    <w:name w:val="xl7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31">
    <w:name w:val="xl76"/>
    <w:basedOn w:val="1"/>
    <w:uiPriority w:val="0"/>
    <w:pPr>
      <w:widowControl/>
      <w:spacing w:before="100" w:beforeAutospacing="1" w:after="100" w:afterAutospacing="1"/>
      <w:jc w:val="left"/>
      <w:textAlignment w:val="bottom"/>
    </w:pPr>
    <w:rPr>
      <w:rFonts w:ascii="宋体" w:hAnsi="宋体" w:eastAsia="宋体" w:cs="宋体"/>
      <w:kern w:val="0"/>
      <w:sz w:val="24"/>
      <w:szCs w:val="24"/>
    </w:rPr>
  </w:style>
  <w:style w:type="paragraph" w:customStyle="1" w:styleId="32">
    <w:name w:val="xl7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33">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34">
    <w:name w:val="xl79"/>
    <w:basedOn w:val="1"/>
    <w:qFormat/>
    <w:uiPriority w:val="0"/>
    <w:pPr>
      <w:widowControl/>
      <w:pBdr>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b/>
      <w:bCs/>
      <w:kern w:val="0"/>
      <w:sz w:val="24"/>
      <w:szCs w:val="24"/>
    </w:rPr>
  </w:style>
  <w:style w:type="paragraph" w:customStyle="1" w:styleId="3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3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kern w:val="0"/>
      <w:sz w:val="24"/>
      <w:szCs w:val="24"/>
    </w:rPr>
  </w:style>
  <w:style w:type="paragraph" w:customStyle="1" w:styleId="3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center"/>
    </w:pPr>
    <w:rPr>
      <w:rFonts w:ascii="宋体" w:hAnsi="宋体" w:eastAsia="宋体" w:cs="宋体"/>
      <w:kern w:val="0"/>
      <w:sz w:val="24"/>
      <w:szCs w:val="24"/>
    </w:rPr>
  </w:style>
  <w:style w:type="paragraph" w:customStyle="1" w:styleId="3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eastAsia="宋体" w:cs="宋体"/>
      <w:kern w:val="0"/>
      <w:sz w:val="24"/>
      <w:szCs w:val="24"/>
    </w:rPr>
  </w:style>
  <w:style w:type="paragraph" w:customStyle="1" w:styleId="3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0">
    <w:name w:val="xl85"/>
    <w:basedOn w:val="1"/>
    <w:qFormat/>
    <w:uiPriority w:val="0"/>
    <w:pPr>
      <w:widowControl/>
      <w:spacing w:before="100" w:beforeAutospacing="1" w:after="100" w:afterAutospacing="1"/>
      <w:jc w:val="left"/>
      <w:textAlignment w:val="bottom"/>
    </w:pPr>
    <w:rPr>
      <w:rFonts w:ascii="宋体" w:hAnsi="宋体" w:eastAsia="宋体" w:cs="宋体"/>
      <w:color w:val="FF0000"/>
      <w:kern w:val="0"/>
      <w:sz w:val="24"/>
      <w:szCs w:val="24"/>
    </w:rPr>
  </w:style>
  <w:style w:type="paragraph" w:customStyle="1" w:styleId="4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eastAsia="宋体" w:cs="宋体"/>
      <w:kern w:val="0"/>
      <w:sz w:val="24"/>
      <w:szCs w:val="24"/>
    </w:rPr>
  </w:style>
  <w:style w:type="paragraph" w:customStyle="1" w:styleId="4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3">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4"/>
      <w:szCs w:val="24"/>
    </w:rPr>
  </w:style>
  <w:style w:type="paragraph" w:customStyle="1" w:styleId="44">
    <w:name w:val="xl89"/>
    <w:basedOn w:val="1"/>
    <w:qFormat/>
    <w:uiPriority w:val="0"/>
    <w:pPr>
      <w:widowControl/>
      <w:pBdr>
        <w:top w:val="single" w:color="auto" w:sz="4" w:space="0"/>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5">
    <w:name w:val="xl90"/>
    <w:basedOn w:val="1"/>
    <w:qFormat/>
    <w:uiPriority w:val="0"/>
    <w:pPr>
      <w:widowControl/>
      <w:pBdr>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6">
    <w:name w:val="xl91"/>
    <w:basedOn w:val="1"/>
    <w:qFormat/>
    <w:uiPriority w:val="0"/>
    <w:pPr>
      <w:widowControl/>
      <w:pBdr>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7">
    <w:name w:val="xl92"/>
    <w:basedOn w:val="1"/>
    <w:qFormat/>
    <w:uiPriority w:val="0"/>
    <w:pPr>
      <w:widowControl/>
      <w:pBdr>
        <w:top w:val="single" w:color="auto" w:sz="4" w:space="0"/>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8">
    <w:name w:val="xl93"/>
    <w:basedOn w:val="1"/>
    <w:qFormat/>
    <w:uiPriority w:val="0"/>
    <w:pPr>
      <w:widowControl/>
      <w:pBdr>
        <w:left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49">
    <w:name w:val="xl94"/>
    <w:basedOn w:val="1"/>
    <w:qFormat/>
    <w:uiPriority w:val="0"/>
    <w:pPr>
      <w:widowControl/>
      <w:pBdr>
        <w:left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kern w:val="0"/>
      <w:sz w:val="24"/>
      <w:szCs w:val="24"/>
    </w:rPr>
  </w:style>
  <w:style w:type="paragraph" w:customStyle="1" w:styleId="50">
    <w:name w:val="xl95"/>
    <w:basedOn w:val="1"/>
    <w:qFormat/>
    <w:uiPriority w:val="0"/>
    <w:pPr>
      <w:widowControl/>
      <w:pBdr>
        <w:bottom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5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5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53">
    <w:name w:val="xl98"/>
    <w:basedOn w:val="1"/>
    <w:qFormat/>
    <w:uiPriority w:val="0"/>
    <w:pPr>
      <w:widowControl/>
      <w:pBdr>
        <w:top w:val="single" w:color="auto" w:sz="4" w:space="0"/>
        <w:bottom w:val="single" w:color="auto" w:sz="4" w:space="0"/>
      </w:pBdr>
      <w:shd w:val="clear" w:color="000000" w:fill="C5D9F1"/>
      <w:spacing w:before="100" w:beforeAutospacing="1" w:after="100" w:afterAutospacing="1"/>
      <w:jc w:val="center"/>
    </w:pPr>
    <w:rPr>
      <w:rFonts w:ascii="宋体" w:hAnsi="宋体" w:eastAsia="宋体" w:cs="宋体"/>
      <w:b/>
      <w:bCs/>
      <w:kern w:val="0"/>
      <w:sz w:val="28"/>
      <w:szCs w:val="28"/>
    </w:rPr>
  </w:style>
  <w:style w:type="paragraph" w:customStyle="1" w:styleId="54">
    <w:name w:val="xl99"/>
    <w:basedOn w:val="1"/>
    <w:qFormat/>
    <w:uiPriority w:val="0"/>
    <w:pPr>
      <w:widowControl/>
      <w:pBdr>
        <w:top w:val="single" w:color="auto" w:sz="4" w:space="0"/>
        <w:bottom w:val="single" w:color="auto" w:sz="4" w:space="0"/>
        <w:right w:val="single" w:color="auto" w:sz="4" w:space="0"/>
      </w:pBdr>
      <w:shd w:val="clear" w:color="000000" w:fill="C5D9F1"/>
      <w:spacing w:before="100" w:beforeAutospacing="1" w:after="100" w:afterAutospacing="1"/>
      <w:jc w:val="center"/>
    </w:pPr>
    <w:rPr>
      <w:rFonts w:ascii="宋体" w:hAnsi="宋体" w:eastAsia="宋体" w:cs="宋体"/>
      <w:b/>
      <w:bCs/>
      <w:kern w:val="0"/>
      <w:sz w:val="28"/>
      <w:szCs w:val="28"/>
    </w:rPr>
  </w:style>
  <w:style w:type="paragraph" w:customStyle="1" w:styleId="55">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56">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eastAsia="宋体" w:cs="宋体"/>
      <w:kern w:val="0"/>
      <w:sz w:val="24"/>
      <w:szCs w:val="24"/>
    </w:rPr>
  </w:style>
  <w:style w:type="paragraph" w:customStyle="1" w:styleId="57">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58">
    <w:name w:val="xl10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59">
    <w:name w:val="xl10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8"/>
      <w:szCs w:val="28"/>
    </w:rPr>
  </w:style>
  <w:style w:type="paragraph" w:customStyle="1" w:styleId="60">
    <w:name w:val="xl10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61">
    <w:name w:val="xl10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62">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63">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eastAsia="宋体" w:cs="宋体"/>
      <w:kern w:val="0"/>
      <w:sz w:val="24"/>
      <w:szCs w:val="24"/>
    </w:rPr>
  </w:style>
  <w:style w:type="paragraph" w:customStyle="1" w:styleId="64">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中国建设银行股份有限公司河南省分行</Company>
  <Pages>11</Pages>
  <Words>4477</Words>
  <Characters>5256</Characters>
  <Lines>927</Lines>
  <Paragraphs>764</Paragraphs>
  <TotalTime>1</TotalTime>
  <ScaleCrop>false</ScaleCrop>
  <LinksUpToDate>false</LinksUpToDate>
  <CharactersWithSpaces>5603</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2019-08-30T07:17:00Z</dcterms:created>
  <dc:creator>Apache POI</dc:creator>
  <cp:lastModifiedBy>haccb</cp:lastModifiedBy>
  <dcterms:modified xsi:type="dcterms:W3CDTF">2024-05-21T06:54:29Z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C335279538F642CB81D07DD720F42EF3_12</vt:lpwstr>
  </property>
</Properties>
</file>