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EEAB5">
      <w:pPr>
        <w:pStyle w:val="3"/>
        <w:ind w:firstLine="640"/>
        <w:jc w:val="center"/>
      </w:pPr>
      <w:bookmarkStart w:id="0" w:name="OLE_LINK3"/>
      <w:r>
        <w:rPr>
          <w:rFonts w:hint="eastAsia"/>
        </w:rPr>
        <w:t>交通银行广西区分行（含南宁金融服务中心）2025年全辖补充医疗保险项目公开招标公告</w:t>
      </w:r>
    </w:p>
    <w:p w14:paraId="799715BB">
      <w:pPr>
        <w:snapToGrid w:val="0"/>
        <w:spacing w:line="380" w:lineRule="exact"/>
        <w:ind w:firstLine="422"/>
        <w:rPr>
          <w:rFonts w:ascii="宋体" w:hAnsi="宋体" w:cs="Arial"/>
          <w:bCs/>
          <w:szCs w:val="21"/>
        </w:rPr>
      </w:pPr>
      <w:bookmarkStart w:id="1" w:name="_GoBack"/>
      <w:r>
        <w:rPr>
          <w:rFonts w:hint="eastAsia" w:ascii="宋体" w:hAnsi="宋体"/>
          <w:szCs w:val="21"/>
        </w:rPr>
        <w:t>云之龙咨询集团有限公司受招标人的委托，拟对交通银行广西区分行（含南宁金融服务中心）2025年全辖补充医疗保险项目进行公开招标方式招标</w:t>
      </w:r>
      <w:r>
        <w:rPr>
          <w:rFonts w:hint="eastAsia" w:ascii="宋体" w:hAnsi="宋体" w:cs="Arial"/>
          <w:bCs/>
          <w:szCs w:val="21"/>
        </w:rPr>
        <w:t>，现将有关事项公告如下：</w:t>
      </w:r>
    </w:p>
    <w:p w14:paraId="154E443B">
      <w:pPr>
        <w:pStyle w:val="8"/>
        <w:numPr>
          <w:ilvl w:val="0"/>
          <w:numId w:val="1"/>
        </w:numPr>
        <w:snapToGrid w:val="0"/>
        <w:spacing w:line="380" w:lineRule="exact"/>
        <w:ind w:firstLineChars="0"/>
        <w:rPr>
          <w:rFonts w:cs="Arial" w:asciiTheme="minorEastAsia" w:hAnsiTheme="minorEastAsia" w:eastAsiaTheme="minorEastAsia"/>
          <w:bCs/>
          <w:szCs w:val="21"/>
        </w:rPr>
      </w:pPr>
      <w:r>
        <w:rPr>
          <w:rFonts w:hint="eastAsia" w:cs="Arial" w:asciiTheme="minorEastAsia" w:hAnsiTheme="minorEastAsia" w:eastAsiaTheme="minorEastAsia"/>
          <w:szCs w:val="21"/>
        </w:rPr>
        <w:t>项目名称：交通银行广西区分行（含南宁金融服务中心）2025年全辖补充医疗保险项目</w:t>
      </w:r>
    </w:p>
    <w:p w14:paraId="474F66C8">
      <w:pPr>
        <w:pStyle w:val="8"/>
        <w:snapToGrid w:val="0"/>
        <w:spacing w:line="380" w:lineRule="exact"/>
        <w:ind w:left="872" w:firstLine="0" w:firstLineChars="0"/>
        <w:rPr>
          <w:rFonts w:cs="Arial" w:asciiTheme="minorEastAsia" w:hAnsiTheme="minorEastAsia" w:eastAsiaTheme="minorEastAsia"/>
          <w:bCs/>
          <w:szCs w:val="21"/>
        </w:rPr>
      </w:pPr>
      <w:r>
        <w:rPr>
          <w:rFonts w:hint="eastAsia" w:cs="Arial" w:asciiTheme="minorEastAsia" w:hAnsiTheme="minorEastAsia" w:eastAsiaTheme="minorEastAsia"/>
          <w:bCs/>
          <w:szCs w:val="21"/>
        </w:rPr>
        <w:t>项目编号：CGXM45199925090010</w:t>
      </w:r>
    </w:p>
    <w:p w14:paraId="1D35208E">
      <w:pPr>
        <w:snapToGrid w:val="0"/>
        <w:spacing w:line="380" w:lineRule="exact"/>
        <w:ind w:firstLine="840" w:firstLineChars="400"/>
        <w:rPr>
          <w:rFonts w:cs="Arial" w:asciiTheme="minorEastAsia" w:hAnsiTheme="minorEastAsia" w:eastAsiaTheme="minorEastAsia"/>
          <w:bCs/>
          <w:lang w:bidi="en-US"/>
        </w:rPr>
      </w:pPr>
      <w:r>
        <w:rPr>
          <w:rFonts w:hint="eastAsia" w:cs="Arial" w:asciiTheme="minorEastAsia" w:hAnsiTheme="minorEastAsia" w:eastAsiaTheme="minorEastAsia"/>
          <w:bCs/>
          <w:lang w:bidi="en-US"/>
        </w:rPr>
        <w:t>项目预算：20229400.00元（含税）；</w:t>
      </w:r>
      <w:r>
        <w:rPr>
          <w:rFonts w:hint="eastAsia" w:ascii="宋体" w:hAnsi="宋体" w:cs="宋体"/>
        </w:rPr>
        <w:t>最高限价</w:t>
      </w:r>
      <w:r>
        <w:rPr>
          <w:rFonts w:hint="eastAsia" w:cs="Arial" w:asciiTheme="minorEastAsia" w:hAnsiTheme="minorEastAsia" w:eastAsiaTheme="minorEastAsia"/>
          <w:bCs/>
          <w:lang w:bidi="en-US"/>
        </w:rPr>
        <w:t>：20229400.00元（含税）。</w:t>
      </w:r>
    </w:p>
    <w:p w14:paraId="171FB8CA">
      <w:pPr>
        <w:autoSpaceDE w:val="0"/>
        <w:autoSpaceDN w:val="0"/>
        <w:adjustRightInd w:val="0"/>
        <w:spacing w:line="380" w:lineRule="exact"/>
        <w:ind w:firstLine="422" w:firstLineChars="200"/>
        <w:rPr>
          <w:rFonts w:ascii="宋体" w:hAnsi="宋体" w:cs="方正仿宋_GBK"/>
          <w:bCs/>
          <w:szCs w:val="21"/>
        </w:rPr>
      </w:pPr>
      <w:r>
        <w:rPr>
          <w:rFonts w:hint="eastAsia" w:ascii="宋体" w:hAnsi="宋体" w:cs="Arial"/>
          <w:b/>
          <w:szCs w:val="21"/>
        </w:rPr>
        <w:t>二、</w:t>
      </w:r>
      <w:r>
        <w:rPr>
          <w:rFonts w:hint="eastAsia" w:ascii="宋体" w:hAnsi="宋体" w:cs="Arial"/>
          <w:b/>
          <w:bCs/>
          <w:szCs w:val="21"/>
        </w:rPr>
        <w:t>招标内容：</w:t>
      </w:r>
    </w:p>
    <w:p w14:paraId="65464D5E">
      <w:pPr>
        <w:snapToGrid w:val="0"/>
        <w:spacing w:line="380" w:lineRule="exact"/>
        <w:ind w:firstLine="420" w:firstLineChars="200"/>
        <w:rPr>
          <w:rFonts w:ascii="宋体" w:hAnsi="宋体" w:cs="Arial"/>
          <w:bCs/>
          <w:szCs w:val="21"/>
        </w:rPr>
      </w:pPr>
      <w:r>
        <w:rPr>
          <w:rFonts w:hint="eastAsia" w:ascii="宋体" w:hAnsi="宋体" w:cs="Arial"/>
          <w:bCs/>
          <w:szCs w:val="21"/>
        </w:rPr>
        <w:t>为减轻员工就医负担，交通银行广西区分行（含南宁金融服务中心）现启动1年期补充医疗保险招标（可续签），保险保障内容覆盖住院、重疾及意外保障等，具体内容详见招标文件。</w:t>
      </w:r>
    </w:p>
    <w:p w14:paraId="3AD767F5">
      <w:pPr>
        <w:snapToGrid w:val="0"/>
        <w:spacing w:line="380" w:lineRule="exact"/>
        <w:ind w:firstLine="422" w:firstLineChars="200"/>
        <w:rPr>
          <w:rFonts w:ascii="宋体" w:hAnsi="宋体" w:cs="Arial"/>
          <w:b/>
          <w:bCs/>
          <w:szCs w:val="21"/>
        </w:rPr>
      </w:pPr>
      <w:r>
        <w:rPr>
          <w:rFonts w:hint="eastAsia" w:ascii="宋体" w:hAnsi="宋体" w:cs="Arial"/>
          <w:b/>
          <w:szCs w:val="21"/>
        </w:rPr>
        <w:t>三、</w:t>
      </w:r>
      <w:r>
        <w:rPr>
          <w:rFonts w:hint="eastAsia" w:ascii="宋体" w:hAnsi="宋体" w:cs="Arial"/>
          <w:b/>
          <w:bCs/>
          <w:szCs w:val="21"/>
        </w:rPr>
        <w:t>投标人资格要求</w:t>
      </w:r>
    </w:p>
    <w:p w14:paraId="677F2CE7">
      <w:pPr>
        <w:snapToGrid w:val="0"/>
        <w:spacing w:line="380" w:lineRule="exact"/>
        <w:ind w:firstLine="420" w:firstLineChars="200"/>
        <w:rPr>
          <w:rFonts w:ascii="宋体" w:hAnsi="宋体" w:cs="Arial"/>
          <w:bCs/>
          <w:szCs w:val="21"/>
        </w:rPr>
      </w:pPr>
      <w:r>
        <w:rPr>
          <w:rFonts w:hint="eastAsia" w:ascii="宋体" w:hAnsi="宋体" w:cs="Arial"/>
          <w:bCs/>
          <w:szCs w:val="21"/>
        </w:rPr>
        <w:t>（1）供应商须具有独立承担民事责任的能力，在中华人民共和国境内注册的法人或其他组织，须提供营业执照或事业单位法人证书或社会团体法人登记证书复印件；如国家另有规定的，则从其规定。【若分公司竞标的，须取得具有法人资格的总公司出具给分公司的授权书，并提供总公司和分公司的营业执照（执业许可证）复印件。已由总公司授权的，总公司取得的相关资质证书对分公司有效，法律法规或者行业另有规定的除外】。（提供有效营业执照复印件，非企业性质单位提供相应的有效登记证书复印件）</w:t>
      </w:r>
    </w:p>
    <w:p w14:paraId="6C5A0DE1">
      <w:pPr>
        <w:snapToGrid w:val="0"/>
        <w:spacing w:line="380" w:lineRule="exact"/>
        <w:ind w:firstLine="420" w:firstLineChars="200"/>
        <w:rPr>
          <w:rFonts w:ascii="宋体" w:hAnsi="宋体" w:cs="Arial"/>
          <w:bCs/>
          <w:szCs w:val="21"/>
        </w:rPr>
      </w:pPr>
      <w:r>
        <w:rPr>
          <w:rFonts w:hint="eastAsia" w:ascii="宋体" w:hAnsi="宋体" w:cs="Arial"/>
          <w:bCs/>
          <w:szCs w:val="21"/>
        </w:rPr>
        <w:t>（2）投标人具有良好的社会商业信誉，当前未被列入交通银行供应商黑名单（指被交通银行作禁用或退库处理的供应商名单）。（提供承诺函）</w:t>
      </w:r>
    </w:p>
    <w:p w14:paraId="79D7D522">
      <w:pPr>
        <w:snapToGrid w:val="0"/>
        <w:spacing w:line="380" w:lineRule="exact"/>
        <w:ind w:firstLine="420" w:firstLineChars="200"/>
        <w:rPr>
          <w:rFonts w:ascii="宋体" w:hAnsi="宋体" w:cs="Arial"/>
          <w:bCs/>
          <w:szCs w:val="21"/>
        </w:rPr>
      </w:pPr>
      <w:r>
        <w:rPr>
          <w:rFonts w:hint="eastAsia" w:ascii="宋体" w:hAnsi="宋体" w:cs="Arial"/>
          <w:bCs/>
          <w:szCs w:val="21"/>
        </w:rPr>
        <w:t>（3）投标人须遵守国家法律法规，当前未被列入“信用中国（https://www.creditchina.gov.cn/）”有关失信被执行人名单、重大税收违法失信主体、政府采购严重违法失信行为记录名单和经营（活动）异常名录（招标人和招标代理机构有权根据评标需要，在评标现场对本条款的相关要求进行网络查询核实，并由评标委员会根据查询情况予以评判）。（提供承诺函）</w:t>
      </w:r>
    </w:p>
    <w:p w14:paraId="6C28522D">
      <w:pPr>
        <w:snapToGrid w:val="0"/>
        <w:spacing w:line="380" w:lineRule="exact"/>
        <w:ind w:firstLine="420" w:firstLineChars="200"/>
        <w:rPr>
          <w:rFonts w:ascii="宋体" w:hAnsi="宋体" w:cs="Arial"/>
          <w:bCs/>
          <w:szCs w:val="21"/>
        </w:rPr>
      </w:pPr>
      <w:r>
        <w:rPr>
          <w:rFonts w:hint="eastAsia" w:ascii="宋体" w:hAnsi="宋体" w:cs="Arial"/>
          <w:bCs/>
          <w:szCs w:val="21"/>
        </w:rPr>
        <w:t>（4）投标人须在法律和财务上独立、合法运作并独立于招标人和招标代理机构。（提供承诺函）</w:t>
      </w:r>
    </w:p>
    <w:p w14:paraId="09912323">
      <w:pPr>
        <w:snapToGrid w:val="0"/>
        <w:spacing w:line="380" w:lineRule="exact"/>
        <w:ind w:firstLine="420" w:firstLineChars="200"/>
        <w:rPr>
          <w:rFonts w:ascii="宋体" w:hAnsi="宋体" w:cs="Arial"/>
          <w:bCs/>
          <w:szCs w:val="21"/>
        </w:rPr>
      </w:pPr>
      <w:r>
        <w:rPr>
          <w:rFonts w:hint="eastAsia" w:ascii="宋体" w:hAnsi="宋体" w:cs="Arial"/>
          <w:bCs/>
          <w:szCs w:val="21"/>
        </w:rPr>
        <w:t>（5）投标人须承诺，招标人在其本国使用投标人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14:paraId="5F9B6058">
      <w:pPr>
        <w:snapToGrid w:val="0"/>
        <w:spacing w:line="380" w:lineRule="exact"/>
        <w:ind w:firstLine="420" w:firstLineChars="200"/>
        <w:rPr>
          <w:rFonts w:ascii="宋体" w:hAnsi="宋体" w:cs="Arial"/>
          <w:bCs/>
          <w:szCs w:val="21"/>
        </w:rPr>
      </w:pPr>
      <w:r>
        <w:rPr>
          <w:rFonts w:hint="eastAsia" w:ascii="宋体" w:hAnsi="宋体" w:cs="Arial"/>
          <w:bCs/>
          <w:szCs w:val="21"/>
        </w:rPr>
        <w:t>（6）投标人不将本项目招标内容以任何方式进行转包、分包。（提供承诺函）</w:t>
      </w:r>
    </w:p>
    <w:p w14:paraId="1A628016">
      <w:pPr>
        <w:snapToGrid w:val="0"/>
        <w:spacing w:line="380" w:lineRule="exact"/>
        <w:ind w:firstLine="420" w:firstLineChars="200"/>
        <w:rPr>
          <w:rFonts w:ascii="宋体" w:hAnsi="宋体" w:cs="Arial"/>
          <w:bCs/>
          <w:szCs w:val="21"/>
        </w:rPr>
      </w:pPr>
      <w:r>
        <w:rPr>
          <w:rFonts w:hint="eastAsia" w:ascii="宋体" w:hAnsi="宋体" w:cs="Arial"/>
          <w:bCs/>
          <w:szCs w:val="21"/>
        </w:rPr>
        <w:t>（7）法定代表人为同一个人的两个及两个以上法人，母公司与全资子公司/由其控股的子公司，不得在本项目中同时投标。（提供承诺函）</w:t>
      </w:r>
    </w:p>
    <w:p w14:paraId="21ECEA7B">
      <w:pPr>
        <w:snapToGrid w:val="0"/>
        <w:spacing w:line="380" w:lineRule="exact"/>
        <w:ind w:firstLine="420" w:firstLineChars="200"/>
        <w:rPr>
          <w:rFonts w:ascii="宋体" w:hAnsi="宋体" w:cs="Arial"/>
          <w:bCs/>
          <w:szCs w:val="21"/>
        </w:rPr>
      </w:pPr>
      <w:r>
        <w:rPr>
          <w:rFonts w:hint="eastAsia" w:ascii="宋体" w:hAnsi="宋体" w:cs="Arial"/>
          <w:bCs/>
          <w:szCs w:val="21"/>
        </w:rPr>
        <w:t>（8）投标人没有处于被责令停业、投标资格被取消，财产被接管，冻结、破产状态。（提供承诺函）</w:t>
      </w:r>
    </w:p>
    <w:p w14:paraId="4E8198DE">
      <w:pPr>
        <w:snapToGrid w:val="0"/>
        <w:spacing w:line="380" w:lineRule="exact"/>
        <w:ind w:firstLine="420" w:firstLineChars="200"/>
        <w:rPr>
          <w:rFonts w:ascii="宋体" w:hAnsi="宋体" w:cs="Arial"/>
          <w:bCs/>
          <w:szCs w:val="21"/>
        </w:rPr>
      </w:pPr>
      <w:r>
        <w:rPr>
          <w:rFonts w:hint="eastAsia" w:ascii="宋体" w:hAnsi="宋体" w:cs="Arial"/>
          <w:bCs/>
          <w:szCs w:val="21"/>
        </w:rPr>
        <w:t>（9）投标人不是交银集团的在职员工、在职员工的父母、在职员工的配偶或在职员工配偶的父母所办的企业（所办的企业范围主要包括：1、注册或参股个体工商户、个人独资企业、合伙企业；2、投资或参股非上市公司、企业；3、在国(境)外注册或参股公司；4、担任私营企业法人代表、高级职务；5、在外商投资企业担任由外方委派、聘任的高级职务；6、从事电子商务活动，即通过互联网等信息网络销售商品或者提供服务的经营活动）。（提供承诺函）</w:t>
      </w:r>
    </w:p>
    <w:p w14:paraId="62305FCA">
      <w:pPr>
        <w:snapToGrid w:val="0"/>
        <w:spacing w:line="380" w:lineRule="exact"/>
        <w:ind w:firstLine="420" w:firstLineChars="200"/>
        <w:rPr>
          <w:rFonts w:ascii="宋体" w:hAnsi="宋体" w:cs="Arial"/>
          <w:bCs/>
          <w:szCs w:val="21"/>
        </w:rPr>
      </w:pPr>
      <w:r>
        <w:rPr>
          <w:rFonts w:hint="eastAsia" w:ascii="宋体" w:hAnsi="宋体" w:cs="Arial"/>
          <w:bCs/>
          <w:szCs w:val="21"/>
        </w:rPr>
        <w:t>（10）投标人应当具备承担招标项目的能力；国家有关规定对投标人资格或者招标文件对投标人资格条件有规定的，投标人应当具备规定的资格条件。（提供承诺函）</w:t>
      </w:r>
    </w:p>
    <w:p w14:paraId="6C569EFF">
      <w:pPr>
        <w:snapToGrid w:val="0"/>
        <w:spacing w:line="380" w:lineRule="exact"/>
        <w:ind w:firstLine="420" w:firstLineChars="200"/>
        <w:rPr>
          <w:rFonts w:ascii="宋体" w:hAnsi="宋体" w:cs="Arial"/>
          <w:bCs/>
          <w:szCs w:val="21"/>
        </w:rPr>
      </w:pPr>
      <w:r>
        <w:rPr>
          <w:rFonts w:hint="eastAsia" w:ascii="宋体" w:hAnsi="宋体" w:cs="Arial"/>
          <w:bCs/>
          <w:szCs w:val="21"/>
        </w:rPr>
        <w:t>（11）本项目不接受任何形式的联合体投标。（提供承诺函）</w:t>
      </w:r>
    </w:p>
    <w:p w14:paraId="61D8E052">
      <w:pPr>
        <w:snapToGrid w:val="0"/>
        <w:spacing w:line="380" w:lineRule="exact"/>
        <w:ind w:firstLine="420" w:firstLineChars="200"/>
        <w:rPr>
          <w:rFonts w:ascii="宋体" w:hAnsi="宋体" w:cs="Arial"/>
          <w:bCs/>
          <w:szCs w:val="21"/>
        </w:rPr>
      </w:pPr>
      <w:r>
        <w:rPr>
          <w:rFonts w:hint="eastAsia" w:ascii="宋体" w:hAnsi="宋体" w:cs="Arial"/>
          <w:bCs/>
          <w:szCs w:val="21"/>
        </w:rPr>
        <w:t>（12）投标人已办理报名并成功购买本项目招标文件。</w:t>
      </w:r>
    </w:p>
    <w:p w14:paraId="3F7CF3AE">
      <w:pPr>
        <w:snapToGrid w:val="0"/>
        <w:spacing w:line="380" w:lineRule="exact"/>
        <w:ind w:firstLine="420" w:firstLineChars="200"/>
        <w:rPr>
          <w:rFonts w:ascii="宋体" w:hAnsi="宋体" w:cs="Arial"/>
          <w:bCs/>
          <w:szCs w:val="21"/>
        </w:rPr>
      </w:pPr>
      <w:r>
        <w:rPr>
          <w:rFonts w:hint="eastAsia" w:ascii="宋体" w:hAnsi="宋体" w:cs="Arial"/>
          <w:bCs/>
          <w:szCs w:val="21"/>
        </w:rPr>
        <w:t>（13）特定资格条件：投标人须具有有效的《保险许可证》。（提供证书复印件）</w:t>
      </w:r>
    </w:p>
    <w:p w14:paraId="456FEA37">
      <w:pPr>
        <w:snapToGrid w:val="0"/>
        <w:spacing w:line="380" w:lineRule="exact"/>
        <w:ind w:firstLine="474" w:firstLineChars="225"/>
        <w:rPr>
          <w:rFonts w:ascii="宋体" w:hAnsi="宋体" w:cs="Arial"/>
          <w:szCs w:val="21"/>
        </w:rPr>
      </w:pPr>
      <w:r>
        <w:rPr>
          <w:rFonts w:hint="eastAsia" w:ascii="宋体" w:hAnsi="宋体" w:cs="Arial"/>
          <w:b/>
          <w:bCs/>
          <w:szCs w:val="21"/>
        </w:rPr>
        <w:t>四、招标文件的发售</w:t>
      </w:r>
      <w:r>
        <w:rPr>
          <w:rFonts w:hint="eastAsia" w:ascii="宋体" w:hAnsi="宋体" w:cs="Arial"/>
          <w:szCs w:val="21"/>
        </w:rPr>
        <w:t>：</w:t>
      </w:r>
    </w:p>
    <w:p w14:paraId="18A7DEDA">
      <w:pPr>
        <w:snapToGrid w:val="0"/>
        <w:spacing w:line="380" w:lineRule="exact"/>
        <w:ind w:firstLine="472" w:firstLineChars="225"/>
        <w:rPr>
          <w:rFonts w:ascii="宋体" w:hAnsi="宋体" w:cs="Arial"/>
          <w:szCs w:val="21"/>
        </w:rPr>
      </w:pPr>
      <w:r>
        <w:rPr>
          <w:rFonts w:hint="eastAsia" w:ascii="宋体" w:hAnsi="宋体" w:cs="Arial"/>
          <w:szCs w:val="21"/>
        </w:rPr>
        <w:t>1.发售时间：自本公告发布之时起至2025年10月31日的每天上午8时00分到12时00分，15时00分到18时00分，</w:t>
      </w:r>
      <w:r>
        <w:rPr>
          <w:rFonts w:hint="eastAsia" w:ascii="宋体" w:hAnsi="宋体"/>
          <w:szCs w:val="21"/>
        </w:rPr>
        <w:t>双休日和法定节假日不办理业务</w:t>
      </w:r>
      <w:r>
        <w:rPr>
          <w:rFonts w:hint="eastAsia" w:ascii="宋体" w:hAnsi="宋体" w:cs="Arial"/>
          <w:szCs w:val="21"/>
        </w:rPr>
        <w:t>。</w:t>
      </w:r>
    </w:p>
    <w:p w14:paraId="48E59EB7">
      <w:pPr>
        <w:widowControl/>
        <w:wordWrap w:val="0"/>
        <w:spacing w:line="380" w:lineRule="exact"/>
        <w:ind w:firstLine="442" w:firstLineChars="200"/>
        <w:rPr>
          <w:rFonts w:ascii="宋体" w:hAnsi="宋体"/>
          <w:b/>
          <w:sz w:val="22"/>
        </w:rPr>
      </w:pPr>
      <w:r>
        <w:rPr>
          <w:rFonts w:hint="eastAsia" w:ascii="宋体" w:hAnsi="宋体" w:cs="Arial"/>
          <w:b/>
          <w:sz w:val="22"/>
        </w:rPr>
        <w:t>备注：</w:t>
      </w:r>
      <w:r>
        <w:rPr>
          <w:rFonts w:ascii="宋体" w:hAnsi="宋体" w:cs="Arial"/>
          <w:b/>
          <w:sz w:val="22"/>
        </w:rPr>
        <w:t>凡有意参加</w:t>
      </w:r>
      <w:r>
        <w:rPr>
          <w:rFonts w:hint="eastAsia" w:ascii="宋体" w:hAnsi="宋体" w:cs="Arial"/>
          <w:b/>
          <w:sz w:val="22"/>
        </w:rPr>
        <w:t>投标人</w:t>
      </w:r>
      <w:r>
        <w:rPr>
          <w:rFonts w:ascii="宋体" w:hAnsi="宋体" w:cs="Arial"/>
          <w:b/>
          <w:sz w:val="22"/>
        </w:rPr>
        <w:t>，</w:t>
      </w:r>
      <w:r>
        <w:rPr>
          <w:rFonts w:hint="eastAsia" w:ascii="宋体" w:hAnsi="宋体" w:cs="Arial"/>
          <w:b/>
          <w:sz w:val="22"/>
        </w:rPr>
        <w:t>购买招标文件时必须到</w:t>
      </w:r>
      <w:r>
        <w:rPr>
          <w:rFonts w:hint="eastAsia" w:ascii="宋体" w:hAnsi="宋体" w:cs="宋体"/>
          <w:b/>
          <w:kern w:val="0"/>
          <w:sz w:val="22"/>
        </w:rPr>
        <w:t>（https://bocom-gys.bankcomm.com</w:t>
      </w:r>
      <w:r>
        <w:rPr>
          <w:rFonts w:hint="eastAsia" w:ascii="宋体" w:hAnsi="宋体"/>
          <w:b/>
          <w:sz w:val="22"/>
        </w:rPr>
        <w:t>交通银行投标人门户</w:t>
      </w:r>
      <w:r>
        <w:rPr>
          <w:rFonts w:ascii="宋体" w:hAnsi="宋体" w:cs="Arial"/>
          <w:b/>
          <w:sz w:val="22"/>
        </w:rPr>
        <w:t>）</w:t>
      </w:r>
      <w:r>
        <w:rPr>
          <w:rFonts w:hint="eastAsia" w:ascii="宋体" w:hAnsi="宋体" w:cs="Arial"/>
          <w:b/>
          <w:sz w:val="22"/>
        </w:rPr>
        <w:t>进行</w:t>
      </w:r>
      <w:r>
        <w:rPr>
          <w:rFonts w:ascii="宋体" w:hAnsi="宋体" w:cs="Arial"/>
          <w:b/>
          <w:sz w:val="22"/>
        </w:rPr>
        <w:t>用户注册</w:t>
      </w:r>
      <w:r>
        <w:rPr>
          <w:rFonts w:hint="eastAsia" w:ascii="宋体" w:hAnsi="宋体" w:cs="方正仿宋_GBK"/>
          <w:b/>
          <w:kern w:val="0"/>
          <w:position w:val="-1"/>
          <w:sz w:val="22"/>
        </w:rPr>
        <w:t>（</w:t>
      </w:r>
      <w:r>
        <w:rPr>
          <w:rFonts w:hint="eastAsia" w:ascii="宋体" w:hAnsi="宋体" w:cs="方正仿宋_GBK"/>
          <w:b/>
          <w:bCs/>
          <w:kern w:val="0"/>
          <w:position w:val="-1"/>
          <w:sz w:val="22"/>
        </w:rPr>
        <w:t>注：</w:t>
      </w:r>
      <w:r>
        <w:rPr>
          <w:rFonts w:hint="eastAsia" w:ascii="宋体" w:hAnsi="宋体" w:cs="方正仿宋_GBK"/>
          <w:b/>
          <w:kern w:val="0"/>
          <w:position w:val="-1"/>
          <w:sz w:val="22"/>
        </w:rPr>
        <w:t>注册时填报的企业基本资料/基本信息中“服务分行”必须包含“广西区分行”，已经注册登记的企业，如基本信息中“服务分行”未包含“广西区分行”，应申请修改企业基本信息，在“服务分行”中增加“广西区分行”）</w:t>
      </w:r>
      <w:r>
        <w:rPr>
          <w:rFonts w:hint="eastAsia" w:ascii="宋体" w:hAnsi="宋体" w:cs="Arial"/>
          <w:b/>
          <w:sz w:val="22"/>
        </w:rPr>
        <w:t>，</w:t>
      </w:r>
      <w:r>
        <w:rPr>
          <w:rFonts w:hint="eastAsia" w:ascii="宋体" w:hAnsi="宋体"/>
          <w:b/>
          <w:bCs/>
          <w:sz w:val="22"/>
        </w:rPr>
        <w:t>未注册的影响投标，后果自负。</w:t>
      </w:r>
    </w:p>
    <w:p w14:paraId="36D088A0">
      <w:pPr>
        <w:spacing w:line="380" w:lineRule="exact"/>
        <w:ind w:firstLine="422"/>
        <w:rPr>
          <w:rFonts w:ascii="宋体" w:hAnsi="宋体"/>
          <w:szCs w:val="21"/>
        </w:rPr>
      </w:pPr>
      <w:r>
        <w:rPr>
          <w:rFonts w:hint="eastAsia" w:ascii="宋体" w:hAnsi="宋体" w:cs="Arial"/>
          <w:szCs w:val="21"/>
        </w:rPr>
        <w:t>2.获取方式：</w:t>
      </w:r>
      <w:r>
        <w:rPr>
          <w:rFonts w:hint="eastAsia" w:ascii="宋体" w:hAnsi="宋体"/>
          <w:szCs w:val="21"/>
        </w:rPr>
        <w:t>通过“云之龙咨询集团”微信公众号平台发售。</w:t>
      </w:r>
      <w:r>
        <w:rPr>
          <w:rFonts w:hint="eastAsia" w:ascii="宋体" w:hAnsi="宋体"/>
          <w:b/>
          <w:szCs w:val="21"/>
          <w:u w:val="single"/>
        </w:rPr>
        <w:t>（获取方式：关注微信公众号“云之龙咨询集团”，在云之龙咨询集团公众号页面选择[集团服务]→[购买招标文件]，登记公司相关信息并经核实后，通过线上支付费用，即可下载招标文件。详细操作见公众号“购买招标文件”首页内“购买招标文件使用需知”）</w:t>
      </w:r>
    </w:p>
    <w:p w14:paraId="267BF9F1">
      <w:pPr>
        <w:spacing w:line="380" w:lineRule="exact"/>
        <w:ind w:firstLine="422"/>
        <w:rPr>
          <w:rFonts w:ascii="宋体" w:hAnsi="宋体"/>
          <w:b/>
          <w:szCs w:val="21"/>
        </w:rPr>
      </w:pPr>
      <w:r>
        <w:rPr>
          <w:rFonts w:hint="eastAsia" w:ascii="宋体" w:hAnsi="宋体"/>
          <w:szCs w:val="21"/>
        </w:rPr>
        <w:t>3.售价：招标文件每本售价300元，售后不退。</w:t>
      </w:r>
    </w:p>
    <w:p w14:paraId="3A03FC86">
      <w:pPr>
        <w:spacing w:line="380" w:lineRule="exact"/>
        <w:ind w:firstLine="422"/>
        <w:rPr>
          <w:rFonts w:ascii="宋体" w:hAnsi="宋体"/>
          <w:szCs w:val="21"/>
        </w:rPr>
      </w:pPr>
      <w:r>
        <w:rPr>
          <w:rFonts w:hint="eastAsia" w:ascii="宋体" w:hAnsi="宋体"/>
          <w:szCs w:val="21"/>
        </w:rPr>
        <w:t>说明：</w:t>
      </w:r>
    </w:p>
    <w:p w14:paraId="726BB152">
      <w:pPr>
        <w:spacing w:line="380" w:lineRule="exact"/>
        <w:ind w:firstLine="422"/>
        <w:rPr>
          <w:rFonts w:ascii="宋体" w:hAnsi="宋体"/>
          <w:szCs w:val="21"/>
        </w:rPr>
      </w:pPr>
      <w:r>
        <w:rPr>
          <w:rFonts w:hint="eastAsia" w:ascii="宋体" w:hAnsi="宋体"/>
          <w:szCs w:val="21"/>
        </w:rPr>
        <w:t>请各投标人通过“云之龙咨询集团”微信公众号平台进行购买文件，一旦因网络或平台维护等原因造成无法通过微信购买招标文件的，可采用以下方式邮购：</w:t>
      </w:r>
    </w:p>
    <w:p w14:paraId="43F0E437">
      <w:pPr>
        <w:spacing w:line="380" w:lineRule="exact"/>
        <w:ind w:firstLine="420" w:firstLineChars="200"/>
        <w:rPr>
          <w:rFonts w:ascii="宋体" w:hAnsi="宋体"/>
        </w:rPr>
      </w:pPr>
      <w:r>
        <w:rPr>
          <w:rFonts w:hint="eastAsia" w:ascii="宋体" w:hAnsi="宋体"/>
        </w:rPr>
        <w:t>邮购招标文件的，必须于招标文件的获取时间截止前将招标文件价款汇到招标代理机构指定账户，并编辑一份电子邮件发到招标代理机构邮箱（可拨打0771-2616613获取邮箱），邮件内容含需获取招标文件的项目名称及编号、投标人名称、收件人姓名、收件人联系方式及收件地址。未按本公告要求提供有效收件人联系方式的，不予办理邮寄手续；因此造成投标人无法按时获取招标文件的，责任由投标人承担。</w:t>
      </w:r>
    </w:p>
    <w:p w14:paraId="28DFAFB7">
      <w:pPr>
        <w:spacing w:line="380" w:lineRule="exact"/>
        <w:ind w:firstLine="420" w:firstLineChars="200"/>
        <w:rPr>
          <w:rFonts w:ascii="宋体" w:hAnsi="宋体"/>
        </w:rPr>
      </w:pPr>
      <w:r>
        <w:rPr>
          <w:rFonts w:hint="eastAsia" w:ascii="宋体" w:hAnsi="宋体"/>
        </w:rPr>
        <w:t>招标文件价款交纳银行账户：</w:t>
      </w:r>
    </w:p>
    <w:p w14:paraId="71FBC3D3">
      <w:pPr>
        <w:snapToGrid w:val="0"/>
        <w:spacing w:line="380" w:lineRule="exact"/>
        <w:ind w:firstLine="420" w:firstLineChars="200"/>
        <w:rPr>
          <w:rFonts w:ascii="宋体" w:hAnsi="宋体"/>
          <w:szCs w:val="21"/>
        </w:rPr>
      </w:pPr>
      <w:r>
        <w:rPr>
          <w:rFonts w:hint="eastAsia" w:ascii="宋体" w:hAnsi="宋体"/>
          <w:szCs w:val="21"/>
        </w:rPr>
        <w:t>账户名称：云之龙咨询集团有限公司</w:t>
      </w:r>
    </w:p>
    <w:p w14:paraId="08403062">
      <w:pPr>
        <w:snapToGrid w:val="0"/>
        <w:spacing w:line="380" w:lineRule="exact"/>
        <w:ind w:firstLine="420" w:firstLineChars="200"/>
        <w:rPr>
          <w:rFonts w:ascii="宋体" w:hAnsi="宋体"/>
          <w:szCs w:val="21"/>
        </w:rPr>
      </w:pPr>
      <w:r>
        <w:rPr>
          <w:rFonts w:hint="eastAsia" w:ascii="宋体" w:hAnsi="宋体"/>
          <w:szCs w:val="21"/>
        </w:rPr>
        <w:t>开户银行：交通银行广西壮族自治区分行营业部</w:t>
      </w:r>
    </w:p>
    <w:p w14:paraId="49B76764">
      <w:pPr>
        <w:snapToGrid w:val="0"/>
        <w:spacing w:line="380" w:lineRule="exact"/>
        <w:ind w:firstLine="420" w:firstLineChars="200"/>
        <w:rPr>
          <w:rFonts w:ascii="宋体" w:hAnsi="宋体"/>
          <w:szCs w:val="21"/>
        </w:rPr>
      </w:pPr>
      <w:r>
        <w:rPr>
          <w:rFonts w:hint="eastAsia" w:ascii="宋体" w:hAnsi="宋体"/>
          <w:szCs w:val="21"/>
        </w:rPr>
        <w:t>银行账号：</w:t>
      </w:r>
      <w:r>
        <w:rPr>
          <w:rFonts w:ascii="宋体" w:hAnsi="宋体"/>
          <w:szCs w:val="21"/>
        </w:rPr>
        <w:t>451060200013001723848</w:t>
      </w:r>
    </w:p>
    <w:p w14:paraId="74576F71">
      <w:pPr>
        <w:snapToGrid w:val="0"/>
        <w:spacing w:line="380" w:lineRule="exact"/>
        <w:ind w:firstLine="420" w:firstLineChars="200"/>
        <w:rPr>
          <w:rFonts w:ascii="宋体" w:hAnsi="宋体" w:cs="Arial"/>
          <w:szCs w:val="21"/>
        </w:rPr>
      </w:pPr>
      <w:r>
        <w:rPr>
          <w:rFonts w:hint="eastAsia" w:ascii="宋体" w:hAnsi="宋体"/>
          <w:szCs w:val="21"/>
        </w:rPr>
        <w:t>开户行行号：</w:t>
      </w:r>
      <w:r>
        <w:rPr>
          <w:rFonts w:ascii="宋体" w:hAnsi="宋体"/>
          <w:szCs w:val="21"/>
        </w:rPr>
        <w:t>301611000017</w:t>
      </w:r>
    </w:p>
    <w:p w14:paraId="6C1E77BF">
      <w:pPr>
        <w:snapToGrid w:val="0"/>
        <w:spacing w:line="380" w:lineRule="exact"/>
        <w:ind w:firstLine="422" w:firstLineChars="200"/>
        <w:rPr>
          <w:rFonts w:ascii="宋体" w:hAnsi="宋体" w:cs="Arial"/>
          <w:szCs w:val="21"/>
        </w:rPr>
      </w:pPr>
      <w:r>
        <w:rPr>
          <w:rFonts w:hint="eastAsia" w:ascii="宋体" w:hAnsi="宋体" w:cs="Arial"/>
          <w:b/>
          <w:bCs/>
          <w:szCs w:val="21"/>
        </w:rPr>
        <w:t>五、投标保证金</w:t>
      </w:r>
      <w:r>
        <w:rPr>
          <w:rFonts w:hint="eastAsia" w:ascii="宋体" w:hAnsi="宋体" w:cs="Arial"/>
          <w:szCs w:val="21"/>
        </w:rPr>
        <w:t>：</w:t>
      </w:r>
    </w:p>
    <w:p w14:paraId="26C8D009">
      <w:pPr>
        <w:snapToGrid w:val="0"/>
        <w:spacing w:line="380" w:lineRule="exact"/>
        <w:ind w:firstLine="472" w:firstLineChars="225"/>
        <w:rPr>
          <w:rFonts w:ascii="宋体" w:hAnsi="宋体" w:cs="Arial"/>
          <w:szCs w:val="21"/>
        </w:rPr>
      </w:pPr>
      <w:r>
        <w:rPr>
          <w:rFonts w:hint="eastAsia" w:ascii="宋体" w:hAnsi="宋体"/>
          <w:szCs w:val="21"/>
        </w:rPr>
        <w:t>投标</w:t>
      </w:r>
      <w:r>
        <w:rPr>
          <w:rFonts w:hint="eastAsia" w:ascii="宋体" w:hAnsi="宋体" w:cs="Arial"/>
          <w:szCs w:val="21"/>
        </w:rPr>
        <w:t>保证金（人民币）：200000.00元。</w:t>
      </w:r>
    </w:p>
    <w:p w14:paraId="5F951192">
      <w:pPr>
        <w:spacing w:line="380" w:lineRule="exact"/>
        <w:ind w:firstLine="422" w:firstLineChars="201"/>
        <w:rPr>
          <w:rFonts w:ascii="宋体" w:hAnsi="宋体" w:cs="Arial"/>
          <w:szCs w:val="21"/>
        </w:rPr>
      </w:pPr>
      <w:r>
        <w:rPr>
          <w:rFonts w:hint="eastAsia" w:ascii="宋体" w:hAnsi="宋体" w:cs="Arial"/>
          <w:szCs w:val="21"/>
        </w:rPr>
        <w:t>投标保证金以</w:t>
      </w:r>
      <w:r>
        <w:rPr>
          <w:rFonts w:hint="eastAsia" w:ascii="宋体" w:hAnsi="宋体" w:cs="Arial"/>
          <w:szCs w:val="21"/>
          <w:u w:val="single"/>
        </w:rPr>
        <w:t>转账、电汇、保函</w:t>
      </w:r>
      <w:r>
        <w:rPr>
          <w:rFonts w:hint="eastAsia" w:ascii="宋体" w:hAnsi="宋体" w:cs="Arial"/>
          <w:szCs w:val="21"/>
        </w:rPr>
        <w:t>形式交纳，通过</w:t>
      </w:r>
      <w:r>
        <w:rPr>
          <w:rFonts w:hint="eastAsia" w:ascii="宋体" w:hAnsi="宋体" w:cs="Arial"/>
          <w:szCs w:val="21"/>
          <w:u w:val="single"/>
        </w:rPr>
        <w:t>转账、电汇</w:t>
      </w:r>
      <w:r>
        <w:rPr>
          <w:rFonts w:hint="eastAsia" w:ascii="宋体" w:hAnsi="宋体" w:cs="Arial"/>
          <w:szCs w:val="21"/>
        </w:rPr>
        <w:t>的方式于</w:t>
      </w:r>
      <w:r>
        <w:rPr>
          <w:rFonts w:hint="eastAsia" w:ascii="宋体" w:hAnsi="宋体" w:cs="Arial"/>
          <w:szCs w:val="21"/>
          <w:u w:val="single"/>
        </w:rPr>
        <w:t>投标截止时间</w:t>
      </w:r>
      <w:r>
        <w:rPr>
          <w:rFonts w:hint="eastAsia" w:ascii="宋体" w:hAnsi="宋体" w:cs="Arial"/>
          <w:szCs w:val="21"/>
        </w:rPr>
        <w:t>前到达</w:t>
      </w:r>
      <w:r>
        <w:rPr>
          <w:rFonts w:hint="eastAsia" w:ascii="宋体" w:hAnsi="宋体" w:cs="Arial"/>
          <w:szCs w:val="21"/>
          <w:u w:val="single"/>
        </w:rPr>
        <w:t>云之龙咨询集团有限公司指定账户【</w:t>
      </w:r>
      <w:r>
        <w:rPr>
          <w:rFonts w:hint="eastAsia" w:ascii="宋体" w:hAnsi="宋体"/>
          <w:szCs w:val="21"/>
        </w:rPr>
        <w:t>账户名称：云之龙咨询集团有限公司、开户银行：交通银行广西壮族自治区分行营业部、银行账号：</w:t>
      </w:r>
      <w:r>
        <w:rPr>
          <w:rFonts w:ascii="宋体" w:hAnsi="宋体"/>
          <w:szCs w:val="21"/>
        </w:rPr>
        <w:t>451060200013001723848</w:t>
      </w:r>
      <w:r>
        <w:rPr>
          <w:rFonts w:hint="eastAsia" w:ascii="宋体" w:hAnsi="宋体"/>
          <w:szCs w:val="21"/>
        </w:rPr>
        <w:t>、开户行行号：</w:t>
      </w:r>
      <w:r>
        <w:rPr>
          <w:rFonts w:ascii="宋体" w:hAnsi="宋体"/>
          <w:szCs w:val="21"/>
        </w:rPr>
        <w:t>301611000017】</w:t>
      </w:r>
      <w:r>
        <w:rPr>
          <w:rFonts w:hint="eastAsia" w:ascii="宋体" w:hAnsi="宋体" w:cs="Arial"/>
          <w:szCs w:val="21"/>
        </w:rPr>
        <w:t>。</w:t>
      </w:r>
      <w:r>
        <w:rPr>
          <w:rFonts w:hint="eastAsia" w:ascii="宋体" w:hAnsi="宋体"/>
        </w:rPr>
        <w:t>采用保函等方式的，在招标文件提交截止时间前，投标人应当提交单独密封的保函原件，否则视为无效投标保证金。</w:t>
      </w:r>
      <w:r>
        <w:rPr>
          <w:rFonts w:hint="eastAsia" w:ascii="宋体" w:hAnsi="宋体" w:cs="Arial"/>
          <w:szCs w:val="21"/>
        </w:rPr>
        <w:t>本项目不接受从个人账户转出的投标保证金。</w:t>
      </w:r>
    </w:p>
    <w:p w14:paraId="5D3B84D3">
      <w:pPr>
        <w:snapToGrid w:val="0"/>
        <w:spacing w:line="380" w:lineRule="exact"/>
        <w:ind w:firstLine="422" w:firstLineChars="200"/>
        <w:jc w:val="left"/>
        <w:rPr>
          <w:rFonts w:ascii="宋体" w:hAnsi="宋体" w:cs="Arial"/>
          <w:szCs w:val="21"/>
        </w:rPr>
      </w:pPr>
      <w:r>
        <w:rPr>
          <w:rFonts w:hint="eastAsia" w:ascii="宋体" w:hAnsi="宋体" w:cs="Arial"/>
          <w:b/>
          <w:bCs/>
          <w:szCs w:val="21"/>
        </w:rPr>
        <w:t>六、投标截止时间和地点</w:t>
      </w:r>
      <w:r>
        <w:rPr>
          <w:rFonts w:hint="eastAsia" w:ascii="宋体" w:hAnsi="宋体" w:cs="Arial"/>
          <w:szCs w:val="21"/>
        </w:rPr>
        <w:t>：</w:t>
      </w:r>
    </w:p>
    <w:p w14:paraId="4256C7E1">
      <w:pPr>
        <w:snapToGrid w:val="0"/>
        <w:spacing w:line="380" w:lineRule="exact"/>
        <w:ind w:firstLine="420" w:firstLineChars="200"/>
        <w:jc w:val="left"/>
        <w:rPr>
          <w:rFonts w:ascii="宋体" w:hAnsi="宋体"/>
          <w:szCs w:val="21"/>
        </w:rPr>
      </w:pPr>
      <w:r>
        <w:rPr>
          <w:rFonts w:hint="eastAsia" w:ascii="宋体" w:hAnsi="宋体"/>
          <w:szCs w:val="21"/>
        </w:rPr>
        <w:t>1.投标人应于</w:t>
      </w:r>
      <w:r>
        <w:rPr>
          <w:rFonts w:hint="eastAsia" w:ascii="宋体" w:hAnsi="宋体"/>
          <w:szCs w:val="21"/>
          <w:u w:val="single"/>
        </w:rPr>
        <w:t>2025年11月14日</w:t>
      </w:r>
      <w:r>
        <w:rPr>
          <w:rFonts w:hint="eastAsia" w:ascii="宋体" w:hAnsi="宋体" w:cs="Arial"/>
          <w:szCs w:val="21"/>
          <w:u w:val="single"/>
        </w:rPr>
        <w:t>上午9时</w:t>
      </w:r>
      <w:r>
        <w:rPr>
          <w:rFonts w:ascii="宋体" w:hAnsi="宋体" w:cs="Arial"/>
          <w:szCs w:val="21"/>
          <w:u w:val="single"/>
        </w:rPr>
        <w:t>3</w:t>
      </w:r>
      <w:r>
        <w:rPr>
          <w:rFonts w:hint="eastAsia" w:ascii="宋体" w:hAnsi="宋体" w:cs="Arial"/>
          <w:szCs w:val="21"/>
          <w:u w:val="single"/>
        </w:rPr>
        <w:t>0分</w:t>
      </w:r>
      <w:r>
        <w:rPr>
          <w:rFonts w:hint="eastAsia" w:ascii="宋体" w:hAnsi="宋体"/>
          <w:szCs w:val="21"/>
        </w:rPr>
        <w:t>前将投标文件密封送交到云之龙咨询集团有限公司（</w:t>
      </w:r>
      <w:r>
        <w:rPr>
          <w:rFonts w:hint="eastAsia" w:ascii="宋体" w:hAnsi="宋体"/>
          <w:szCs w:val="21"/>
          <w:u w:val="single"/>
        </w:rPr>
        <w:t>南宁市良庆区云英路15号3号楼云之龙咨询集团大厦4楼,详见4楼进门左边LED屏）</w:t>
      </w:r>
      <w:r>
        <w:rPr>
          <w:rFonts w:hint="eastAsia" w:ascii="宋体" w:hAnsi="宋体"/>
          <w:szCs w:val="21"/>
        </w:rPr>
        <w:t>，逾期送达或未密封将予以拒收（或作无效投标文件处理）。</w:t>
      </w:r>
    </w:p>
    <w:p w14:paraId="2E1EC8C5">
      <w:pPr>
        <w:snapToGrid w:val="0"/>
        <w:spacing w:line="380" w:lineRule="exact"/>
        <w:ind w:firstLine="420" w:firstLineChars="200"/>
        <w:jc w:val="left"/>
        <w:rPr>
          <w:rFonts w:ascii="宋体" w:hAnsi="宋体" w:cs="Arial"/>
          <w:szCs w:val="21"/>
          <w:u w:val="single"/>
        </w:rPr>
      </w:pPr>
      <w:r>
        <w:rPr>
          <w:rFonts w:hint="eastAsia" w:ascii="宋体" w:hAnsi="宋体"/>
          <w:szCs w:val="21"/>
        </w:rPr>
        <w:t>2.投标文件递交时间：</w:t>
      </w:r>
      <w:r>
        <w:rPr>
          <w:rFonts w:hint="eastAsia" w:ascii="宋体" w:hAnsi="宋体"/>
          <w:szCs w:val="21"/>
          <w:u w:val="single"/>
        </w:rPr>
        <w:t>2025年11月14日</w:t>
      </w:r>
      <w:r>
        <w:rPr>
          <w:rFonts w:hint="eastAsia" w:ascii="宋体" w:hAnsi="宋体" w:cs="Arial"/>
          <w:szCs w:val="21"/>
          <w:u w:val="single"/>
        </w:rPr>
        <w:t>上午8时</w:t>
      </w:r>
      <w:r>
        <w:rPr>
          <w:rFonts w:ascii="宋体" w:hAnsi="宋体" w:cs="Arial"/>
          <w:szCs w:val="21"/>
          <w:u w:val="single"/>
        </w:rPr>
        <w:t>30</w:t>
      </w:r>
      <w:r>
        <w:rPr>
          <w:rFonts w:hint="eastAsia" w:ascii="宋体" w:hAnsi="宋体" w:cs="Arial"/>
          <w:szCs w:val="21"/>
          <w:u w:val="single"/>
        </w:rPr>
        <w:t>分—9时</w:t>
      </w:r>
      <w:r>
        <w:rPr>
          <w:rFonts w:ascii="宋体" w:hAnsi="宋体" w:cs="Arial"/>
          <w:szCs w:val="21"/>
          <w:u w:val="single"/>
        </w:rPr>
        <w:t>3</w:t>
      </w:r>
      <w:r>
        <w:rPr>
          <w:rFonts w:hint="eastAsia" w:ascii="宋体" w:hAnsi="宋体" w:cs="Arial"/>
          <w:szCs w:val="21"/>
          <w:u w:val="single"/>
        </w:rPr>
        <w:t>0分</w:t>
      </w:r>
      <w:r>
        <w:rPr>
          <w:rFonts w:hint="eastAsia" w:ascii="宋体" w:hAnsi="宋体" w:cs="宋体"/>
          <w:spacing w:val="6"/>
          <w:kern w:val="48"/>
          <w:szCs w:val="21"/>
          <w:u w:val="single"/>
        </w:rPr>
        <w:t>（北京时间）</w:t>
      </w:r>
      <w:r>
        <w:rPr>
          <w:rFonts w:hint="eastAsia" w:ascii="宋体" w:hAnsi="宋体" w:cs="宋体"/>
          <w:b/>
          <w:spacing w:val="6"/>
          <w:kern w:val="48"/>
          <w:szCs w:val="21"/>
        </w:rPr>
        <w:t>，未在规定时间内送达或者未按照招标文件要求密封的投标文件，将予以拒收。</w:t>
      </w:r>
    </w:p>
    <w:p w14:paraId="3FCABF21">
      <w:pPr>
        <w:snapToGrid w:val="0"/>
        <w:spacing w:line="380" w:lineRule="exact"/>
        <w:ind w:firstLine="422" w:firstLineChars="200"/>
        <w:rPr>
          <w:rFonts w:ascii="宋体" w:hAnsi="宋体" w:cs="Arial"/>
          <w:szCs w:val="21"/>
        </w:rPr>
      </w:pPr>
      <w:r>
        <w:rPr>
          <w:rFonts w:hint="eastAsia" w:ascii="宋体" w:hAnsi="宋体" w:cs="Arial"/>
          <w:b/>
          <w:bCs/>
          <w:szCs w:val="21"/>
        </w:rPr>
        <w:t>七、开标时间及地点</w:t>
      </w:r>
      <w:r>
        <w:rPr>
          <w:rFonts w:hint="eastAsia" w:ascii="宋体" w:hAnsi="宋体" w:cs="Arial"/>
          <w:szCs w:val="21"/>
        </w:rPr>
        <w:t>：</w:t>
      </w:r>
    </w:p>
    <w:p w14:paraId="29592025">
      <w:pPr>
        <w:spacing w:line="380" w:lineRule="exact"/>
        <w:ind w:firstLine="420" w:firstLineChars="200"/>
        <w:rPr>
          <w:rFonts w:ascii="宋体" w:hAnsi="宋体" w:cs="Arial"/>
          <w:szCs w:val="21"/>
        </w:rPr>
      </w:pPr>
      <w:r>
        <w:rPr>
          <w:rFonts w:hint="eastAsia" w:ascii="宋体" w:hAnsi="宋体" w:cs="Arial"/>
          <w:szCs w:val="21"/>
        </w:rPr>
        <w:t>本次招标将于</w:t>
      </w:r>
      <w:r>
        <w:rPr>
          <w:rFonts w:hint="eastAsia" w:ascii="宋体" w:hAnsi="宋体"/>
          <w:szCs w:val="21"/>
          <w:u w:val="single"/>
        </w:rPr>
        <w:t>2025年11月14日</w:t>
      </w:r>
      <w:r>
        <w:rPr>
          <w:rFonts w:hint="eastAsia" w:ascii="宋体" w:hAnsi="宋体" w:cs="Arial"/>
          <w:szCs w:val="21"/>
          <w:u w:val="single"/>
        </w:rPr>
        <w:t>上午9时</w:t>
      </w:r>
      <w:r>
        <w:rPr>
          <w:rFonts w:ascii="宋体" w:hAnsi="宋体" w:cs="Arial"/>
          <w:szCs w:val="21"/>
          <w:u w:val="single"/>
        </w:rPr>
        <w:t>3</w:t>
      </w:r>
      <w:r>
        <w:rPr>
          <w:rFonts w:hint="eastAsia" w:ascii="宋体" w:hAnsi="宋体" w:cs="Arial"/>
          <w:szCs w:val="21"/>
          <w:u w:val="single"/>
        </w:rPr>
        <w:t>0分</w:t>
      </w:r>
      <w:r>
        <w:rPr>
          <w:rFonts w:hint="eastAsia" w:ascii="宋体" w:hAnsi="宋体" w:cs="Arial"/>
          <w:szCs w:val="21"/>
        </w:rPr>
        <w:t>在</w:t>
      </w:r>
      <w:r>
        <w:rPr>
          <w:rFonts w:hint="eastAsia" w:ascii="宋体" w:hAnsi="宋体"/>
          <w:szCs w:val="21"/>
          <w:u w:val="single"/>
        </w:rPr>
        <w:t>云之龙咨询集团有限公司开标厅（南宁市良庆区云英路15号3号楼云之龙咨询集团大厦4楼）</w:t>
      </w:r>
      <w:r>
        <w:rPr>
          <w:rFonts w:hint="eastAsia" w:ascii="宋体" w:hAnsi="宋体"/>
          <w:szCs w:val="21"/>
        </w:rPr>
        <w:t>开</w:t>
      </w:r>
      <w:r>
        <w:rPr>
          <w:rFonts w:hint="eastAsia" w:ascii="宋体" w:hAnsi="宋体" w:cs="Arial"/>
          <w:szCs w:val="21"/>
        </w:rPr>
        <w:t>标。</w:t>
      </w:r>
    </w:p>
    <w:p w14:paraId="32AB2326">
      <w:pPr>
        <w:wordWrap w:val="0"/>
        <w:snapToGrid w:val="0"/>
        <w:spacing w:line="380" w:lineRule="exact"/>
        <w:ind w:firstLine="422" w:firstLineChars="200"/>
        <w:rPr>
          <w:rFonts w:ascii="宋体" w:hAnsi="宋体" w:cs="Arial"/>
          <w:szCs w:val="21"/>
        </w:rPr>
      </w:pPr>
      <w:r>
        <w:rPr>
          <w:rFonts w:hint="eastAsia" w:ascii="宋体" w:hAnsi="宋体" w:cs="Arial"/>
          <w:b/>
          <w:szCs w:val="21"/>
        </w:rPr>
        <w:t>八、网上查询地址：</w:t>
      </w:r>
      <w:r>
        <w:rPr>
          <w:rFonts w:hint="eastAsia" w:ascii="宋体" w:hAnsi="宋体" w:cs="Arial"/>
          <w:bCs/>
          <w:szCs w:val="21"/>
        </w:rPr>
        <w:t>http://www.cebpubservice.com/（中国招标投标公共服务平台）</w:t>
      </w:r>
      <w:r>
        <w:rPr>
          <w:rFonts w:hint="eastAsia" w:ascii="宋体" w:hAnsi="宋体" w:cs="Arial"/>
          <w:szCs w:val="21"/>
        </w:rPr>
        <w:t>、http://www.gxyunlong.cn/（云之龙咨询集团有限公司网）、</w:t>
      </w:r>
      <w:r>
        <w:rPr>
          <w:rFonts w:hint="eastAsia" w:ascii="宋体" w:hAnsi="宋体" w:cs="Arial"/>
          <w:kern w:val="1"/>
          <w:szCs w:val="21"/>
        </w:rPr>
        <w:t>https://bocom-gys.bankcomm.com（交通银行智采平台投标人门户网）</w:t>
      </w:r>
    </w:p>
    <w:p w14:paraId="4F46A485">
      <w:pPr>
        <w:tabs>
          <w:tab w:val="left" w:pos="720"/>
        </w:tabs>
        <w:spacing w:line="380" w:lineRule="exact"/>
        <w:ind w:firstLine="420" w:firstLineChars="200"/>
        <w:rPr>
          <w:rFonts w:ascii="宋体" w:hAnsi="宋体" w:cs="Arial"/>
          <w:szCs w:val="21"/>
        </w:rPr>
      </w:pPr>
      <w:r>
        <w:rPr>
          <w:rFonts w:hint="eastAsia" w:ascii="宋体" w:hAnsi="宋体" w:cs="Arial"/>
          <w:kern w:val="1"/>
          <w:szCs w:val="21"/>
        </w:rPr>
        <w:t>请投标人在投标文件递交截止时间2个工作日前，在交通银行智采平台投标人门户网站（https://bocom-gys.bankcomm.com）完成注册，详情请登录门户网站查阅《投标人门户操作手册》；完成注册后，及时向招标代理机构反馈注册结果（智采平台网站中通过注册审批的截图）反馈邮箱：</w:t>
      </w:r>
      <w:r>
        <w:rPr>
          <w:rFonts w:ascii="宋体" w:hAnsi="宋体" w:cs="Arial"/>
          <w:kern w:val="1"/>
          <w:szCs w:val="21"/>
          <w:u w:val="single"/>
        </w:rPr>
        <w:t>yzlnnfgs@vip.163.com</w:t>
      </w:r>
      <w:r>
        <w:rPr>
          <w:rFonts w:hint="eastAsia" w:ascii="宋体" w:hAnsi="宋体" w:cs="Arial"/>
          <w:kern w:val="1"/>
          <w:szCs w:val="21"/>
        </w:rPr>
        <w:t xml:space="preserve"> ,用户注册及平台使用咨询：程老师，电话：021-50102953 (行政班时间）。</w:t>
      </w:r>
    </w:p>
    <w:p w14:paraId="1BC93385">
      <w:pPr>
        <w:snapToGrid w:val="0"/>
        <w:spacing w:line="380" w:lineRule="exact"/>
        <w:ind w:firstLine="422"/>
        <w:rPr>
          <w:rFonts w:ascii="宋体" w:hAnsi="宋体" w:cs="Arial"/>
          <w:b/>
          <w:szCs w:val="21"/>
        </w:rPr>
      </w:pPr>
      <w:r>
        <w:rPr>
          <w:rFonts w:hint="eastAsia" w:ascii="宋体" w:hAnsi="宋体" w:cs="Arial"/>
          <w:b/>
          <w:szCs w:val="21"/>
        </w:rPr>
        <w:t>九、业务咨询：</w:t>
      </w:r>
    </w:p>
    <w:p w14:paraId="2B39DC3C">
      <w:pPr>
        <w:snapToGrid w:val="0"/>
        <w:spacing w:line="380" w:lineRule="exact"/>
        <w:ind w:firstLine="422"/>
        <w:rPr>
          <w:rFonts w:ascii="宋体" w:hAnsi="宋体" w:cs="Arial"/>
          <w:szCs w:val="21"/>
        </w:rPr>
      </w:pPr>
      <w:r>
        <w:rPr>
          <w:rFonts w:hint="eastAsia" w:ascii="宋体" w:hAnsi="宋体" w:cs="Arial"/>
          <w:szCs w:val="21"/>
        </w:rPr>
        <w:t>1.招标人：交通银行股份有限公司广西壮族自治区分行</w:t>
      </w:r>
    </w:p>
    <w:p w14:paraId="0656FB6E">
      <w:pPr>
        <w:snapToGrid w:val="0"/>
        <w:spacing w:line="380" w:lineRule="exact"/>
        <w:ind w:firstLine="422"/>
        <w:rPr>
          <w:rFonts w:ascii="宋体" w:hAnsi="宋体" w:cs="Arial"/>
          <w:szCs w:val="21"/>
        </w:rPr>
      </w:pPr>
      <w:r>
        <w:rPr>
          <w:rFonts w:hint="eastAsia" w:ascii="宋体" w:hAnsi="宋体" w:cs="Arial"/>
          <w:szCs w:val="21"/>
        </w:rPr>
        <w:t>地址：广西南宁市云英路15号</w:t>
      </w:r>
    </w:p>
    <w:p w14:paraId="76188B68">
      <w:pPr>
        <w:snapToGrid w:val="0"/>
        <w:spacing w:line="380" w:lineRule="exact"/>
        <w:ind w:firstLine="422"/>
        <w:rPr>
          <w:rFonts w:ascii="宋体" w:hAnsi="宋体" w:cs="Arial"/>
          <w:szCs w:val="21"/>
        </w:rPr>
      </w:pPr>
      <w:r>
        <w:rPr>
          <w:rFonts w:hint="eastAsia" w:ascii="宋体" w:hAnsi="宋体" w:cs="Arial"/>
          <w:szCs w:val="21"/>
        </w:rPr>
        <w:t>联系人：梁老师</w:t>
      </w:r>
    </w:p>
    <w:p w14:paraId="548CC3FE">
      <w:pPr>
        <w:snapToGrid w:val="0"/>
        <w:spacing w:line="380" w:lineRule="exact"/>
        <w:ind w:firstLine="422"/>
        <w:rPr>
          <w:rFonts w:ascii="宋体" w:hAnsi="宋体" w:cs="Arial"/>
          <w:szCs w:val="21"/>
        </w:rPr>
      </w:pPr>
      <w:r>
        <w:rPr>
          <w:rFonts w:hint="eastAsia" w:ascii="宋体" w:hAnsi="宋体" w:cs="Arial"/>
          <w:szCs w:val="21"/>
        </w:rPr>
        <w:t>联系电话：0771-2288011</w:t>
      </w:r>
    </w:p>
    <w:p w14:paraId="10082724">
      <w:pPr>
        <w:snapToGrid w:val="0"/>
        <w:spacing w:line="380" w:lineRule="exact"/>
        <w:ind w:firstLine="422"/>
        <w:rPr>
          <w:rFonts w:ascii="宋体" w:hAnsi="宋体" w:cs="Arial"/>
          <w:szCs w:val="21"/>
        </w:rPr>
      </w:pPr>
      <w:r>
        <w:rPr>
          <w:rFonts w:hint="eastAsia" w:ascii="宋体" w:hAnsi="宋体" w:cs="Arial"/>
          <w:szCs w:val="21"/>
        </w:rPr>
        <w:t>2.监督部门：交通银行股份有限公司广西壮族自治区分行财务管理部</w:t>
      </w:r>
    </w:p>
    <w:p w14:paraId="1A6DD638">
      <w:pPr>
        <w:snapToGrid w:val="0"/>
        <w:spacing w:line="380" w:lineRule="exact"/>
        <w:ind w:firstLine="422"/>
        <w:rPr>
          <w:rFonts w:ascii="宋体" w:hAnsi="宋体" w:cs="Arial"/>
          <w:szCs w:val="21"/>
        </w:rPr>
      </w:pPr>
      <w:r>
        <w:rPr>
          <w:rFonts w:hint="eastAsia" w:ascii="宋体" w:hAnsi="宋体" w:cs="Arial"/>
          <w:szCs w:val="21"/>
        </w:rPr>
        <w:t>联系人及电话：邓经理</w:t>
      </w:r>
      <w:r>
        <w:rPr>
          <w:rFonts w:ascii="宋体" w:hAnsi="宋体" w:cs="Arial"/>
          <w:szCs w:val="21"/>
        </w:rPr>
        <w:t>0771-2288012</w:t>
      </w:r>
    </w:p>
    <w:p w14:paraId="7168CBA0">
      <w:pPr>
        <w:snapToGrid w:val="0"/>
        <w:spacing w:line="380" w:lineRule="exact"/>
        <w:ind w:firstLine="422"/>
        <w:rPr>
          <w:rFonts w:ascii="宋体" w:hAnsi="宋体" w:cs="Arial"/>
          <w:szCs w:val="21"/>
        </w:rPr>
      </w:pPr>
      <w:r>
        <w:rPr>
          <w:rFonts w:ascii="宋体" w:hAnsi="宋体" w:cs="Arial"/>
          <w:szCs w:val="21"/>
        </w:rPr>
        <w:t>3</w:t>
      </w:r>
      <w:r>
        <w:rPr>
          <w:rFonts w:hint="eastAsia" w:ascii="宋体" w:hAnsi="宋体" w:cs="Arial"/>
          <w:szCs w:val="21"/>
        </w:rPr>
        <w:t>.招标代理机构：云之龙咨询集团有限公司</w:t>
      </w:r>
    </w:p>
    <w:p w14:paraId="5FCC8088">
      <w:pPr>
        <w:snapToGrid w:val="0"/>
        <w:spacing w:line="380" w:lineRule="exact"/>
        <w:ind w:firstLine="420" w:firstLineChars="200"/>
        <w:rPr>
          <w:rFonts w:ascii="宋体" w:hAnsi="宋体" w:cs="Arial"/>
          <w:szCs w:val="21"/>
        </w:rPr>
      </w:pPr>
      <w:r>
        <w:rPr>
          <w:rFonts w:hint="eastAsia" w:ascii="宋体" w:hAnsi="宋体" w:cs="Arial"/>
          <w:szCs w:val="21"/>
        </w:rPr>
        <w:t>地址：南宁市良庆区云英路15号3号楼云之龙咨询集团大厦6楼</w:t>
      </w:r>
    </w:p>
    <w:p w14:paraId="30563BE4">
      <w:pPr>
        <w:snapToGrid w:val="0"/>
        <w:spacing w:line="380" w:lineRule="exact"/>
        <w:ind w:firstLine="420" w:firstLineChars="200"/>
        <w:rPr>
          <w:rFonts w:ascii="宋体" w:hAnsi="宋体" w:cs="Arial"/>
          <w:szCs w:val="21"/>
        </w:rPr>
      </w:pPr>
      <w:r>
        <w:rPr>
          <w:rFonts w:hint="eastAsia" w:ascii="宋体" w:hAnsi="宋体" w:cs="Arial"/>
          <w:szCs w:val="21"/>
        </w:rPr>
        <w:t>项目联系人：黄周宁、杨丽敏</w:t>
      </w:r>
    </w:p>
    <w:p w14:paraId="5CDC9916">
      <w:pPr>
        <w:snapToGrid w:val="0"/>
        <w:spacing w:line="380" w:lineRule="exact"/>
        <w:ind w:firstLine="420" w:firstLineChars="200"/>
        <w:rPr>
          <w:rFonts w:ascii="宋体" w:hAnsi="宋体" w:cs="Arial"/>
          <w:szCs w:val="21"/>
        </w:rPr>
      </w:pPr>
      <w:r>
        <w:rPr>
          <w:rFonts w:hint="eastAsia" w:ascii="宋体" w:hAnsi="宋体" w:cs="Arial"/>
          <w:szCs w:val="21"/>
        </w:rPr>
        <w:t xml:space="preserve">联系电话：0771-2618199、2618118、2611898  </w:t>
      </w:r>
    </w:p>
    <w:p w14:paraId="7A14A4AD">
      <w:pPr>
        <w:snapToGrid w:val="0"/>
        <w:spacing w:line="380" w:lineRule="exact"/>
        <w:ind w:firstLine="422" w:firstLineChars="200"/>
        <w:rPr>
          <w:rFonts w:ascii="宋体" w:hAnsi="宋体" w:cs="Arial"/>
          <w:b/>
          <w:szCs w:val="21"/>
        </w:rPr>
      </w:pPr>
      <w:r>
        <w:rPr>
          <w:rFonts w:hint="eastAsia" w:ascii="宋体" w:hAnsi="宋体" w:cs="Arial"/>
          <w:b/>
          <w:szCs w:val="21"/>
        </w:rPr>
        <w:t>十、开户银行和账户：</w:t>
      </w:r>
    </w:p>
    <w:p w14:paraId="047FEECF">
      <w:pPr>
        <w:snapToGrid w:val="0"/>
        <w:spacing w:line="380" w:lineRule="exact"/>
        <w:ind w:firstLine="420" w:firstLineChars="200"/>
        <w:rPr>
          <w:rFonts w:ascii="宋体" w:hAnsi="宋体"/>
          <w:szCs w:val="21"/>
        </w:rPr>
      </w:pPr>
      <w:r>
        <w:rPr>
          <w:rFonts w:hint="eastAsia" w:ascii="宋体" w:hAnsi="宋体"/>
          <w:szCs w:val="21"/>
        </w:rPr>
        <w:t>账户名称：云之龙咨询集团有限公司</w:t>
      </w:r>
    </w:p>
    <w:p w14:paraId="05ACC356">
      <w:pPr>
        <w:snapToGrid w:val="0"/>
        <w:spacing w:line="380" w:lineRule="exact"/>
        <w:ind w:firstLine="420" w:firstLineChars="200"/>
        <w:rPr>
          <w:rFonts w:ascii="宋体" w:hAnsi="宋体"/>
          <w:szCs w:val="21"/>
        </w:rPr>
      </w:pPr>
      <w:r>
        <w:rPr>
          <w:rFonts w:hint="eastAsia" w:ascii="宋体" w:hAnsi="宋体"/>
          <w:szCs w:val="21"/>
        </w:rPr>
        <w:t>开户银行：交通银行广西壮族自治区分行营业部</w:t>
      </w:r>
    </w:p>
    <w:p w14:paraId="6AF8E3C4">
      <w:pPr>
        <w:snapToGrid w:val="0"/>
        <w:spacing w:line="380" w:lineRule="exact"/>
        <w:ind w:firstLine="420" w:firstLineChars="200"/>
        <w:rPr>
          <w:rFonts w:ascii="宋体" w:hAnsi="宋体"/>
          <w:szCs w:val="21"/>
        </w:rPr>
      </w:pPr>
      <w:r>
        <w:rPr>
          <w:rFonts w:hint="eastAsia" w:ascii="宋体" w:hAnsi="宋体"/>
          <w:szCs w:val="21"/>
        </w:rPr>
        <w:t>银行账号：</w:t>
      </w:r>
      <w:r>
        <w:rPr>
          <w:rFonts w:ascii="宋体" w:hAnsi="宋体"/>
          <w:szCs w:val="21"/>
        </w:rPr>
        <w:t>451060200013001723848</w:t>
      </w:r>
    </w:p>
    <w:p w14:paraId="1740A966">
      <w:pPr>
        <w:snapToGrid w:val="0"/>
        <w:spacing w:line="380" w:lineRule="exact"/>
        <w:ind w:firstLine="420" w:firstLineChars="200"/>
        <w:rPr>
          <w:rFonts w:ascii="宋体" w:hAnsi="宋体"/>
          <w:szCs w:val="21"/>
        </w:rPr>
      </w:pPr>
      <w:r>
        <w:rPr>
          <w:rFonts w:hint="eastAsia" w:ascii="宋体" w:hAnsi="宋体"/>
          <w:szCs w:val="21"/>
        </w:rPr>
        <w:t>开户行行号：</w:t>
      </w:r>
      <w:r>
        <w:rPr>
          <w:rFonts w:ascii="宋体" w:hAnsi="宋体"/>
          <w:szCs w:val="21"/>
        </w:rPr>
        <w:t>301611000017</w:t>
      </w:r>
    </w:p>
    <w:p w14:paraId="77DBFD30">
      <w:pPr>
        <w:snapToGrid w:val="0"/>
        <w:spacing w:line="380" w:lineRule="exact"/>
        <w:ind w:firstLine="422"/>
        <w:jc w:val="right"/>
        <w:rPr>
          <w:rFonts w:ascii="宋体" w:hAnsi="宋体"/>
          <w:szCs w:val="21"/>
        </w:rPr>
      </w:pPr>
    </w:p>
    <w:p w14:paraId="0F6836A4">
      <w:pPr>
        <w:spacing w:line="440" w:lineRule="exact"/>
        <w:ind w:firstLine="420" w:firstLineChars="200"/>
        <w:jc w:val="right"/>
        <w:rPr>
          <w:rFonts w:ascii="宋体" w:hAnsi="宋体" w:cs="Arial"/>
          <w:szCs w:val="21"/>
        </w:rPr>
      </w:pPr>
      <w:r>
        <w:rPr>
          <w:rFonts w:hint="eastAsia" w:ascii="宋体" w:hAnsi="宋体" w:cs="Arial"/>
          <w:szCs w:val="21"/>
        </w:rPr>
        <w:t>20</w:t>
      </w:r>
      <w:r>
        <w:rPr>
          <w:rFonts w:ascii="宋体" w:hAnsi="宋体" w:cs="Arial"/>
          <w:szCs w:val="21"/>
        </w:rPr>
        <w:t>2</w:t>
      </w:r>
      <w:r>
        <w:rPr>
          <w:rFonts w:hint="eastAsia" w:ascii="宋体" w:hAnsi="宋体" w:cs="Arial"/>
          <w:szCs w:val="21"/>
        </w:rPr>
        <w:t>5年10月24日</w:t>
      </w:r>
      <w:bookmarkEnd w:id="0"/>
    </w:p>
    <w:p w14:paraId="6AA95BA1">
      <w:pPr>
        <w:spacing w:line="440" w:lineRule="exact"/>
        <w:ind w:firstLine="562" w:firstLineChars="200"/>
        <w:rPr>
          <w:rFonts w:ascii="宋体" w:hAnsi="宋体"/>
          <w:b/>
          <w:spacing w:val="20"/>
          <w:sz w:val="24"/>
          <w:u w:val="single"/>
        </w:rPr>
      </w:pPr>
    </w:p>
    <w:p w14:paraId="59F9CB5E">
      <w:pPr>
        <w:spacing w:line="440" w:lineRule="exact"/>
        <w:ind w:firstLine="562" w:firstLineChars="200"/>
        <w:rPr>
          <w:rFonts w:ascii="宋体" w:hAnsi="宋体"/>
          <w:b/>
          <w:spacing w:val="20"/>
          <w:sz w:val="24"/>
          <w:u w:val="single"/>
        </w:rPr>
      </w:pPr>
      <w:r>
        <w:rPr>
          <w:rFonts w:hint="eastAsia" w:ascii="宋体" w:hAnsi="宋体"/>
          <w:b/>
          <w:spacing w:val="20"/>
          <w:sz w:val="24"/>
          <w:u w:val="single"/>
        </w:rPr>
        <w:t>交通银行整合集团综合化优势，为企业及个人客户提供优质专业的薪酬代发、智慧记账、数字人民币应用服务。鼓励供应商在交通银行开办代发工资业务、智慧记账业务、开通交通银行数字人民币钱包。</w:t>
      </w:r>
    </w:p>
    <w:p w14:paraId="63803F64">
      <w:pPr>
        <w:spacing w:line="440" w:lineRule="exact"/>
        <w:ind w:firstLine="562" w:firstLineChars="200"/>
        <w:rPr>
          <w:rFonts w:ascii="宋体" w:hAnsi="宋体"/>
          <w:b/>
          <w:spacing w:val="20"/>
          <w:sz w:val="24"/>
          <w:u w:val="single"/>
        </w:rPr>
      </w:pPr>
      <w:r>
        <w:rPr>
          <w:rFonts w:hint="eastAsia" w:ascii="宋体" w:hAnsi="宋体"/>
          <w:b/>
          <w:spacing w:val="20"/>
          <w:sz w:val="24"/>
          <w:u w:val="single"/>
        </w:rPr>
        <w:t>交通银行可根据供应商个性化、差异化需求，通过网银、银企直联、柜面、交薪通平台等多元化渠道提供发薪服务，通过智慧记账实现应收账款与回款资金智能核销并可为销售人员提供回款资金入账短信通知服务。收款账户为交通银行对公账户的可开通数字人民币对公钱包，收款账户为个人账户的可开通数字人民币个人一类钱包。</w:t>
      </w:r>
    </w:p>
    <w:p w14:paraId="0BB47575">
      <w:pPr>
        <w:pStyle w:val="4"/>
        <w:spacing w:line="440" w:lineRule="exact"/>
        <w:ind w:firstLine="562" w:firstLineChars="200"/>
      </w:pPr>
      <w:r>
        <w:rPr>
          <w:rFonts w:hint="eastAsia" w:ascii="宋体" w:hAnsi="宋体"/>
          <w:b/>
          <w:spacing w:val="20"/>
          <w:u w:val="single"/>
        </w:rPr>
        <w:t>上述业务可咨询95559，供应商在交通银行开通账户或数字人民币钱包后，可自行在交通银行供应商门户网站中添加结算账户信息。</w:t>
      </w:r>
    </w:p>
    <w:bookmarkEnd w:id="1"/>
    <w:p w14:paraId="12B5897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_GBK">
    <w:altName w:val="Malgun Gothic Semilight"/>
    <w:panose1 w:val="00000000000000000000"/>
    <w:charset w:val="86"/>
    <w:family w:val="script"/>
    <w:pitch w:val="default"/>
    <w:sig w:usb0="00000000" w:usb1="00000000" w:usb2="00000000" w:usb3="00000000" w:csb0="003C0041" w:csb1="A008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AD0A7A"/>
    <w:multiLevelType w:val="multilevel"/>
    <w:tmpl w:val="38AD0A7A"/>
    <w:lvl w:ilvl="0" w:tentative="0">
      <w:start w:val="1"/>
      <w:numFmt w:val="japaneseCounting"/>
      <w:lvlText w:val="%1、"/>
      <w:lvlJc w:val="left"/>
      <w:pPr>
        <w:ind w:left="872" w:hanging="450"/>
      </w:pPr>
      <w:rPr>
        <w:rFonts w:hint="default"/>
        <w:b/>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D76404"/>
    <w:rsid w:val="00A34EAC"/>
    <w:rsid w:val="00B67162"/>
    <w:rsid w:val="04D76404"/>
    <w:rsid w:val="38466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120" w:after="120" w:line="500" w:lineRule="exact"/>
      <w:jc w:val="center"/>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Body Text"/>
    <w:basedOn w:val="1"/>
    <w:next w:val="5"/>
    <w:qFormat/>
    <w:uiPriority w:val="99"/>
    <w:pPr>
      <w:spacing w:line="380" w:lineRule="exact"/>
    </w:pPr>
    <w:rPr>
      <w:kern w:val="0"/>
      <w:sz w:val="24"/>
    </w:rPr>
  </w:style>
  <w:style w:type="paragraph" w:customStyle="1" w:styleId="5">
    <w:name w:val="标准"/>
    <w:next w:val="1"/>
    <w:qFormat/>
    <w:uiPriority w:val="0"/>
    <w:pPr>
      <w:widowControl w:val="0"/>
      <w:spacing w:before="120" w:after="120" w:line="312" w:lineRule="atLeast"/>
      <w:ind w:firstLine="3584"/>
      <w:jc w:val="both"/>
    </w:pPr>
    <w:rPr>
      <w:rFonts w:ascii="Times New Roman" w:hAnsi="Times New Roman" w:eastAsia="宋体" w:cs="Times New Roman"/>
      <w:lang w:val="en-US" w:eastAsia="zh-CN" w:bidi="ar-SA"/>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3297</Words>
  <Characters>3758</Characters>
  <Lines>27</Lines>
  <Paragraphs>7</Paragraphs>
  <TotalTime>0</TotalTime>
  <ScaleCrop>false</ScaleCrop>
  <LinksUpToDate>false</LinksUpToDate>
  <CharactersWithSpaces>3762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2025-10-24T07:39:00Z</dcterms:created>
  <dc:creator>WPS_1654829571</dc:creator>
  <cp:lastModifiedBy>hzn</cp:lastModifiedBy>
  <dcterms:modified xsi:type="dcterms:W3CDTF">2025-10-24T09:50:59Z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3E1D4A0F71C145D7A83B34CEEAAE5054_13</vt:lpwstr>
  </property>
  <property fmtid="{D5CDD505-2E9C-101B-9397-08002B2CF9AE}" pid="4" name="KSOTemplateDocerSaveRecord">
    <vt:lpwstr>eyJoZGlkIjoiNjAxYmM2Y2FkMWFmNDhlZWM0YWY2YjY2MWIwY2VkZjUiLCJ1c2VySWQiOiIxMzgxOTYzMDg5In0=</vt:lpwstr>
  </property>
</Properties>
</file>