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outlineLvl w:val="0"/>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36"/>
          <w:szCs w:val="36"/>
          <w:highlight w:val="yellow"/>
        </w:rPr>
        <w:t>新乡卫辉支行安保服务采购需求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320" w:firstLineChars="1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kern w:val="0"/>
          <w:sz w:val="32"/>
        </w:rPr>
        <w:t>。</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（三）财务状况良好，提供近三年（</w:t>
      </w:r>
      <w:r>
        <w:rPr>
          <w:rFonts w:hint="eastAsia" w:ascii="彩虹粗仿宋" w:eastAsia="彩虹粗仿宋"/>
          <w:sz w:val="32"/>
          <w:lang w:eastAsia="zh-CN"/>
        </w:rPr>
        <w:t>2020年-2022年</w:t>
      </w:r>
      <w:r>
        <w:rPr>
          <w:rFonts w:hint="eastAsia" w:ascii="彩虹粗仿宋" w:eastAsia="彩虹粗仿宋"/>
          <w:sz w:val="32"/>
        </w:rPr>
        <w:t>）的经审计的财务报告或财务报表（新成立企业从成立日计算）.</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（五）2021年1月1日以来具有银行保安同类业绩。</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utoSpaceDE w:val="0"/>
        <w:autoSpaceDN w:val="0"/>
        <w:adjustRightInd w:val="0"/>
        <w:snapToGrid w:val="0"/>
        <w:spacing w:line="560" w:lineRule="exact"/>
        <w:ind w:firstLine="480" w:firstLineChars="150"/>
        <w:outlineLvl w:val="1"/>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（一）安保值守服务</w:t>
      </w:r>
    </w:p>
    <w:p>
      <w:pPr>
        <w:autoSpaceDE w:val="0"/>
        <w:autoSpaceDN w:val="0"/>
        <w:adjustRightInd w:val="0"/>
        <w:snapToGrid w:val="0"/>
        <w:spacing w:line="560" w:lineRule="exact"/>
        <w:ind w:firstLine="640" w:firstLineChars="200"/>
        <w:rPr>
          <w:rFonts w:ascii="Times New Roman" w:hAnsi="Calibri" w:eastAsia="彩虹粗仿宋" w:cs="宋体"/>
          <w:color w:val="000000"/>
          <w:kern w:val="0"/>
          <w:sz w:val="32"/>
          <w:szCs w:val="32"/>
        </w:rPr>
      </w:pPr>
      <w:r>
        <w:rPr>
          <w:rFonts w:hint="eastAsia" w:ascii="Times New Roman" w:hAnsi="Calibri" w:eastAsia="彩虹粗仿宋" w:cs="宋体"/>
          <w:color w:val="000000"/>
          <w:kern w:val="0"/>
          <w:sz w:val="32"/>
          <w:szCs w:val="32"/>
        </w:rPr>
        <w:t>本次安保值守服务内容是卫辉支行本部和学院路支行2个营业网点的安保服务。</w:t>
      </w:r>
    </w:p>
    <w:p>
      <w:pPr>
        <w:autoSpaceDE w:val="0"/>
        <w:autoSpaceDN w:val="0"/>
        <w:adjustRightInd w:val="0"/>
        <w:snapToGrid w:val="0"/>
        <w:spacing w:line="560" w:lineRule="exact"/>
        <w:ind w:firstLine="480" w:firstLineChars="150"/>
        <w:outlineLvl w:val="1"/>
        <w:rPr>
          <w:rFonts w:ascii="彩虹楷体" w:hAnsi="黑体" w:eastAsia="彩虹楷体" w:cs="Courier New"/>
          <w:sz w:val="32"/>
          <w:szCs w:val="32"/>
        </w:rPr>
      </w:pPr>
      <w:r>
        <w:rPr>
          <w:rFonts w:hint="eastAsia" w:ascii="彩虹粗仿宋" w:hAnsi="Times New Roman" w:eastAsia="彩虹粗仿宋" w:cs="Times New Roman"/>
          <w:sz w:val="32"/>
          <w:szCs w:val="32"/>
        </w:rPr>
        <w:t>（二）</w:t>
      </w:r>
      <w:r>
        <w:rPr>
          <w:rFonts w:hint="eastAsia" w:ascii="彩虹楷体" w:hAnsi="黑体" w:eastAsia="彩虹楷体" w:cs="Courier New"/>
          <w:sz w:val="32"/>
          <w:szCs w:val="32"/>
        </w:rPr>
        <w:t>自助设备巡查服务</w:t>
      </w:r>
    </w:p>
    <w:p>
      <w:pPr>
        <w:autoSpaceDE w:val="0"/>
        <w:autoSpaceDN w:val="0"/>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自助设备巡查服务内容是对卫辉支行2个附行式自助银行每天从晚8:00至次日6:0</w:t>
      </w:r>
      <w:r>
        <w:rPr>
          <w:rFonts w:ascii="彩虹粗仿宋" w:hAnsi="黑体" w:eastAsia="彩虹粗仿宋" w:cs="Times New Roman"/>
          <w:sz w:val="32"/>
          <w:szCs w:val="32"/>
        </w:rPr>
        <w:t>0</w:t>
      </w:r>
      <w:r>
        <w:rPr>
          <w:rFonts w:hint="eastAsia" w:ascii="彩虹粗仿宋" w:hAnsi="黑体" w:eastAsia="彩虹粗仿宋" w:cs="Times New Roman"/>
          <w:sz w:val="32"/>
          <w:szCs w:val="32"/>
        </w:rPr>
        <w:t>进行巡查服务。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（一）人员政治上可靠，遵守国家法律、法规，无不良行为记录、身体健康、统一着装。</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（二）具备一定的专业技能，能正确处理服务中出现的突发情况并进行有效处置。</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（三）外包人员按国家规定持证上岗，认真执行国家有关规定及要求。如由于所派人员违反规定，造成财产损失和人员伤亡的，外包服务公司负全部责任。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（四）具有满足服务需要的器械和车辆等。</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（一）计划安排要求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项目推进根据前期工作安排，按照我行采购流程进行，积极与采购部门对接，安排专人配合采购部门及时解决采购事项所涉及到的内容、费用、问题等，圆满完成本次采购项目。</w:t>
      </w:r>
    </w:p>
    <w:p>
      <w:pPr>
        <w:adjustRightInd w:val="0"/>
        <w:snapToGrid w:val="0"/>
        <w:spacing w:line="560" w:lineRule="exact"/>
        <w:ind w:firstLine="480" w:firstLineChars="150"/>
        <w:outlineLvl w:val="1"/>
        <w:rPr>
          <w:rFonts w:ascii="彩虹粗仿宋" w:hAnsi="宋体" w:eastAsia="彩虹粗仿宋" w:cs="Courier New"/>
          <w:color w:val="000000"/>
          <w:sz w:val="32"/>
          <w:szCs w:val="32"/>
        </w:rPr>
      </w:pPr>
      <w:r>
        <w:rPr>
          <w:rFonts w:hint="eastAsia" w:ascii="彩虹粗仿宋" w:eastAsia="彩虹粗仿宋"/>
          <w:bCs/>
          <w:sz w:val="32"/>
          <w:szCs w:val="32"/>
        </w:rPr>
        <w:t>（二）服务质量标准</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宋体" w:eastAsia="彩虹粗仿宋" w:cs="Courier New"/>
          <w:color w:val="000000"/>
          <w:sz w:val="32"/>
          <w:szCs w:val="32"/>
        </w:rPr>
        <w:t>1、</w:t>
      </w:r>
      <w:r>
        <w:rPr>
          <w:rFonts w:hint="eastAsia" w:ascii="彩虹粗仿宋" w:hAnsi="Times New Roman" w:eastAsia="彩虹粗仿宋" w:cs="Times New Roman"/>
          <w:sz w:val="32"/>
          <w:szCs w:val="32"/>
        </w:rPr>
        <w:t>外包服务公司承诺按照协议约定的服务内容向我行提供合格的服务，接受我行对其工作的指导和监督。</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2、严格遵守我行的制度和规定，按照我行的服务需求，配备和提供外包人员。不得泄漏因服务而取得的任何我行的业务信息。</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3、外包服务公司负责制定与受托业务相关的内控制度、操作规程、人员考核等办法，并报我行备案；未经我行书面同意，外包公司不得将其在协议约定项下任一事项转让或分包给第三方。</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外包服务公司负责与外包人员签订符合《劳动法》的正式合同，负责劳动用工以及涉及劳动关系管理的所有事宜。外包服务公司应承诺外包人员的基本保障性工资不低于所在工作地区最低工资标准，按照国家规定缴纳社会保险等。</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5、外包服务公司应对派驻我行的人员进行业务知识培训，并达到国家承认的上岗资格，做到持证上岗。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adjustRightInd w:val="0"/>
        <w:snapToGrid w:val="0"/>
        <w:spacing w:line="560" w:lineRule="exact"/>
        <w:ind w:firstLine="320" w:firstLineChars="100"/>
        <w:rPr>
          <w:rFonts w:ascii="彩虹粗仿宋" w:hAnsi="宋体" w:eastAsia="彩虹粗仿宋" w:cs="Times New Roman"/>
          <w:color w:val="000000"/>
          <w:sz w:val="32"/>
          <w:szCs w:val="32"/>
        </w:rPr>
      </w:pPr>
      <w:r>
        <w:rPr>
          <w:rFonts w:hint="eastAsia" w:ascii="彩虹粗仿宋" w:hAnsi="宋体" w:eastAsia="彩虹粗仿宋" w:cs="Times New Roman"/>
          <w:color w:val="000000"/>
          <w:sz w:val="32"/>
          <w:szCs w:val="32"/>
        </w:rPr>
        <w:t>（三）风险控制要求</w:t>
      </w:r>
    </w:p>
    <w:p>
      <w:pPr>
        <w:adjustRightInd w:val="0"/>
        <w:snapToGrid w:val="0"/>
        <w:spacing w:line="560" w:lineRule="exact"/>
        <w:ind w:firstLine="640" w:firstLineChars="200"/>
        <w:rPr>
          <w:rFonts w:ascii="彩虹粗仿宋" w:hAnsi="宋体" w:eastAsia="彩虹粗仿宋" w:cs="Times New Roman"/>
          <w:color w:val="000000"/>
          <w:sz w:val="32"/>
          <w:szCs w:val="32"/>
        </w:rPr>
      </w:pPr>
      <w:r>
        <w:rPr>
          <w:rFonts w:hint="eastAsia" w:ascii="彩虹粗仿宋" w:hAnsi="Times New Roman" w:eastAsia="彩虹粗仿宋" w:cs="Times New Roman"/>
          <w:sz w:val="32"/>
          <w:szCs w:val="32"/>
        </w:rPr>
        <w:t>按照总行《关于防范业务外包用工风险的通知》（建人〔2014〕235号）的文件要求，禁止外包服务公司以我行名义进行用工管理或开展生产经营活动，外包服务人员应与公司依法订立劳动合同，防范外包业务用工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在安保服务过程中均涉及外包人员的使用和管理，我行具体负责外包人员的业务培训和规范操作，指导、监督外包人员按章办事，在安保服务过程中协助做好办公、营业场所经营秩序的同时，维护员工、客户的人身和财产安全，不得从事岗位职责以外的工作。</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（2）按照我行的要求，双方约定每季度召开一次联席会，至少开展一次外包服务检查，并形成检查报告，对检查中发现的问题及时通报外包服务公司，限期整改和落实，每年度结束后形成年度评估报告。</w:t>
      </w:r>
    </w:p>
    <w:p>
      <w:pPr>
        <w:tabs>
          <w:tab w:val="left" w:pos="720"/>
        </w:tabs>
        <w:adjustRightInd w:val="0"/>
        <w:snapToGrid w:val="0"/>
        <w:spacing w:line="560" w:lineRule="exact"/>
        <w:ind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双方按照约定明确双方责任，建立健全安全责任制，完善双方沟通协作机制。提供安保服务的外包服务公司应根据不同工作性质，明确人员岗位职责、规范流程，不断提升外包人员的业务素质和技能，为我行提供更加安全的安保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有关规定，对业务外包合同履行期间的监督管理实行“对事不对人”，明确外包人员招聘、管理、考核、薪酬发放等均由外包服务公司负责，我行负责监督检查外包服务公司提供服务的数量、质量和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（3）外包服务公司通过工作合同、规章对外包服务人员的行为做出约束，并与外包服务人员一一签订《保密协议》，防范客户信息泄露的风险，严格防范操作风险、声誉风险及其它风险。</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（四）保密要求</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1、外包服务人员只能掌握了解工作需要的相关信息，不得将我行信息资料以任何方式透露给其他任何机构或个人。</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2、外包服务人员不得利用工作之便窃取、收买或者非法提供他人申请信息资料进行各种非法活动。</w:t>
      </w:r>
    </w:p>
    <w:p>
      <w:pPr>
        <w:tabs>
          <w:tab w:val="left" w:pos="720"/>
        </w:tabs>
        <w:adjustRightInd w:val="0"/>
        <w:snapToGrid w:val="0"/>
        <w:spacing w:line="560" w:lineRule="exact"/>
        <w:ind w:firstLine="480" w:firstLineChars="150"/>
        <w:outlineLvl w:val="0"/>
        <w:rPr>
          <w:rFonts w:ascii="彩虹粗仿宋" w:hAnsi="宋体" w:eastAsia="彩虹粗仿宋"/>
          <w:snapToGrid w:val="0"/>
          <w:sz w:val="32"/>
          <w:szCs w:val="32"/>
        </w:rPr>
      </w:pPr>
      <w:r>
        <w:rPr>
          <w:rFonts w:hint="eastAsia" w:ascii="彩虹粗仿宋" w:hAnsi="Times New Roman" w:eastAsia="彩虹粗仿宋" w:cs="Times New Roman"/>
          <w:sz w:val="32"/>
          <w:szCs w:val="32"/>
        </w:rPr>
        <w:t>3、由于</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原因导致我行及客户信息泄漏的，按照双方合同约定追究相关责任。</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560" w:lineRule="exact"/>
        <w:ind w:firstLine="320" w:firstLineChars="100"/>
        <w:rPr>
          <w:rFonts w:ascii="彩虹粗仿宋" w:hAnsi="宋体" w:eastAsia="彩虹粗仿宋" w:cs="Times New Roman"/>
          <w:color w:val="000000"/>
          <w:sz w:val="32"/>
          <w:szCs w:val="32"/>
        </w:rPr>
      </w:pPr>
      <w:r>
        <w:rPr>
          <w:rFonts w:hint="eastAsia" w:ascii="彩虹粗仿宋" w:hAnsi="宋体" w:eastAsia="彩虹粗仿宋" w:cs="Times New Roman"/>
          <w:snapToGrid w:val="0"/>
          <w:kern w:val="0"/>
          <w:sz w:val="32"/>
          <w:szCs w:val="32"/>
        </w:rPr>
        <w:t>（五）</w:t>
      </w:r>
      <w:r>
        <w:rPr>
          <w:rFonts w:hint="eastAsia" w:ascii="彩虹粗仿宋" w:hAnsi="宋体" w:eastAsia="彩虹粗仿宋" w:cs="Times New Roman"/>
          <w:color w:val="000000"/>
          <w:sz w:val="32"/>
          <w:szCs w:val="32"/>
        </w:rPr>
        <w:t>应急措施要求</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1、外包服务公司应制定相关应急预案，预案场景设置、预案分工、预案演练、预案评估，并明确应急处置流程。</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2、因外包服务人员原因造成我行及客户信息泄露、客户投诉等风险，外包服务公司应立即向我行报告，同时启动应急预案，沟通协商解决办法，防止事态扩大。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3、营业网点如遇挤兑、抢劫、被盗等情形，外包服务人员应及时报告我行和上级部门以及外包服务公司，启动应急预案并报警。</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4、由于外包服务公司原因（如：外包服务中断）引起突发事件的，我行应立即启动相应应急预案，妥善处置问题，积极争取恢复生产。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5、造成我行经济损失的，应按照相关法律法规、合同约定进行索赔。造成我行声誉损失的，应要求保安公司积极配合我行采取措施消除影响、恢复声誉。涉嫌违法犯罪的，应及时向公安机关报案。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6、在处理事（案）件过程中要时刻向我行报告进展情况，待风险解除后，形成书面报告报送我行，我行综合评估后确定是否继续开展外包事项。</w:t>
      </w:r>
    </w:p>
    <w:p>
      <w:pPr>
        <w:adjustRightInd w:val="0"/>
        <w:snapToGrid w:val="0"/>
        <w:spacing w:line="560" w:lineRule="exact"/>
        <w:ind w:firstLine="160" w:firstLineChars="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（六）外包争端的解决</w:t>
      </w:r>
    </w:p>
    <w:p>
      <w:pPr>
        <w:adjustRightInd w:val="0"/>
        <w:snapToGrid w:val="0"/>
        <w:spacing w:line="560" w:lineRule="exact"/>
        <w:ind w:firstLine="480" w:firstLineChars="150"/>
        <w:rPr>
          <w:rFonts w:ascii="彩虹粗仿宋" w:eastAsia="彩虹粗仿宋"/>
          <w:sz w:val="32"/>
          <w:szCs w:val="32"/>
        </w:rPr>
      </w:pPr>
      <w:r>
        <w:rPr>
          <w:rFonts w:hint="eastAsia" w:ascii="彩虹粗仿宋" w:eastAsia="彩虹粗仿宋"/>
          <w:sz w:val="32"/>
          <w:szCs w:val="32"/>
        </w:rPr>
        <w:t>外包协议有效期内若发生争议，应本着友好协商的态度加以妥善解决。协商不成的，向所在地人民法院起诉。诉讼期间，外包协议不涉及争议的条款，双方仍需继续履行。</w:t>
      </w:r>
    </w:p>
    <w:p>
      <w:pPr>
        <w:adjustRightInd w:val="0"/>
        <w:snapToGrid w:val="0"/>
        <w:spacing w:line="560" w:lineRule="exact"/>
        <w:ind w:firstLine="320" w:firstLineChars="100"/>
        <w:rPr>
          <w:rFonts w:ascii="彩虹粗仿宋" w:eastAsia="彩虹粗仿宋"/>
          <w:sz w:val="32"/>
          <w:szCs w:val="32"/>
        </w:rPr>
      </w:pPr>
      <w:r>
        <w:rPr>
          <w:rFonts w:hint="eastAsia" w:ascii="彩虹粗仿宋" w:hAnsi="宋体" w:eastAsia="彩虹粗仿宋" w:cs="Times New Roman"/>
          <w:snapToGrid w:val="0"/>
          <w:kern w:val="0"/>
          <w:sz w:val="32"/>
          <w:szCs w:val="32"/>
        </w:rPr>
        <w:t>（七）</w:t>
      </w:r>
      <w:r>
        <w:rPr>
          <w:rFonts w:hint="eastAsia" w:ascii="彩虹粗仿宋" w:eastAsia="彩虹粗仿宋"/>
          <w:sz w:val="32"/>
          <w:szCs w:val="32"/>
        </w:rPr>
        <w:t>验收方法和标准</w:t>
      </w:r>
    </w:p>
    <w:p>
      <w:pPr>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1、根据《中国建设银行营业办公场所保安值勤操作规程》有关规定，依据《XX月营业网点保安服务测评表》（见附件），每月由我行按照“合格”、“基本合格”、“不合格”进行测评考核。</w:t>
      </w:r>
    </w:p>
    <w:p>
      <w:pPr>
        <w:adjustRightInd w:val="0"/>
        <w:snapToGrid w:val="0"/>
        <w:spacing w:line="560" w:lineRule="exact"/>
        <w:ind w:firstLine="480" w:firstLineChars="150"/>
        <w:rPr>
          <w:rFonts w:ascii="彩虹粗仿宋" w:hAnsi="宋体" w:eastAsia="彩虹粗仿宋" w:cs="Times New Roman"/>
          <w:color w:val="FF0000"/>
          <w:sz w:val="32"/>
          <w:szCs w:val="32"/>
        </w:rPr>
      </w:pPr>
      <w:r>
        <w:rPr>
          <w:rFonts w:hint="eastAsia" w:ascii="彩虹粗仿宋" w:hAnsi="Times New Roman" w:eastAsia="彩虹粗仿宋" w:cs="Times New Roman"/>
          <w:sz w:val="32"/>
          <w:szCs w:val="32"/>
        </w:rPr>
        <w:t>2、每月由服务单位按“合格”、“基本合格”、“不合格”进行测评考核，</w:t>
      </w:r>
      <w:r>
        <w:rPr>
          <w:rFonts w:hint="eastAsia" w:ascii="彩虹粗仿宋" w:hAnsi="宋体" w:eastAsia="彩虹粗仿宋" w:cs="Times New Roman"/>
          <w:sz w:val="32"/>
          <w:szCs w:val="32"/>
        </w:rPr>
        <w:t>根据我行提供的测评情况对外包服务公司进行综合评价，合格岗位占服务总岗位90%（含）以上为总体合格、80%（含）以上90%以下为基本合格、80%以下为不合格，按总体合格、基本合格、不合格三个档次支付服务费用。总体合格档次支付全额服务费用，基本合格、不合格档次对外包服务公司进行约谈，按照合同约定扣减相应费用。</w:t>
      </w:r>
    </w:p>
    <w:p>
      <w:pPr>
        <w:spacing w:line="560" w:lineRule="exact"/>
        <w:ind w:firstLine="636"/>
        <w:outlineLvl w:val="0"/>
        <w:rPr>
          <w:rFonts w:ascii="彩虹黑体" w:hAnsi="宋体" w:eastAsia="彩虹黑体"/>
          <w:sz w:val="32"/>
          <w:szCs w:val="32"/>
        </w:rPr>
      </w:pPr>
      <w:r>
        <w:rPr>
          <w:rFonts w:hint="eastAsia" w:ascii="彩虹黑体" w:hAnsi="宋体" w:eastAsia="彩虹黑体"/>
          <w:sz w:val="32"/>
          <w:szCs w:val="32"/>
        </w:rPr>
        <w:t>五、消保条款要求</w:t>
      </w:r>
    </w:p>
    <w:p>
      <w:pPr>
        <w:spacing w:line="560" w:lineRule="exact"/>
        <w:ind w:firstLine="636"/>
        <w:outlineLvl w:val="1"/>
        <w:rPr>
          <w:rFonts w:ascii="彩虹黑体" w:hAnsi="宋体" w:eastAsia="彩虹黑体"/>
          <w:sz w:val="32"/>
          <w:szCs w:val="32"/>
        </w:rPr>
      </w:pPr>
      <w:r>
        <w:rPr>
          <w:rFonts w:hint="eastAsia" w:ascii="彩虹黑体" w:hAnsi="宋体" w:eastAsia="彩虹黑体"/>
          <w:sz w:val="32"/>
          <w:szCs w:val="32"/>
        </w:rPr>
        <w:t>（一）个人信息保护条款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(二）信息披露条款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(三）消费者投诉条款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（四）其他行为监督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1"/>
        <w:rPr>
          <w:rFonts w:ascii="彩虹粗仿宋" w:hAnsi="宋体" w:eastAsia="彩虹粗仿宋"/>
          <w:sz w:val="32"/>
          <w:szCs w:val="32"/>
        </w:rPr>
      </w:pPr>
      <w:r>
        <w:rPr>
          <w:rFonts w:hint="eastAsia" w:ascii="彩虹黑体" w:hAnsi="宋体" w:eastAsia="彩虹黑体"/>
          <w:sz w:val="32"/>
          <w:szCs w:val="32"/>
        </w:rPr>
        <w:t>（五）黑名单退出机制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ascii="彩虹粗仿宋" w:hAnsi="宋体" w:eastAsia="彩虹粗仿宋"/>
          <w:sz w:val="32"/>
          <w:szCs w:val="32"/>
        </w:rPr>
        <w:t>1.存在消费者权益侵权行为，引发较大舆情或重大投诉在社会上造成严重不良影响的；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2.存在消费者权益侵权行为，受到监管处罚，给我行造成严重不良影响的；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3.存在消费者权益侵权行为，受到公安立案或法院判决，给我行造成严重不良影响的；</w:t>
      </w:r>
    </w:p>
    <w:p>
      <w:pPr>
        <w:spacing w:line="560" w:lineRule="exact"/>
        <w:ind w:firstLine="640" w:firstLineChars="200"/>
        <w:rPr>
          <w:rFonts w:ascii="彩虹黑体" w:hAnsi="宋体" w:eastAsia="彩虹粗仿宋" w:cs="Times New Roman"/>
          <w:snapToGrid w:val="0"/>
          <w:kern w:val="0"/>
          <w:sz w:val="32"/>
          <w:szCs w:val="32"/>
        </w:rPr>
      </w:pPr>
      <w:r>
        <w:rPr>
          <w:rFonts w:ascii="彩虹粗仿宋" w:hAnsi="宋体" w:eastAsia="彩虹粗仿宋"/>
          <w:sz w:val="32"/>
          <w:szCs w:val="32"/>
        </w:rPr>
        <w:t>4.违反法律法规和监管机构规定的其他严重情形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1、负责为卫辉支行本部和1个网点提供安保值守服务。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2、卫辉支行网点保安人员执勤的工作时间与网点营业时间保持一致，每人每周工作时间符合国家法定工作时间。</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（二）自助设备巡查服务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w:t>
      </w:r>
      <w:r>
        <w:rPr>
          <w:rFonts w:hint="eastAsia" w:ascii="彩虹粗仿宋" w:hAnsi="Times New Roman" w:eastAsia="彩虹粗仿宋" w:cs="Times New Roman"/>
          <w:sz w:val="32"/>
          <w:szCs w:val="32"/>
        </w:rPr>
        <w:t>外包服务公司</w:t>
      </w:r>
      <w:r>
        <w:rPr>
          <w:rFonts w:hint="eastAsia" w:ascii="彩虹粗仿宋" w:hAnsi="宋体" w:eastAsia="彩虹粗仿宋" w:cs="Times New Roman"/>
          <w:snapToGrid w:val="0"/>
          <w:kern w:val="0"/>
          <w:sz w:val="32"/>
          <w:szCs w:val="32"/>
        </w:rPr>
        <w:t>应该按照我行的要求，为卫辉支行2个营业网点（自助）银行提供夜间巡查服务。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2、巡查人员工作时间为每晚8点至第二日早6点，每晚巡查次数不少于3次，每次巡查间隔不少于2小时，每人每周工作时间符合国家法定工作时间。</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七、服务数量要求</w:t>
      </w:r>
    </w:p>
    <w:p>
      <w:pPr>
        <w:adjustRightInd w:val="0"/>
        <w:snapToGrid w:val="0"/>
        <w:spacing w:line="560" w:lineRule="exact"/>
        <w:ind w:firstLine="320" w:firstLineChars="100"/>
        <w:outlineLvl w:val="1"/>
        <w:rPr>
          <w:rFonts w:ascii="彩虹粗仿宋" w:hAnsi="黑体" w:eastAsia="彩虹粗仿宋" w:cs="彩虹粗仿宋"/>
          <w:snapToGrid w:val="0"/>
          <w:color w:val="000000" w:themeColor="text1"/>
          <w:kern w:val="0"/>
          <w:sz w:val="32"/>
          <w:szCs w:val="32"/>
          <w14:textFill>
            <w14:solidFill>
              <w14:schemeClr w14:val="tx1"/>
            </w14:solidFill>
          </w14:textFill>
        </w:rPr>
      </w:pPr>
      <w:r>
        <w:rPr>
          <w:rFonts w:hint="eastAsia" w:ascii="彩虹粗仿宋" w:hAnsi="黑体" w:eastAsia="彩虹粗仿宋" w:cs="彩虹粗仿宋"/>
          <w:snapToGrid w:val="0"/>
          <w:color w:val="000000" w:themeColor="text1"/>
          <w:kern w:val="0"/>
          <w:sz w:val="32"/>
          <w:szCs w:val="32"/>
          <w14:textFill>
            <w14:solidFill>
              <w14:schemeClr w14:val="tx1"/>
            </w14:solidFill>
          </w14:textFill>
        </w:rPr>
        <w:t>（一）服务区域</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1、安保服务：卫辉支行营业部及所辖学院路支行2个营业机构。</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2、自助（设备）银行巡查服务：卫辉支行所辖2处附行式自助银行。</w:t>
      </w:r>
    </w:p>
    <w:p>
      <w:pPr>
        <w:spacing w:line="560" w:lineRule="exact"/>
        <w:ind w:firstLine="320" w:firstLineChars="100"/>
        <w:outlineLvl w:val="1"/>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（二）岗位数量</w:t>
      </w:r>
    </w:p>
    <w:p>
      <w:pPr>
        <w:spacing w:line="560" w:lineRule="exact"/>
        <w:ind w:firstLine="480" w:firstLineChars="150"/>
        <w:rPr>
          <w:rFonts w:ascii="彩虹粗仿宋" w:hAnsi="Times New Roman" w:eastAsia="彩虹粗仿宋" w:cs="Times New Roman"/>
          <w:sz w:val="32"/>
          <w:szCs w:val="32"/>
        </w:rPr>
      </w:pPr>
      <w:r>
        <w:rPr>
          <w:rFonts w:ascii="彩虹粗仿宋" w:hAnsi="黑体" w:eastAsia="彩虹粗仿宋" w:cs="Times New Roman"/>
          <w:color w:val="000000" w:themeColor="text1"/>
          <w:sz w:val="32"/>
          <w:szCs w:val="32"/>
          <w14:textFill>
            <w14:solidFill>
              <w14:schemeClr w14:val="tx1"/>
            </w14:solidFill>
          </w14:textFill>
        </w:rPr>
        <w:t>1</w:t>
      </w:r>
      <w:r>
        <w:rPr>
          <w:rFonts w:hint="eastAsia" w:ascii="彩虹粗仿宋" w:hAnsi="黑体" w:eastAsia="彩虹粗仿宋" w:cs="Times New Roman"/>
          <w:color w:val="000000" w:themeColor="text1"/>
          <w:sz w:val="32"/>
          <w:szCs w:val="32"/>
          <w14:textFill>
            <w14:solidFill>
              <w14:schemeClr w14:val="tx1"/>
            </w14:solidFill>
          </w14:textFill>
        </w:rPr>
        <w:t>、卫辉支行营业部配备2</w:t>
      </w:r>
      <w:r>
        <w:rPr>
          <w:rFonts w:hint="eastAsia" w:ascii="彩虹粗仿宋" w:hAnsi="Times New Roman" w:eastAsia="彩虹粗仿宋" w:cs="Times New Roman"/>
          <w:sz w:val="32"/>
          <w:szCs w:val="32"/>
        </w:rPr>
        <w:t>个岗位</w:t>
      </w:r>
      <w:r>
        <w:rPr>
          <w:rFonts w:hint="eastAsia" w:ascii="彩虹粗仿宋" w:hAnsi="黑体" w:eastAsia="彩虹粗仿宋" w:cs="Times New Roman"/>
          <w:color w:val="000000" w:themeColor="text1"/>
          <w:sz w:val="32"/>
          <w:szCs w:val="32"/>
          <w14:textFill>
            <w14:solidFill>
              <w14:schemeClr w14:val="tx1"/>
            </w14:solidFill>
          </w14:textFill>
        </w:rPr>
        <w:t>；学院路支行</w:t>
      </w:r>
      <w:r>
        <w:rPr>
          <w:rFonts w:hint="eastAsia" w:ascii="彩虹粗仿宋" w:hAnsi="Times New Roman" w:eastAsia="彩虹粗仿宋" w:cs="Times New Roman"/>
          <w:sz w:val="32"/>
          <w:szCs w:val="32"/>
        </w:rPr>
        <w:t>配备2个岗位，共需4个岗位。</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sz w:val="32"/>
          <w:szCs w:val="32"/>
        </w:rPr>
        <w:t>2、</w:t>
      </w:r>
      <w:r>
        <w:rPr>
          <w:rFonts w:hint="eastAsia" w:ascii="彩虹粗仿宋" w:hAnsi="黑体" w:eastAsia="彩虹粗仿宋" w:cs="Times New Roman"/>
          <w:color w:val="000000" w:themeColor="text1"/>
          <w:sz w:val="32"/>
          <w:szCs w:val="32"/>
          <w14:textFill>
            <w14:solidFill>
              <w14:schemeClr w14:val="tx1"/>
            </w14:solidFill>
          </w14:textFill>
        </w:rPr>
        <w:t>自助（设备）银行巡查服务，每天从晚8点至次日</w:t>
      </w:r>
      <w:r>
        <w:rPr>
          <w:rFonts w:ascii="彩虹粗仿宋" w:hAnsi="黑体" w:eastAsia="彩虹粗仿宋" w:cs="Times New Roman"/>
          <w:color w:val="000000" w:themeColor="text1"/>
          <w:sz w:val="32"/>
          <w:szCs w:val="32"/>
          <w14:textFill>
            <w14:solidFill>
              <w14:schemeClr w14:val="tx1"/>
            </w14:solidFill>
          </w14:textFill>
        </w:rPr>
        <w:t>6</w:t>
      </w:r>
      <w:r>
        <w:rPr>
          <w:rFonts w:hint="eastAsia" w:ascii="彩虹粗仿宋" w:hAnsi="黑体" w:eastAsia="彩虹粗仿宋" w:cs="Times New Roman"/>
          <w:color w:val="000000" w:themeColor="text1"/>
          <w:sz w:val="32"/>
          <w:szCs w:val="32"/>
          <w14:textFill>
            <w14:solidFill>
              <w14:schemeClr w14:val="tx1"/>
            </w14:solidFill>
          </w14:textFill>
        </w:rPr>
        <w:t>点，保安公司为我行的附行式和离行式自助（设备）银行进行安全巡查，共2处。</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按月根据保安岗位实际增减情况据实支付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九、报价要求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w:t>
      </w:r>
      <w:r>
        <w:rPr>
          <w:rFonts w:hint="eastAsia" w:ascii="彩虹粗仿宋" w:hAnsi="黑体" w:eastAsia="彩虹粗仿宋" w:cs="Times New Roman"/>
          <w:sz w:val="32"/>
          <w:szCs w:val="32"/>
        </w:rPr>
        <w:t>新乡卫辉支行营业部及学院路支行配备4个岗位， 每年服务费用预算</w:t>
      </w:r>
      <w:r>
        <w:rPr>
          <w:rFonts w:hint="eastAsia" w:ascii="彩虹粗仿宋" w:hAnsi="Calibri" w:eastAsia="彩虹粗仿宋" w:cs="Times New Roman"/>
          <w:sz w:val="32"/>
          <w:szCs w:val="32"/>
        </w:rPr>
        <w:t>72000</w:t>
      </w:r>
      <w:r>
        <w:rPr>
          <w:rFonts w:hint="eastAsia" w:ascii="彩虹粗仿宋" w:hAnsi="黑体" w:eastAsia="彩虹粗仿宋" w:cs="Times New Roman"/>
          <w:sz w:val="32"/>
          <w:szCs w:val="32"/>
        </w:rPr>
        <w:t>元（含税价），</w:t>
      </w:r>
      <w:r>
        <w:rPr>
          <w:rFonts w:hint="eastAsia" w:ascii="彩虹粗仿宋" w:hAnsi="黑体" w:eastAsia="彩虹粗仿宋" w:cs="Times New Roman"/>
          <w:sz w:val="32"/>
          <w:szCs w:val="32"/>
          <w:lang w:eastAsia="zh-CN"/>
        </w:rPr>
        <w:t>每岗</w:t>
      </w:r>
      <w:r>
        <w:rPr>
          <w:rFonts w:hint="eastAsia" w:ascii="彩虹粗仿宋" w:hAnsi="黑体" w:eastAsia="彩虹粗仿宋" w:cs="Times New Roman"/>
          <w:sz w:val="32"/>
          <w:szCs w:val="32"/>
        </w:rPr>
        <w:t>每月</w:t>
      </w:r>
      <w:r>
        <w:rPr>
          <w:rFonts w:hint="eastAsia" w:ascii="彩虹粗仿宋" w:hAnsi="黑体" w:eastAsia="彩虹粗仿宋" w:cs="Times New Roman"/>
          <w:sz w:val="32"/>
          <w:szCs w:val="32"/>
          <w:lang w:val="en-US" w:eastAsia="zh-CN"/>
        </w:rPr>
        <w:t>15</w:t>
      </w:r>
      <w:r>
        <w:rPr>
          <w:rFonts w:hint="eastAsia" w:ascii="彩虹粗仿宋" w:hAnsi="黑体" w:eastAsia="彩虹粗仿宋" w:cs="Times New Roman"/>
          <w:sz w:val="32"/>
          <w:szCs w:val="32"/>
        </w:rPr>
        <w:t>00元。</w:t>
      </w:r>
      <w:r>
        <w:rPr>
          <w:rFonts w:hint="eastAsia" w:ascii="彩虹粗仿宋" w:hAnsi="宋体" w:eastAsia="彩虹粗仿宋" w:cs="Times New Roman"/>
          <w:snapToGrid w:val="0"/>
          <w:kern w:val="0"/>
          <w:sz w:val="32"/>
          <w:szCs w:val="32"/>
        </w:rPr>
        <w:t>按元/月/岗进行单价和含税总价报价，超过预算为无效报价。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w:t>
      </w:r>
      <w:r>
        <w:rPr>
          <w:rFonts w:hint="eastAsia" w:ascii="彩虹粗仿宋" w:hAnsi="黑体" w:eastAsia="彩虹粗仿宋" w:cs="Times New Roman"/>
          <w:sz w:val="32"/>
          <w:szCs w:val="32"/>
        </w:rPr>
        <w:t>新乡卫辉支行自助（设备）银行2处需夜间巡查，每年巡查费用24000元（含税价），每月</w:t>
      </w:r>
      <w:r>
        <w:rPr>
          <w:rFonts w:hint="eastAsia" w:ascii="彩虹粗仿宋" w:hAnsi="黑体" w:eastAsia="彩虹粗仿宋" w:cs="Times New Roman"/>
          <w:sz w:val="32"/>
          <w:szCs w:val="32"/>
          <w:lang w:eastAsia="zh-CN"/>
        </w:rPr>
        <w:t>每点</w:t>
      </w:r>
      <w:r>
        <w:rPr>
          <w:rFonts w:hint="eastAsia" w:ascii="彩虹粗仿宋" w:hAnsi="黑体" w:eastAsia="彩虹粗仿宋" w:cs="Times New Roman"/>
          <w:sz w:val="32"/>
          <w:szCs w:val="32"/>
          <w:lang w:val="en-US" w:eastAsia="zh-CN"/>
        </w:rPr>
        <w:t>1</w:t>
      </w:r>
      <w:r>
        <w:rPr>
          <w:rFonts w:hint="eastAsia" w:ascii="彩虹粗仿宋" w:hAnsi="黑体" w:eastAsia="彩虹粗仿宋" w:cs="Times New Roman"/>
          <w:sz w:val="32"/>
          <w:szCs w:val="32"/>
        </w:rPr>
        <w:t>000元。</w:t>
      </w:r>
      <w:r>
        <w:rPr>
          <w:rFonts w:hint="eastAsia" w:ascii="彩虹粗仿宋" w:hAnsi="宋体" w:eastAsia="彩虹粗仿宋" w:cs="Times New Roman"/>
          <w:snapToGrid w:val="0"/>
          <w:kern w:val="0"/>
          <w:sz w:val="32"/>
          <w:szCs w:val="32"/>
        </w:rPr>
        <w:t>按元/月/点报单价和含税总价进行报价，超过预算为无效报价。</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十、其他要求</w:t>
      </w:r>
    </w:p>
    <w:p>
      <w:pPr>
        <w:adjustRightInd w:val="0"/>
        <w:snapToGrid w:val="0"/>
        <w:spacing w:line="560" w:lineRule="exact"/>
        <w:ind w:firstLine="482" w:firstLineChars="150"/>
        <w:rPr>
          <w:rFonts w:ascii="彩虹粗仿宋" w:hAnsi="黑体" w:eastAsia="彩虹粗仿宋" w:cs="Times New Roman"/>
          <w:b/>
          <w:snapToGrid w:val="0"/>
          <w:sz w:val="32"/>
          <w:szCs w:val="32"/>
          <w:shd w:val="clear" w:color="auto" w:fill="FFFFFF"/>
        </w:rPr>
      </w:pPr>
    </w:p>
    <w:tbl>
      <w:tblPr>
        <w:tblStyle w:val="2"/>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p>
          <w:p>
            <w:pPr>
              <w:widowControl/>
              <w:jc w:val="center"/>
              <w:rPr>
                <w:rFonts w:ascii="Times New Roman" w:hAnsi="Times New Roman"/>
                <w:b/>
                <w:bCs/>
                <w:kern w:val="0"/>
                <w:sz w:val="36"/>
                <w:szCs w:val="36"/>
              </w:rPr>
            </w:pP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widowControl/>
        <w:jc w:val="left"/>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9D3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2024-05-23T01:07:02Z</dcterms:created>
  <dc:creator>haccb</dc:creator>
  <cp:lastModifiedBy>haccb</cp:lastModifiedBy>
  <dcterms:modified xsi:type="dcterms:W3CDTF">2024-05-23T01:07:30Z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D872E31080F44CD9A912C4A3A8F67C13_12</vt:lpwstr>
  </property>
</Properties>
</file>